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default" w:ascii="Times New Roman" w:hAnsi="Times New Roman" w:eastAsia="仿宋_GB2312" w:cs="Times New Roman"/>
          <w:i w:val="0"/>
          <w:iCs w:val="0"/>
          <w:caps w:val="0"/>
          <w:color w:val="auto"/>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spacing w:line="700" w:lineRule="exact"/>
        <w:ind w:firstLine="0" w:firstLineChars="0"/>
        <w:jc w:val="center"/>
        <w:textAlignment w:val="auto"/>
        <w:rPr>
          <w:rFonts w:hint="eastAsia" w:ascii="方正小标宋简体" w:hAnsi="方正小标宋简体" w:eastAsia="方正小标宋简体" w:cs="方正小标宋简体"/>
          <w:i w:val="0"/>
          <w:iCs w:val="0"/>
          <w:caps w:val="0"/>
          <w:color w:val="auto"/>
          <w:spacing w:val="0"/>
          <w:sz w:val="44"/>
          <w:szCs w:val="44"/>
          <w:shd w:val="clear" w:fill="FFFFFF"/>
        </w:rPr>
      </w:pPr>
      <w:bookmarkStart w:id="50" w:name="_GoBack"/>
      <w:r>
        <w:rPr>
          <w:rFonts w:hint="eastAsia" w:ascii="方正小标宋简体" w:hAnsi="方正小标宋简体" w:eastAsia="方正小标宋简体" w:cs="方正小标宋简体"/>
          <w:i w:val="0"/>
          <w:iCs w:val="0"/>
          <w:caps w:val="0"/>
          <w:color w:val="auto"/>
          <w:spacing w:val="0"/>
          <w:sz w:val="44"/>
          <w:szCs w:val="44"/>
          <w:shd w:val="clear" w:fill="FFFFFF"/>
        </w:rPr>
        <w:t>稳外贸稳外资税收政策指引</w:t>
      </w:r>
    </w:p>
    <w:bookmarkEnd w:id="50"/>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shd w:val="clear" w:fill="FFFFFF"/>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shd w:val="clear" w:fill="FFFFFF"/>
        </w:rPr>
        <w:t>构建以国内大循环为主体、国内国际双循环相互促进的新发展格局，是以习近平同志为核心的党中央根据我国发展阶段、环境、条件变化作出的重大战略决策。外贸外资是连接国内国际双循环的纽带，是稳定和推动经济社会发展不可或缺的重要力量。</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shd w:val="clear" w:fill="FFFFFF"/>
        </w:rPr>
        <w:t>按照党中央、国务院关于推动外贸外资平稳发展、扩大高水平对外开放的工作部署，税务部门会同有关部门出台了一系列稳外贸稳外资税收支持政策和征管服务便利化举措，助力外贸企业缓解困难，促进进出口平稳发展，鼓励外商来华投资，为外贸外资发展营造了良好的税收环境。为更好发挥税收职能作用，帮助纳税人准确掌握和及时适用各项政策措施，税务总局梳理形成44项外贸外资领域税收支持政策和征管服务措施，主要包括以下内容：</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方正黑体简体" w:hAnsi="方正黑体简体" w:eastAsia="方正黑体简体" w:cs="方正黑体简体"/>
          <w:i w:val="0"/>
          <w:iCs w:val="0"/>
          <w:caps w:val="0"/>
          <w:color w:val="auto"/>
          <w:spacing w:val="0"/>
          <w:sz w:val="32"/>
          <w:szCs w:val="32"/>
        </w:rPr>
      </w:pPr>
      <w:r>
        <w:rPr>
          <w:rFonts w:hint="eastAsia" w:ascii="方正黑体简体" w:hAnsi="方正黑体简体" w:eastAsia="方正黑体简体" w:cs="方正黑体简体"/>
          <w:i w:val="0"/>
          <w:iCs w:val="0"/>
          <w:caps w:val="0"/>
          <w:color w:val="auto"/>
          <w:spacing w:val="0"/>
          <w:sz w:val="32"/>
          <w:szCs w:val="32"/>
          <w:shd w:val="clear" w:fill="FFFFFF"/>
        </w:rPr>
        <w:t>一、稳外贸税收政策</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方正楷体简体" w:hAnsi="方正楷体简体" w:eastAsia="方正楷体简体" w:cs="方正楷体简体"/>
          <w:i w:val="0"/>
          <w:iCs w:val="0"/>
          <w:caps w:val="0"/>
          <w:color w:val="auto"/>
          <w:spacing w:val="0"/>
          <w:sz w:val="32"/>
          <w:szCs w:val="32"/>
        </w:rPr>
      </w:pPr>
      <w:r>
        <w:rPr>
          <w:rFonts w:hint="eastAsia" w:ascii="方正楷体简体" w:hAnsi="方正楷体简体" w:eastAsia="方正楷体简体" w:cs="方正楷体简体"/>
          <w:i w:val="0"/>
          <w:iCs w:val="0"/>
          <w:caps w:val="0"/>
          <w:color w:val="auto"/>
          <w:spacing w:val="0"/>
          <w:sz w:val="32"/>
          <w:szCs w:val="32"/>
          <w:shd w:val="clear" w:fill="FFFFFF"/>
        </w:rPr>
        <w:t>（一）出口货物劳务税收政策</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shd w:val="clear" w:fill="FFFFFF"/>
        </w:rPr>
        <w:t>1.出口货物劳务退（免）税政策</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shd w:val="clear" w:fill="FFFFFF"/>
        </w:rPr>
        <w:t>2.出口货物劳务免税政策</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shd w:val="clear" w:fill="FFFFFF"/>
        </w:rPr>
        <w:t>3.不适用增值税退（免）税和免税政策的出口货物劳务征税政策规定</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shd w:val="clear" w:fill="FFFFFF"/>
        </w:rPr>
        <w:t>4.海关特殊监管区域增值税一般纳税人试点政策</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shd w:val="clear" w:fill="FFFFFF"/>
        </w:rPr>
        <w:t>5.融资租赁货物出口退税政策</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shd w:val="clear" w:fill="FFFFFF"/>
        </w:rPr>
        <w:t>6.启运港退税政策</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shd w:val="clear" w:fill="FFFFFF"/>
        </w:rPr>
        <w:t>7.边境小额贸易税收政策</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left="0" w:right="0" w:firstLine="640" w:firstLineChars="200"/>
        <w:jc w:val="both"/>
        <w:textAlignment w:val="auto"/>
        <w:rPr>
          <w:rFonts w:hint="default" w:ascii="方正楷体简体" w:hAnsi="方正楷体简体" w:eastAsia="方正楷体简体" w:cs="方正楷体简体"/>
          <w:i w:val="0"/>
          <w:iCs w:val="0"/>
          <w:caps w:val="0"/>
          <w:color w:val="auto"/>
          <w:spacing w:val="0"/>
          <w:sz w:val="32"/>
          <w:szCs w:val="32"/>
          <w:shd w:val="clear" w:fill="FFFFFF"/>
        </w:rPr>
      </w:pPr>
      <w:r>
        <w:rPr>
          <w:rFonts w:hint="default" w:ascii="方正楷体简体" w:hAnsi="方正楷体简体" w:eastAsia="方正楷体简体" w:cs="方正楷体简体"/>
          <w:i w:val="0"/>
          <w:iCs w:val="0"/>
          <w:caps w:val="0"/>
          <w:color w:val="auto"/>
          <w:spacing w:val="0"/>
          <w:sz w:val="32"/>
          <w:szCs w:val="32"/>
          <w:shd w:val="clear" w:fill="FFFFFF"/>
        </w:rPr>
        <w:t>（二）跨境应税行为增值税政策</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shd w:val="clear" w:fill="FFFFFF"/>
        </w:rPr>
        <w:t>8.跨境应税行为适用增值税零税率政策</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shd w:val="clear" w:fill="FFFFFF"/>
        </w:rPr>
        <w:t>9.跨境应税行为适用增值税免税政策</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left="0" w:right="0" w:firstLine="640" w:firstLineChars="200"/>
        <w:jc w:val="both"/>
        <w:textAlignment w:val="auto"/>
        <w:rPr>
          <w:rFonts w:hint="default" w:ascii="方正楷体简体" w:hAnsi="方正楷体简体" w:eastAsia="方正楷体简体" w:cs="方正楷体简体"/>
          <w:i w:val="0"/>
          <w:iCs w:val="0"/>
          <w:caps w:val="0"/>
          <w:color w:val="auto"/>
          <w:spacing w:val="0"/>
          <w:sz w:val="32"/>
          <w:szCs w:val="32"/>
          <w:shd w:val="clear" w:fill="FFFFFF"/>
        </w:rPr>
      </w:pPr>
      <w:r>
        <w:rPr>
          <w:rFonts w:hint="default" w:ascii="方正楷体简体" w:hAnsi="方正楷体简体" w:eastAsia="方正楷体简体" w:cs="方正楷体简体"/>
          <w:i w:val="0"/>
          <w:iCs w:val="0"/>
          <w:caps w:val="0"/>
          <w:color w:val="auto"/>
          <w:spacing w:val="0"/>
          <w:sz w:val="32"/>
          <w:szCs w:val="32"/>
          <w:shd w:val="clear" w:fill="FFFFFF"/>
        </w:rPr>
        <w:t>（三）外贸新业态税收政策</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shd w:val="clear" w:fill="FFFFFF"/>
        </w:rPr>
        <w:t>10.跨境电子商务零售出口适用增值税、消费税退（免）税政策</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shd w:val="clear" w:fill="FFFFFF"/>
        </w:rPr>
        <w:t>11.跨境电子商务零售出口免征增值税、消费税</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shd w:val="clear" w:fill="FFFFFF"/>
        </w:rPr>
        <w:t>12.跨境电子商务综试区零售出口无票免税政策</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shd w:val="clear" w:fill="FFFFFF"/>
        </w:rPr>
        <w:t>13.跨境电子商务综试区零售出口企业所得税核定征收政策</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shd w:val="clear" w:fill="FFFFFF"/>
        </w:rPr>
        <w:t>14.市场采购贸易方式出口货物免征增值税政策</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shd w:val="clear" w:fill="FFFFFF"/>
        </w:rPr>
        <w:t>15.外贸综合服务企业代办退税政策</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left="0" w:right="0" w:firstLine="640" w:firstLineChars="200"/>
        <w:jc w:val="both"/>
        <w:textAlignment w:val="auto"/>
        <w:rPr>
          <w:rFonts w:hint="default" w:ascii="方正楷体简体" w:hAnsi="方正楷体简体" w:eastAsia="方正楷体简体" w:cs="方正楷体简体"/>
          <w:i w:val="0"/>
          <w:iCs w:val="0"/>
          <w:caps w:val="0"/>
          <w:color w:val="auto"/>
          <w:spacing w:val="0"/>
          <w:sz w:val="32"/>
          <w:szCs w:val="32"/>
          <w:shd w:val="clear" w:fill="FFFFFF"/>
        </w:rPr>
      </w:pPr>
      <w:r>
        <w:rPr>
          <w:rFonts w:hint="default" w:ascii="方正楷体简体" w:hAnsi="方正楷体简体" w:eastAsia="方正楷体简体" w:cs="方正楷体简体"/>
          <w:i w:val="0"/>
          <w:iCs w:val="0"/>
          <w:caps w:val="0"/>
          <w:color w:val="auto"/>
          <w:spacing w:val="0"/>
          <w:sz w:val="32"/>
          <w:szCs w:val="32"/>
          <w:shd w:val="clear" w:fill="FFFFFF"/>
        </w:rPr>
        <w:t>（四）出口退（免）税服务便利化举措</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shd w:val="clear" w:fill="FFFFFF"/>
        </w:rPr>
        <w:t>16.简并优化出口退（免）税报送资料和办理流程</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shd w:val="clear" w:fill="FFFFFF"/>
        </w:rPr>
        <w:t>17.持续加快出口退（免）税办理进度</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shd w:val="clear" w:fill="FFFFFF"/>
        </w:rPr>
        <w:t>18.持续提升出口退（免）税服务水平</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left="0" w:right="0" w:firstLine="640" w:firstLineChars="200"/>
        <w:jc w:val="both"/>
        <w:textAlignment w:val="auto"/>
        <w:rPr>
          <w:rFonts w:hint="default" w:ascii="方正黑体简体" w:hAnsi="方正黑体简体" w:eastAsia="方正黑体简体" w:cs="方正黑体简体"/>
          <w:i w:val="0"/>
          <w:iCs w:val="0"/>
          <w:caps w:val="0"/>
          <w:color w:val="auto"/>
          <w:spacing w:val="0"/>
          <w:sz w:val="32"/>
          <w:szCs w:val="32"/>
          <w:shd w:val="clear" w:fill="FFFFFF"/>
        </w:rPr>
      </w:pPr>
      <w:r>
        <w:rPr>
          <w:rFonts w:hint="default" w:ascii="方正黑体简体" w:hAnsi="方正黑体简体" w:eastAsia="方正黑体简体" w:cs="方正黑体简体"/>
          <w:i w:val="0"/>
          <w:iCs w:val="0"/>
          <w:caps w:val="0"/>
          <w:color w:val="auto"/>
          <w:spacing w:val="0"/>
          <w:sz w:val="32"/>
          <w:szCs w:val="32"/>
          <w:shd w:val="clear" w:fill="FFFFFF"/>
        </w:rPr>
        <w:t>二、稳外资税收政策</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left="0" w:right="0" w:firstLine="640" w:firstLineChars="200"/>
        <w:jc w:val="both"/>
        <w:textAlignment w:val="auto"/>
        <w:rPr>
          <w:rFonts w:hint="default" w:ascii="方正楷体简体" w:hAnsi="方正楷体简体" w:eastAsia="方正楷体简体" w:cs="方正楷体简体"/>
          <w:i w:val="0"/>
          <w:iCs w:val="0"/>
          <w:caps w:val="0"/>
          <w:color w:val="auto"/>
          <w:spacing w:val="0"/>
          <w:sz w:val="32"/>
          <w:szCs w:val="32"/>
          <w:shd w:val="clear" w:fill="FFFFFF"/>
        </w:rPr>
      </w:pPr>
      <w:r>
        <w:rPr>
          <w:rFonts w:hint="default" w:ascii="方正楷体简体" w:hAnsi="方正楷体简体" w:eastAsia="方正楷体简体" w:cs="方正楷体简体"/>
          <w:i w:val="0"/>
          <w:iCs w:val="0"/>
          <w:caps w:val="0"/>
          <w:color w:val="auto"/>
          <w:spacing w:val="0"/>
          <w:sz w:val="32"/>
          <w:szCs w:val="32"/>
          <w:shd w:val="clear" w:fill="FFFFFF"/>
        </w:rPr>
        <w:t>（一）鼓励外商投资税收政策</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shd w:val="clear" w:fill="FFFFFF"/>
        </w:rPr>
        <w:t>19.境外投资者以分配利润直接投资暂不征收预提所得税</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shd w:val="clear" w:fill="FFFFFF"/>
        </w:rPr>
        <w:t>20.符合条件的非居民纳税人享受协定待遇</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shd w:val="clear" w:fill="FFFFFF"/>
        </w:rPr>
        <w:t>21.中外合作办学免征增值税</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shd w:val="clear" w:fill="FFFFFF"/>
        </w:rPr>
        <w:t>22.台湾航运公司从事海峡两岸海上直航业务免征增值税</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shd w:val="clear" w:fill="FFFFFF"/>
        </w:rPr>
        <w:t>23.台湾航运公司从事海峡两岸海上直航业务免征企业所得税</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shd w:val="clear" w:fill="FFFFFF"/>
        </w:rPr>
        <w:t>24.台湾航空公司从事海峡两岸空中直航业务免征增值税</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shd w:val="clear" w:fill="FFFFFF"/>
        </w:rPr>
        <w:t>25.台湾航空公司从事海峡两岸空中直航业务免征企业所得税</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left="0" w:right="0" w:firstLine="640" w:firstLineChars="200"/>
        <w:jc w:val="both"/>
        <w:textAlignment w:val="auto"/>
        <w:rPr>
          <w:rFonts w:hint="default" w:ascii="方正楷体简体" w:hAnsi="方正楷体简体" w:eastAsia="方正楷体简体" w:cs="方正楷体简体"/>
          <w:i w:val="0"/>
          <w:iCs w:val="0"/>
          <w:caps w:val="0"/>
          <w:color w:val="auto"/>
          <w:spacing w:val="0"/>
          <w:sz w:val="32"/>
          <w:szCs w:val="32"/>
          <w:shd w:val="clear" w:fill="FFFFFF"/>
        </w:rPr>
      </w:pPr>
      <w:r>
        <w:rPr>
          <w:rFonts w:hint="default" w:ascii="方正楷体简体" w:hAnsi="方正楷体简体" w:eastAsia="方正楷体简体" w:cs="方正楷体简体"/>
          <w:i w:val="0"/>
          <w:iCs w:val="0"/>
          <w:caps w:val="0"/>
          <w:color w:val="auto"/>
          <w:spacing w:val="0"/>
          <w:sz w:val="32"/>
          <w:szCs w:val="32"/>
          <w:shd w:val="clear" w:fill="FFFFFF"/>
        </w:rPr>
        <w:t>（二）支持金融市场对外开放税收政策</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shd w:val="clear" w:fill="FFFFFF"/>
        </w:rPr>
        <w:t>26.QFII和RQFII委托境内公司在我国从事证券买卖业务免征增值税</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shd w:val="clear" w:fill="FFFFFF"/>
        </w:rPr>
        <w:t>27.QFII和RQFII取得中国境内的股票等权益性投资资产转让所得暂免征收企业所得税</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shd w:val="clear" w:fill="FFFFFF"/>
        </w:rPr>
        <w:t>28.QFII和RQFII取得创新企业CDR转让差价收入暂免征收增值税</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shd w:val="clear" w:fill="FFFFFF"/>
        </w:rPr>
        <w:t>29.QFII和RQFII取得创新企业CDR转让差价所得和股息红利所得征免企业所得税规定</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shd w:val="clear" w:fill="FFFFFF"/>
        </w:rPr>
        <w:t>30.境外机构投资银行间本币市场取得的金融商品转让收入免征增值税</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shd w:val="clear" w:fill="FFFFFF"/>
        </w:rPr>
        <w:t>31.境外机构投资境内债券利息收入暂免征收增值税</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shd w:val="clear" w:fill="FFFFFF"/>
        </w:rPr>
        <w:t>32.境外机构投资境内债券利息收入暂免征收企业所得税</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shd w:val="clear" w:fill="FFFFFF"/>
        </w:rPr>
        <w:t>33.香港市场投资者投资上交所上市A股取得的转让差价免征增值税</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shd w:val="clear" w:fill="FFFFFF"/>
        </w:rPr>
        <w:t>34.香港市场投资者投资上交所上市A股取得的转让差价所得暂免征收所得税</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shd w:val="clear" w:fill="FFFFFF"/>
        </w:rPr>
        <w:t>35.香港市场投资者投资上交所上市A股取得的股息红利所得税政策</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shd w:val="clear" w:fill="FFFFFF"/>
        </w:rPr>
        <w:t>36.香港市场投资者投资深交所上市A股取得的转让差价免征增值税</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shd w:val="clear" w:fill="FFFFFF"/>
        </w:rPr>
        <w:t>37.香港市场投资者投资深交所上市A股取得的转让差价所得暂免征收所得税</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shd w:val="clear" w:fill="FFFFFF"/>
        </w:rPr>
        <w:t>38.香港市场投资者投资深交所上市A股取得的股息红利所得税政策</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shd w:val="clear" w:fill="FFFFFF"/>
        </w:rPr>
        <w:t>39.香港市场投资者参与股票担保卖空涉及的股票借入、归还暂免征收证券（股票）交易印花税</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shd w:val="clear" w:fill="FFFFFF"/>
        </w:rPr>
        <w:t>40.香港市场投资者买卖内地基金份额取得的转让差价免征增值税</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shd w:val="clear" w:fill="FFFFFF"/>
        </w:rPr>
        <w:t>41.香港市场投资者买卖内地基金份额取得的转让差价所得暂免征收所得税</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shd w:val="clear" w:fill="FFFFFF"/>
        </w:rPr>
        <w:t>42.香港市场投资者从内地基金分配取得收益所得税政策</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shd w:val="clear" w:fill="FFFFFF"/>
        </w:rPr>
        <w:t>43.香港市场投资者买卖、继承、赠与内地基金份额暂不征收印花税</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shd w:val="clear" w:fill="FFFFFF"/>
        </w:rPr>
        <w:t>44.境外机构投资者从事中国境内原油期货交易暂不征收企业所得税</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shd w:val="clear" w:fill="FFFFFF"/>
        </w:rPr>
      </w:pPr>
      <w:r>
        <w:rPr>
          <w:rFonts w:hint="default" w:ascii="Times New Roman" w:hAnsi="Times New Roman" w:eastAsia="仿宋_GB2312" w:cs="Times New Roman"/>
          <w:i w:val="0"/>
          <w:iCs w:val="0"/>
          <w:caps w:val="0"/>
          <w:color w:val="auto"/>
          <w:spacing w:val="0"/>
          <w:sz w:val="32"/>
          <w:szCs w:val="32"/>
          <w:shd w:val="clear" w:fill="FFFFFF"/>
        </w:rPr>
        <w:t>附件：</w:t>
      </w:r>
      <w:r>
        <w:rPr>
          <w:rFonts w:hint="eastAsia" w:ascii="Times New Roman" w:hAnsi="Times New Roman" w:eastAsia="仿宋_GB2312" w:cs="Times New Roman"/>
          <w:i w:val="0"/>
          <w:iCs w:val="0"/>
          <w:caps w:val="0"/>
          <w:color w:val="auto"/>
          <w:spacing w:val="0"/>
          <w:sz w:val="32"/>
          <w:szCs w:val="32"/>
          <w:shd w:val="clear" w:fill="FFFFFF"/>
          <w:lang w:val="en-US" w:eastAsia="zh-CN"/>
        </w:rPr>
        <w:t>1.</w:t>
      </w:r>
      <w:r>
        <w:rPr>
          <w:rFonts w:hint="default" w:ascii="Times New Roman" w:hAnsi="Times New Roman" w:eastAsia="仿宋_GB2312" w:cs="Times New Roman"/>
          <w:i w:val="0"/>
          <w:iCs w:val="0"/>
          <w:caps w:val="0"/>
          <w:color w:val="auto"/>
          <w:spacing w:val="0"/>
          <w:sz w:val="32"/>
          <w:szCs w:val="32"/>
          <w:shd w:val="clear" w:fill="FFFFFF"/>
        </w:rPr>
        <w:fldChar w:fldCharType="begin"/>
      </w:r>
      <w:r>
        <w:rPr>
          <w:rFonts w:hint="default" w:ascii="Times New Roman" w:hAnsi="Times New Roman" w:eastAsia="仿宋_GB2312" w:cs="Times New Roman"/>
          <w:i w:val="0"/>
          <w:iCs w:val="0"/>
          <w:caps w:val="0"/>
          <w:color w:val="auto"/>
          <w:spacing w:val="0"/>
          <w:sz w:val="32"/>
          <w:szCs w:val="32"/>
          <w:shd w:val="clear" w:fill="FFFFFF"/>
        </w:rPr>
        <w:instrText xml:space="preserve"> HYPERLINK "http://jhj.sc.gov.cn/scjhj/jhyw/2022/6/2/4aa0a3d8196f4ae38eb5b41fca4f0f79/files/86fd0ffbaa134433a637e15b7aefdbc5.pdf" \t "http://jhj.sc.gov.cn/scjhj/jhyw/2022/6/2/_blank" </w:instrText>
      </w:r>
      <w:r>
        <w:rPr>
          <w:rFonts w:hint="default" w:ascii="Times New Roman" w:hAnsi="Times New Roman" w:eastAsia="仿宋_GB2312" w:cs="Times New Roman"/>
          <w:i w:val="0"/>
          <w:iCs w:val="0"/>
          <w:caps w:val="0"/>
          <w:color w:val="auto"/>
          <w:spacing w:val="0"/>
          <w:sz w:val="32"/>
          <w:szCs w:val="32"/>
          <w:shd w:val="clear" w:fill="FFFFFF"/>
        </w:rPr>
        <w:fldChar w:fldCharType="separate"/>
      </w:r>
      <w:r>
        <w:rPr>
          <w:rFonts w:hint="default" w:ascii="Times New Roman" w:hAnsi="Times New Roman" w:eastAsia="仿宋_GB2312" w:cs="Times New Roman"/>
          <w:i w:val="0"/>
          <w:iCs w:val="0"/>
          <w:caps w:val="0"/>
          <w:color w:val="auto"/>
          <w:spacing w:val="0"/>
          <w:sz w:val="32"/>
          <w:szCs w:val="32"/>
          <w:shd w:val="clear" w:fill="FFFFFF"/>
        </w:rPr>
        <w:t>稳外贸稳外资税收政策指引汇编</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shd w:val="clear" w:fill="FFFFFF"/>
        </w:rPr>
      </w:pPr>
      <w:r>
        <w:rPr>
          <w:rFonts w:hint="default" w:ascii="Times New Roman" w:hAnsi="Times New Roman" w:eastAsia="仿宋_GB2312" w:cs="Times New Roman"/>
          <w:i w:val="0"/>
          <w:iCs w:val="0"/>
          <w:caps w:val="0"/>
          <w:color w:val="auto"/>
          <w:spacing w:val="0"/>
          <w:sz w:val="32"/>
          <w:szCs w:val="32"/>
          <w:shd w:val="clear" w:fill="FFFFFF"/>
        </w:rPr>
        <w:fldChar w:fldCharType="end"/>
      </w:r>
      <w:r>
        <w:rPr>
          <w:rFonts w:hint="eastAsia" w:ascii="Times New Roman" w:hAnsi="Times New Roman" w:eastAsia="仿宋_GB2312" w:cs="Times New Roman"/>
          <w:i w:val="0"/>
          <w:iCs w:val="0"/>
          <w:caps w:val="0"/>
          <w:color w:val="auto"/>
          <w:spacing w:val="0"/>
          <w:sz w:val="32"/>
          <w:szCs w:val="32"/>
          <w:shd w:val="clear" w:fill="FFFFFF"/>
          <w:lang w:val="en-US" w:eastAsia="zh-CN"/>
        </w:rPr>
        <w:t xml:space="preserve">   </w:t>
      </w:r>
      <w:r>
        <w:rPr>
          <w:rFonts w:hint="eastAsia" w:ascii="Times New Roman" w:hAnsi="Times New Roman" w:cs="Times New Roman"/>
          <w:i w:val="0"/>
          <w:iCs w:val="0"/>
          <w:caps w:val="0"/>
          <w:color w:val="auto"/>
          <w:spacing w:val="0"/>
          <w:sz w:val="32"/>
          <w:szCs w:val="32"/>
          <w:shd w:val="clear" w:fill="FFFFFF"/>
          <w:lang w:val="en-US" w:eastAsia="zh-CN"/>
        </w:rPr>
        <w:t xml:space="preserve">      </w:t>
      </w:r>
      <w:r>
        <w:rPr>
          <w:rFonts w:hint="eastAsia" w:ascii="Times New Roman" w:hAnsi="Times New Roman" w:eastAsia="仿宋_GB2312" w:cs="Times New Roman"/>
          <w:i w:val="0"/>
          <w:iCs w:val="0"/>
          <w:caps w:val="0"/>
          <w:color w:val="auto"/>
          <w:spacing w:val="0"/>
          <w:sz w:val="32"/>
          <w:szCs w:val="32"/>
          <w:shd w:val="clear" w:fill="FFFFFF"/>
          <w:lang w:val="en-US" w:eastAsia="zh-CN"/>
        </w:rPr>
        <w:t xml:space="preserve">   2.</w:t>
      </w:r>
      <w:r>
        <w:rPr>
          <w:rFonts w:hint="default" w:ascii="Times New Roman" w:hAnsi="Times New Roman" w:eastAsia="仿宋_GB2312" w:cs="Times New Roman"/>
          <w:i w:val="0"/>
          <w:iCs w:val="0"/>
          <w:caps w:val="0"/>
          <w:color w:val="auto"/>
          <w:spacing w:val="0"/>
          <w:sz w:val="32"/>
          <w:szCs w:val="32"/>
          <w:shd w:val="clear" w:fill="FFFFFF"/>
        </w:rPr>
        <w:fldChar w:fldCharType="begin"/>
      </w:r>
      <w:r>
        <w:rPr>
          <w:rFonts w:hint="default" w:ascii="Times New Roman" w:hAnsi="Times New Roman" w:eastAsia="仿宋_GB2312" w:cs="Times New Roman"/>
          <w:i w:val="0"/>
          <w:iCs w:val="0"/>
          <w:caps w:val="0"/>
          <w:color w:val="auto"/>
          <w:spacing w:val="0"/>
          <w:sz w:val="32"/>
          <w:szCs w:val="32"/>
          <w:shd w:val="clear" w:fill="FFFFFF"/>
        </w:rPr>
        <w:instrText xml:space="preserve"> HYPERLINK "http://jhj.sc.gov.cn/scjhj/jhyw/2022/6/2/4aa0a3d8196f4ae38eb5b41fca4f0f79/files/1ce95843c20d493b9e172963f19037d1.pdf" \t "http://jhj.sc.gov.cn/scjhj/jhyw/2022/6/2/_blank" </w:instrText>
      </w:r>
      <w:r>
        <w:rPr>
          <w:rFonts w:hint="default" w:ascii="Times New Roman" w:hAnsi="Times New Roman" w:eastAsia="仿宋_GB2312" w:cs="Times New Roman"/>
          <w:i w:val="0"/>
          <w:iCs w:val="0"/>
          <w:caps w:val="0"/>
          <w:color w:val="auto"/>
          <w:spacing w:val="0"/>
          <w:sz w:val="32"/>
          <w:szCs w:val="32"/>
          <w:shd w:val="clear" w:fill="FFFFFF"/>
        </w:rPr>
        <w:fldChar w:fldCharType="separate"/>
      </w:r>
      <w:r>
        <w:rPr>
          <w:rFonts w:hint="default" w:ascii="Times New Roman" w:hAnsi="Times New Roman" w:eastAsia="仿宋_GB2312" w:cs="Times New Roman"/>
          <w:i w:val="0"/>
          <w:iCs w:val="0"/>
          <w:caps w:val="0"/>
          <w:color w:val="auto"/>
          <w:spacing w:val="0"/>
          <w:sz w:val="32"/>
          <w:szCs w:val="32"/>
          <w:shd w:val="clear" w:fill="FFFFFF"/>
        </w:rPr>
        <w:t>稳外贸稳外资税收政策文件目录</w:t>
      </w:r>
      <w:r>
        <w:rPr>
          <w:rFonts w:hint="default" w:ascii="Times New Roman" w:hAnsi="Times New Roman" w:eastAsia="仿宋_GB2312" w:cs="Times New Roman"/>
          <w:i w:val="0"/>
          <w:iCs w:val="0"/>
          <w:caps w:val="0"/>
          <w:color w:val="auto"/>
          <w:spacing w:val="0"/>
          <w:sz w:val="32"/>
          <w:szCs w:val="32"/>
          <w:shd w:val="clear" w:fill="FFFFFF"/>
        </w:rPr>
        <w:fldChar w:fldCharType="end"/>
      </w:r>
    </w:p>
    <w:p>
      <w:pPr>
        <w:rPr>
          <w:rFonts w:hint="default" w:ascii="Times New Roman" w:hAnsi="Times New Roman" w:eastAsia="仿宋_GB2312" w:cs="Times New Roman"/>
          <w:i w:val="0"/>
          <w:iCs w:val="0"/>
          <w:caps w:val="0"/>
          <w:color w:val="auto"/>
          <w:spacing w:val="0"/>
          <w:sz w:val="32"/>
          <w:szCs w:val="32"/>
          <w:shd w:val="clear" w:fill="FFFFFF"/>
        </w:rPr>
        <w:sectPr>
          <w:footerReference r:id="rId5" w:type="default"/>
          <w:pgSz w:w="11906" w:h="16838"/>
          <w:pgMar w:top="2098" w:right="1474" w:bottom="1984" w:left="1587" w:header="851" w:footer="1587" w:gutter="0"/>
          <w:pgNumType w:fmt="decimal"/>
          <w:cols w:space="0" w:num="1"/>
          <w:rtlGutter w:val="0"/>
          <w:docGrid w:type="lines" w:linePitch="312" w:charSpace="0"/>
        </w:sectPr>
      </w:pPr>
    </w:p>
    <w:p>
      <w:pPr>
        <w:spacing w:before="29"/>
        <w:ind w:left="1756" w:right="1977" w:firstLine="0"/>
        <w:jc w:val="center"/>
        <w:rPr>
          <w:rFonts w:hint="eastAsia" w:ascii="黑体" w:eastAsia="黑体"/>
          <w:color w:val="auto"/>
          <w:sz w:val="36"/>
        </w:rPr>
      </w:pPr>
      <w:r>
        <w:rPr>
          <w:rFonts w:hint="eastAsia" w:ascii="黑体" w:eastAsia="黑体"/>
          <w:color w:val="auto"/>
          <w:sz w:val="36"/>
        </w:rPr>
        <w:t>稳外贸稳外资税收政策指引汇编</w:t>
      </w:r>
    </w:p>
    <w:p>
      <w:pPr>
        <w:spacing w:after="0"/>
        <w:jc w:val="center"/>
        <w:rPr>
          <w:rFonts w:hint="eastAsia" w:ascii="黑体" w:eastAsia="黑体"/>
          <w:color w:val="auto"/>
          <w:sz w:val="36"/>
        </w:rPr>
        <w:sectPr>
          <w:footerReference r:id="rId6" w:type="default"/>
          <w:footerReference r:id="rId7" w:type="even"/>
          <w:pgSz w:w="11910" w:h="16840"/>
          <w:pgMar w:top="1480" w:right="1260" w:bottom="974" w:left="1480" w:header="0" w:footer="993" w:gutter="0"/>
          <w:cols w:space="720" w:num="1"/>
        </w:sectPr>
      </w:pPr>
    </w:p>
    <w:sdt>
      <w:sdtPr>
        <w:rPr>
          <w:color w:val="auto"/>
        </w:rPr>
        <w:id w:val="3"/>
        <w:docPartObj>
          <w:docPartGallery w:val="Table of Contents"/>
          <w:docPartUnique/>
        </w:docPartObj>
      </w:sdtPr>
      <w:sdtEndPr>
        <w:rPr>
          <w:color w:val="auto"/>
        </w:rPr>
      </w:sdtEndPr>
      <w:sdtContent>
        <w:p>
          <w:pPr>
            <w:pStyle w:val="6"/>
            <w:tabs>
              <w:tab w:val="left" w:leader="dot" w:pos="8200"/>
            </w:tabs>
            <w:spacing w:before="956"/>
            <w:ind w:left="0" w:firstLine="0"/>
            <w:rPr>
              <w:rFonts w:ascii="Times New Roman" w:eastAsia="Times New Roman"/>
              <w:color w:val="auto"/>
            </w:rPr>
          </w:pPr>
          <w:r>
            <w:rPr>
              <w:color w:val="auto"/>
            </w:rPr>
            <w:fldChar w:fldCharType="begin"/>
          </w:r>
          <w:r>
            <w:rPr>
              <w:color w:val="auto"/>
            </w:rPr>
            <w:instrText xml:space="preserve"> HYPERLINK \l "_TOC_250049" </w:instrText>
          </w:r>
          <w:r>
            <w:rPr>
              <w:color w:val="auto"/>
            </w:rPr>
            <w:fldChar w:fldCharType="separate"/>
          </w:r>
          <w:r>
            <w:rPr>
              <w:color w:val="auto"/>
            </w:rPr>
            <w:t>一、</w:t>
          </w:r>
          <w:r>
            <w:rPr>
              <w:color w:val="auto"/>
              <w:spacing w:val="-1"/>
            </w:rPr>
            <w:t xml:space="preserve"> </w:t>
          </w:r>
          <w:r>
            <w:rPr>
              <w:color w:val="auto"/>
            </w:rPr>
            <w:t>稳外贸税收政策</w:t>
          </w:r>
          <w:r>
            <w:rPr>
              <w:color w:val="auto"/>
            </w:rPr>
            <w:tab/>
          </w:r>
          <w:r>
            <w:rPr>
              <w:rFonts w:ascii="Times New Roman" w:eastAsia="Times New Roman"/>
              <w:color w:val="auto"/>
              <w:w w:val="95"/>
            </w:rPr>
            <w:t>1</w:t>
          </w:r>
          <w:r>
            <w:rPr>
              <w:rFonts w:ascii="Times New Roman" w:eastAsia="Times New Roman"/>
              <w:color w:val="auto"/>
              <w:w w:val="95"/>
            </w:rPr>
            <w:fldChar w:fldCharType="end"/>
          </w:r>
        </w:p>
        <w:p>
          <w:pPr>
            <w:pStyle w:val="6"/>
            <w:tabs>
              <w:tab w:val="left" w:leader="dot" w:pos="7780"/>
            </w:tabs>
            <w:ind w:left="0" w:firstLine="0"/>
            <w:rPr>
              <w:rFonts w:ascii="Times New Roman" w:eastAsia="Times New Roman"/>
              <w:color w:val="auto"/>
            </w:rPr>
          </w:pPr>
          <w:r>
            <w:rPr>
              <w:color w:val="auto"/>
            </w:rPr>
            <w:fldChar w:fldCharType="begin"/>
          </w:r>
          <w:r>
            <w:rPr>
              <w:color w:val="auto"/>
            </w:rPr>
            <w:instrText xml:space="preserve"> HYPERLINK \l "_TOC_250048" </w:instrText>
          </w:r>
          <w:r>
            <w:rPr>
              <w:color w:val="auto"/>
            </w:rPr>
            <w:fldChar w:fldCharType="separate"/>
          </w:r>
          <w:r>
            <w:rPr>
              <w:color w:val="auto"/>
            </w:rPr>
            <w:t>（一）</w:t>
          </w:r>
          <w:r>
            <w:rPr>
              <w:color w:val="auto"/>
              <w:spacing w:val="-4"/>
            </w:rPr>
            <w:t xml:space="preserve"> </w:t>
          </w:r>
          <w:r>
            <w:rPr>
              <w:color w:val="auto"/>
            </w:rPr>
            <w:t>货物劳务税收政策</w:t>
          </w:r>
          <w:r>
            <w:rPr>
              <w:color w:val="auto"/>
            </w:rPr>
            <w:tab/>
          </w:r>
          <w:r>
            <w:rPr>
              <w:rFonts w:ascii="Times New Roman" w:eastAsia="Times New Roman"/>
              <w:color w:val="auto"/>
              <w:w w:val="95"/>
            </w:rPr>
            <w:t>1</w:t>
          </w:r>
          <w:r>
            <w:rPr>
              <w:rFonts w:ascii="Times New Roman" w:eastAsia="Times New Roman"/>
              <w:color w:val="auto"/>
              <w:w w:val="95"/>
            </w:rPr>
            <w:fldChar w:fldCharType="end"/>
          </w:r>
        </w:p>
        <w:p>
          <w:pPr>
            <w:pStyle w:val="6"/>
            <w:numPr>
              <w:ilvl w:val="1"/>
              <w:numId w:val="1"/>
            </w:numPr>
            <w:tabs>
              <w:tab w:val="left" w:pos="262"/>
              <w:tab w:val="left" w:leader="dot" w:pos="7360"/>
            </w:tabs>
            <w:spacing w:before="43" w:after="0" w:line="240" w:lineRule="auto"/>
            <w:ind w:left="1421" w:right="538" w:hanging="1422"/>
            <w:jc w:val="right"/>
            <w:rPr>
              <w:rFonts w:ascii="Times New Roman" w:eastAsia="Times New Roman"/>
              <w:color w:val="auto"/>
            </w:rPr>
          </w:pPr>
          <w:r>
            <w:rPr>
              <w:color w:val="auto"/>
            </w:rPr>
            <w:fldChar w:fldCharType="begin"/>
          </w:r>
          <w:r>
            <w:rPr>
              <w:color w:val="auto"/>
            </w:rPr>
            <w:instrText xml:space="preserve"> HYPERLINK \l "_TOC_250047" </w:instrText>
          </w:r>
          <w:r>
            <w:rPr>
              <w:color w:val="auto"/>
            </w:rPr>
            <w:fldChar w:fldCharType="separate"/>
          </w:r>
          <w:r>
            <w:rPr>
              <w:color w:val="auto"/>
            </w:rPr>
            <w:t>出口货物劳务退（免）税政策</w:t>
          </w:r>
          <w:r>
            <w:rPr>
              <w:color w:val="auto"/>
            </w:rPr>
            <w:tab/>
          </w:r>
          <w:r>
            <w:rPr>
              <w:rFonts w:ascii="Times New Roman" w:eastAsia="Times New Roman"/>
              <w:color w:val="auto"/>
              <w:w w:val="95"/>
            </w:rPr>
            <w:t>1</w:t>
          </w:r>
          <w:r>
            <w:rPr>
              <w:rFonts w:ascii="Times New Roman" w:eastAsia="Times New Roman"/>
              <w:color w:val="auto"/>
              <w:w w:val="95"/>
            </w:rPr>
            <w:fldChar w:fldCharType="end"/>
          </w:r>
        </w:p>
        <w:p>
          <w:pPr>
            <w:pStyle w:val="6"/>
            <w:numPr>
              <w:ilvl w:val="1"/>
              <w:numId w:val="1"/>
            </w:numPr>
            <w:tabs>
              <w:tab w:val="left" w:pos="262"/>
              <w:tab w:val="left" w:leader="dot" w:pos="7360"/>
            </w:tabs>
            <w:spacing w:before="43" w:after="0" w:line="240" w:lineRule="auto"/>
            <w:ind w:left="1421" w:right="538" w:hanging="1422"/>
            <w:jc w:val="right"/>
            <w:rPr>
              <w:rFonts w:ascii="Times New Roman" w:eastAsia="Times New Roman"/>
              <w:color w:val="auto"/>
            </w:rPr>
          </w:pPr>
          <w:r>
            <w:rPr>
              <w:color w:val="auto"/>
            </w:rPr>
            <w:fldChar w:fldCharType="begin"/>
          </w:r>
          <w:r>
            <w:rPr>
              <w:color w:val="auto"/>
            </w:rPr>
            <w:instrText xml:space="preserve"> HYPERLINK \l "_TOC_250046" </w:instrText>
          </w:r>
          <w:r>
            <w:rPr>
              <w:color w:val="auto"/>
            </w:rPr>
            <w:fldChar w:fldCharType="separate"/>
          </w:r>
          <w:r>
            <w:rPr>
              <w:color w:val="auto"/>
            </w:rPr>
            <w:t>出口货物劳务免税政策</w:t>
          </w:r>
          <w:r>
            <w:rPr>
              <w:color w:val="auto"/>
            </w:rPr>
            <w:tab/>
          </w:r>
          <w:r>
            <w:rPr>
              <w:rFonts w:ascii="Times New Roman" w:eastAsia="Times New Roman"/>
              <w:color w:val="auto"/>
              <w:w w:val="95"/>
            </w:rPr>
            <w:t>3</w:t>
          </w:r>
          <w:r>
            <w:rPr>
              <w:rFonts w:ascii="Times New Roman" w:eastAsia="Times New Roman"/>
              <w:color w:val="auto"/>
              <w:w w:val="95"/>
            </w:rPr>
            <w:fldChar w:fldCharType="end"/>
          </w:r>
        </w:p>
        <w:p>
          <w:pPr>
            <w:pStyle w:val="6"/>
            <w:numPr>
              <w:ilvl w:val="1"/>
              <w:numId w:val="1"/>
            </w:numPr>
            <w:tabs>
              <w:tab w:val="left" w:pos="262"/>
              <w:tab w:val="left" w:leader="dot" w:pos="7360"/>
            </w:tabs>
            <w:spacing w:before="43" w:after="0" w:line="240" w:lineRule="auto"/>
            <w:ind w:left="1421" w:right="538" w:hanging="1422"/>
            <w:jc w:val="right"/>
            <w:rPr>
              <w:rFonts w:ascii="Times New Roman" w:eastAsia="Times New Roman"/>
              <w:color w:val="auto"/>
            </w:rPr>
          </w:pPr>
          <w:r>
            <w:rPr>
              <w:color w:val="auto"/>
            </w:rPr>
            <w:fldChar w:fldCharType="begin"/>
          </w:r>
          <w:r>
            <w:rPr>
              <w:color w:val="auto"/>
            </w:rPr>
            <w:instrText xml:space="preserve"> HYPERLINK \l "_TOC_250045" </w:instrText>
          </w:r>
          <w:r>
            <w:rPr>
              <w:color w:val="auto"/>
            </w:rPr>
            <w:fldChar w:fldCharType="separate"/>
          </w:r>
          <w:r>
            <w:rPr>
              <w:color w:val="auto"/>
              <w:w w:val="95"/>
            </w:rPr>
            <w:t>不适用增值税退（免）税和免税政策的出口货物劳务征税政策规定</w:t>
          </w:r>
          <w:r>
            <w:rPr>
              <w:color w:val="auto"/>
              <w:w w:val="95"/>
            </w:rPr>
            <w:tab/>
          </w:r>
          <w:r>
            <w:rPr>
              <w:rFonts w:ascii="Times New Roman" w:eastAsia="Times New Roman"/>
              <w:color w:val="auto"/>
            </w:rPr>
            <w:t>5</w:t>
          </w:r>
          <w:r>
            <w:rPr>
              <w:rFonts w:ascii="Times New Roman" w:eastAsia="Times New Roman"/>
              <w:color w:val="auto"/>
            </w:rPr>
            <w:fldChar w:fldCharType="end"/>
          </w:r>
        </w:p>
        <w:p>
          <w:pPr>
            <w:pStyle w:val="6"/>
            <w:numPr>
              <w:ilvl w:val="1"/>
              <w:numId w:val="1"/>
            </w:numPr>
            <w:tabs>
              <w:tab w:val="left" w:pos="262"/>
              <w:tab w:val="left" w:leader="dot" w:pos="7360"/>
            </w:tabs>
            <w:spacing w:before="43" w:after="0" w:line="240" w:lineRule="auto"/>
            <w:ind w:left="1421" w:right="538" w:hanging="1422"/>
            <w:jc w:val="right"/>
            <w:rPr>
              <w:rFonts w:ascii="Times New Roman" w:eastAsia="Times New Roman"/>
              <w:color w:val="auto"/>
            </w:rPr>
          </w:pPr>
          <w:r>
            <w:rPr>
              <w:color w:val="auto"/>
            </w:rPr>
            <w:fldChar w:fldCharType="begin"/>
          </w:r>
          <w:r>
            <w:rPr>
              <w:color w:val="auto"/>
            </w:rPr>
            <w:instrText xml:space="preserve"> HYPERLINK \l "_TOC_250044" </w:instrText>
          </w:r>
          <w:r>
            <w:rPr>
              <w:color w:val="auto"/>
            </w:rPr>
            <w:fldChar w:fldCharType="separate"/>
          </w:r>
          <w:r>
            <w:rPr>
              <w:color w:val="auto"/>
            </w:rPr>
            <w:t>海关特殊监管区域增值税一般纳税人试点政策</w:t>
          </w:r>
          <w:r>
            <w:rPr>
              <w:color w:val="auto"/>
            </w:rPr>
            <w:tab/>
          </w:r>
          <w:r>
            <w:rPr>
              <w:rFonts w:ascii="Times New Roman" w:eastAsia="Times New Roman"/>
              <w:color w:val="auto"/>
              <w:w w:val="95"/>
            </w:rPr>
            <w:t>7</w:t>
          </w:r>
          <w:r>
            <w:rPr>
              <w:rFonts w:ascii="Times New Roman" w:eastAsia="Times New Roman"/>
              <w:color w:val="auto"/>
              <w:w w:val="95"/>
            </w:rPr>
            <w:fldChar w:fldCharType="end"/>
          </w:r>
        </w:p>
        <w:p>
          <w:pPr>
            <w:pStyle w:val="6"/>
            <w:numPr>
              <w:ilvl w:val="1"/>
              <w:numId w:val="1"/>
            </w:numPr>
            <w:tabs>
              <w:tab w:val="left" w:pos="262"/>
              <w:tab w:val="left" w:leader="dot" w:pos="7264"/>
            </w:tabs>
            <w:spacing w:before="43" w:after="0" w:line="240" w:lineRule="auto"/>
            <w:ind w:left="1421" w:right="533" w:hanging="1422"/>
            <w:jc w:val="right"/>
            <w:rPr>
              <w:rFonts w:ascii="Times New Roman" w:eastAsia="Times New Roman"/>
              <w:color w:val="auto"/>
            </w:rPr>
          </w:pPr>
          <w:r>
            <w:rPr>
              <w:color w:val="auto"/>
            </w:rPr>
            <w:fldChar w:fldCharType="begin"/>
          </w:r>
          <w:r>
            <w:rPr>
              <w:color w:val="auto"/>
            </w:rPr>
            <w:instrText xml:space="preserve"> HYPERLINK \l "_TOC_250043" </w:instrText>
          </w:r>
          <w:r>
            <w:rPr>
              <w:color w:val="auto"/>
            </w:rPr>
            <w:fldChar w:fldCharType="separate"/>
          </w:r>
          <w:r>
            <w:rPr>
              <w:color w:val="auto"/>
            </w:rPr>
            <w:t>融资租赁货物出口退税政策</w:t>
          </w:r>
          <w:r>
            <w:rPr>
              <w:color w:val="auto"/>
            </w:rPr>
            <w:tab/>
          </w:r>
          <w:r>
            <w:rPr>
              <w:rFonts w:ascii="Times New Roman" w:eastAsia="Times New Roman"/>
              <w:color w:val="auto"/>
              <w:spacing w:val="-3"/>
            </w:rPr>
            <w:t>11</w:t>
          </w:r>
          <w:r>
            <w:rPr>
              <w:rFonts w:ascii="Times New Roman" w:eastAsia="Times New Roman"/>
              <w:color w:val="auto"/>
              <w:spacing w:val="-3"/>
            </w:rPr>
            <w:fldChar w:fldCharType="end"/>
          </w:r>
        </w:p>
        <w:p>
          <w:pPr>
            <w:pStyle w:val="6"/>
            <w:numPr>
              <w:ilvl w:val="1"/>
              <w:numId w:val="1"/>
            </w:numPr>
            <w:tabs>
              <w:tab w:val="left" w:pos="262"/>
              <w:tab w:val="left" w:leader="dot" w:pos="7255"/>
            </w:tabs>
            <w:spacing w:before="43" w:after="0" w:line="240" w:lineRule="auto"/>
            <w:ind w:left="1421" w:right="538" w:hanging="1422"/>
            <w:jc w:val="right"/>
            <w:rPr>
              <w:rFonts w:ascii="Times New Roman" w:eastAsia="Times New Roman"/>
              <w:color w:val="auto"/>
            </w:rPr>
          </w:pPr>
          <w:r>
            <w:rPr>
              <w:color w:val="auto"/>
            </w:rPr>
            <w:fldChar w:fldCharType="begin"/>
          </w:r>
          <w:r>
            <w:rPr>
              <w:color w:val="auto"/>
            </w:rPr>
            <w:instrText xml:space="preserve"> HYPERLINK \l "_TOC_250042" </w:instrText>
          </w:r>
          <w:r>
            <w:rPr>
              <w:color w:val="auto"/>
            </w:rPr>
            <w:fldChar w:fldCharType="separate"/>
          </w:r>
          <w:r>
            <w:rPr>
              <w:color w:val="auto"/>
            </w:rPr>
            <w:t>启运港退税政策</w:t>
          </w:r>
          <w:r>
            <w:rPr>
              <w:color w:val="auto"/>
            </w:rPr>
            <w:tab/>
          </w:r>
          <w:r>
            <w:rPr>
              <w:rFonts w:ascii="Times New Roman" w:eastAsia="Times New Roman"/>
              <w:color w:val="auto"/>
              <w:w w:val="95"/>
            </w:rPr>
            <w:t>13</w:t>
          </w:r>
          <w:r>
            <w:rPr>
              <w:rFonts w:ascii="Times New Roman" w:eastAsia="Times New Roman"/>
              <w:color w:val="auto"/>
              <w:w w:val="95"/>
            </w:rPr>
            <w:fldChar w:fldCharType="end"/>
          </w:r>
        </w:p>
        <w:p>
          <w:pPr>
            <w:pStyle w:val="6"/>
            <w:numPr>
              <w:ilvl w:val="1"/>
              <w:numId w:val="1"/>
            </w:numPr>
            <w:tabs>
              <w:tab w:val="left" w:pos="262"/>
              <w:tab w:val="left" w:leader="dot" w:pos="7255"/>
            </w:tabs>
            <w:spacing w:before="43" w:after="0" w:line="240" w:lineRule="auto"/>
            <w:ind w:left="1421" w:right="538" w:hanging="1422"/>
            <w:jc w:val="right"/>
            <w:rPr>
              <w:rFonts w:ascii="Times New Roman" w:eastAsia="Times New Roman"/>
              <w:color w:val="auto"/>
            </w:rPr>
          </w:pPr>
          <w:r>
            <w:rPr>
              <w:color w:val="auto"/>
            </w:rPr>
            <w:fldChar w:fldCharType="begin"/>
          </w:r>
          <w:r>
            <w:rPr>
              <w:color w:val="auto"/>
            </w:rPr>
            <w:instrText xml:space="preserve"> HYPERLINK \l "_TOC_250041" </w:instrText>
          </w:r>
          <w:r>
            <w:rPr>
              <w:color w:val="auto"/>
            </w:rPr>
            <w:fldChar w:fldCharType="separate"/>
          </w:r>
          <w:r>
            <w:rPr>
              <w:color w:val="auto"/>
            </w:rPr>
            <w:t>边境小额贸易税收政策</w:t>
          </w:r>
          <w:r>
            <w:rPr>
              <w:color w:val="auto"/>
            </w:rPr>
            <w:tab/>
          </w:r>
          <w:r>
            <w:rPr>
              <w:rFonts w:ascii="Times New Roman" w:eastAsia="Times New Roman"/>
              <w:color w:val="auto"/>
              <w:w w:val="95"/>
            </w:rPr>
            <w:t>16</w:t>
          </w:r>
          <w:r>
            <w:rPr>
              <w:rFonts w:ascii="Times New Roman" w:eastAsia="Times New Roman"/>
              <w:color w:val="auto"/>
              <w:w w:val="95"/>
            </w:rPr>
            <w:fldChar w:fldCharType="end"/>
          </w:r>
        </w:p>
        <w:p>
          <w:pPr>
            <w:pStyle w:val="6"/>
            <w:tabs>
              <w:tab w:val="left" w:leader="dot" w:pos="7675"/>
            </w:tabs>
            <w:spacing w:before="42"/>
            <w:ind w:left="0" w:firstLine="0"/>
            <w:rPr>
              <w:rFonts w:ascii="Times New Roman" w:eastAsia="Times New Roman"/>
              <w:color w:val="auto"/>
            </w:rPr>
          </w:pPr>
          <w:r>
            <w:rPr>
              <w:color w:val="auto"/>
            </w:rPr>
            <w:fldChar w:fldCharType="begin"/>
          </w:r>
          <w:r>
            <w:rPr>
              <w:color w:val="auto"/>
            </w:rPr>
            <w:instrText xml:space="preserve"> HYPERLINK \l "_TOC_250040" </w:instrText>
          </w:r>
          <w:r>
            <w:rPr>
              <w:color w:val="auto"/>
            </w:rPr>
            <w:fldChar w:fldCharType="separate"/>
          </w:r>
          <w:r>
            <w:rPr>
              <w:color w:val="auto"/>
            </w:rPr>
            <w:t>（二）</w:t>
          </w:r>
          <w:r>
            <w:rPr>
              <w:color w:val="auto"/>
              <w:spacing w:val="-4"/>
            </w:rPr>
            <w:t xml:space="preserve"> </w:t>
          </w:r>
          <w:r>
            <w:rPr>
              <w:color w:val="auto"/>
            </w:rPr>
            <w:t>跨境应税行为增值税政策</w:t>
          </w:r>
          <w:r>
            <w:rPr>
              <w:color w:val="auto"/>
            </w:rPr>
            <w:tab/>
          </w:r>
          <w:r>
            <w:rPr>
              <w:rFonts w:ascii="Times New Roman" w:eastAsia="Times New Roman"/>
              <w:color w:val="auto"/>
              <w:w w:val="95"/>
            </w:rPr>
            <w:t>19</w:t>
          </w:r>
          <w:r>
            <w:rPr>
              <w:rFonts w:ascii="Times New Roman" w:eastAsia="Times New Roman"/>
              <w:color w:val="auto"/>
              <w:w w:val="95"/>
            </w:rPr>
            <w:fldChar w:fldCharType="end"/>
          </w:r>
        </w:p>
        <w:p>
          <w:pPr>
            <w:pStyle w:val="6"/>
            <w:numPr>
              <w:ilvl w:val="1"/>
              <w:numId w:val="1"/>
            </w:numPr>
            <w:tabs>
              <w:tab w:val="left" w:pos="262"/>
              <w:tab w:val="left" w:leader="dot" w:pos="7255"/>
            </w:tabs>
            <w:spacing w:before="43" w:after="0" w:line="240" w:lineRule="auto"/>
            <w:ind w:left="1421" w:right="538" w:hanging="1422"/>
            <w:jc w:val="right"/>
            <w:rPr>
              <w:rFonts w:ascii="Times New Roman" w:eastAsia="Times New Roman"/>
              <w:color w:val="auto"/>
            </w:rPr>
          </w:pPr>
          <w:r>
            <w:rPr>
              <w:color w:val="auto"/>
            </w:rPr>
            <w:fldChar w:fldCharType="begin"/>
          </w:r>
          <w:r>
            <w:rPr>
              <w:color w:val="auto"/>
            </w:rPr>
            <w:instrText xml:space="preserve"> HYPERLINK \l "_TOC_250039" </w:instrText>
          </w:r>
          <w:r>
            <w:rPr>
              <w:color w:val="auto"/>
            </w:rPr>
            <w:fldChar w:fldCharType="separate"/>
          </w:r>
          <w:r>
            <w:rPr>
              <w:color w:val="auto"/>
            </w:rPr>
            <w:t>跨境应税行为适用增值税零税率政策</w:t>
          </w:r>
          <w:r>
            <w:rPr>
              <w:color w:val="auto"/>
            </w:rPr>
            <w:tab/>
          </w:r>
          <w:r>
            <w:rPr>
              <w:rFonts w:ascii="Times New Roman" w:eastAsia="Times New Roman"/>
              <w:color w:val="auto"/>
              <w:w w:val="95"/>
            </w:rPr>
            <w:t>19</w:t>
          </w:r>
          <w:r>
            <w:rPr>
              <w:rFonts w:ascii="Times New Roman" w:eastAsia="Times New Roman"/>
              <w:color w:val="auto"/>
              <w:w w:val="95"/>
            </w:rPr>
            <w:fldChar w:fldCharType="end"/>
          </w:r>
        </w:p>
        <w:p>
          <w:pPr>
            <w:pStyle w:val="6"/>
            <w:numPr>
              <w:ilvl w:val="1"/>
              <w:numId w:val="1"/>
            </w:numPr>
            <w:tabs>
              <w:tab w:val="left" w:pos="262"/>
              <w:tab w:val="left" w:leader="dot" w:pos="7255"/>
            </w:tabs>
            <w:spacing w:before="43" w:after="0" w:line="240" w:lineRule="auto"/>
            <w:ind w:left="1421" w:right="538" w:hanging="1422"/>
            <w:jc w:val="right"/>
            <w:rPr>
              <w:rFonts w:ascii="Times New Roman" w:eastAsia="Times New Roman"/>
              <w:color w:val="auto"/>
            </w:rPr>
          </w:pPr>
          <w:r>
            <w:rPr>
              <w:color w:val="auto"/>
            </w:rPr>
            <w:fldChar w:fldCharType="begin"/>
          </w:r>
          <w:r>
            <w:rPr>
              <w:color w:val="auto"/>
            </w:rPr>
            <w:instrText xml:space="preserve"> HYPERLINK \l "_TOC_250038" </w:instrText>
          </w:r>
          <w:r>
            <w:rPr>
              <w:color w:val="auto"/>
            </w:rPr>
            <w:fldChar w:fldCharType="separate"/>
          </w:r>
          <w:r>
            <w:rPr>
              <w:color w:val="auto"/>
            </w:rPr>
            <w:t>跨境应税行为适用增值税免税政策</w:t>
          </w:r>
          <w:r>
            <w:rPr>
              <w:color w:val="auto"/>
            </w:rPr>
            <w:tab/>
          </w:r>
          <w:r>
            <w:rPr>
              <w:rFonts w:ascii="Times New Roman" w:eastAsia="Times New Roman"/>
              <w:color w:val="auto"/>
              <w:w w:val="95"/>
            </w:rPr>
            <w:t>22</w:t>
          </w:r>
          <w:r>
            <w:rPr>
              <w:rFonts w:ascii="Times New Roman" w:eastAsia="Times New Roman"/>
              <w:color w:val="auto"/>
              <w:w w:val="95"/>
            </w:rPr>
            <w:fldChar w:fldCharType="end"/>
          </w:r>
        </w:p>
        <w:p>
          <w:pPr>
            <w:pStyle w:val="6"/>
            <w:tabs>
              <w:tab w:val="left" w:leader="dot" w:pos="7675"/>
            </w:tabs>
            <w:ind w:left="0" w:firstLine="0"/>
            <w:rPr>
              <w:rFonts w:ascii="Times New Roman" w:eastAsia="Times New Roman"/>
              <w:color w:val="auto"/>
            </w:rPr>
          </w:pPr>
          <w:r>
            <w:rPr>
              <w:color w:val="auto"/>
            </w:rPr>
            <w:fldChar w:fldCharType="begin"/>
          </w:r>
          <w:r>
            <w:rPr>
              <w:color w:val="auto"/>
            </w:rPr>
            <w:instrText xml:space="preserve"> HYPERLINK \l "_TOC_250037" </w:instrText>
          </w:r>
          <w:r>
            <w:rPr>
              <w:color w:val="auto"/>
            </w:rPr>
            <w:fldChar w:fldCharType="separate"/>
          </w:r>
          <w:r>
            <w:rPr>
              <w:color w:val="auto"/>
            </w:rPr>
            <w:t>（三）</w:t>
          </w:r>
          <w:r>
            <w:rPr>
              <w:color w:val="auto"/>
              <w:spacing w:val="-3"/>
            </w:rPr>
            <w:t xml:space="preserve"> </w:t>
          </w:r>
          <w:r>
            <w:rPr>
              <w:color w:val="auto"/>
            </w:rPr>
            <w:t>外贸新业态税收政策</w:t>
          </w:r>
          <w:r>
            <w:rPr>
              <w:color w:val="auto"/>
            </w:rPr>
            <w:tab/>
          </w:r>
          <w:r>
            <w:rPr>
              <w:rFonts w:ascii="Times New Roman" w:eastAsia="Times New Roman"/>
              <w:color w:val="auto"/>
              <w:w w:val="95"/>
            </w:rPr>
            <w:t>29</w:t>
          </w:r>
          <w:r>
            <w:rPr>
              <w:rFonts w:ascii="Times New Roman" w:eastAsia="Times New Roman"/>
              <w:color w:val="auto"/>
              <w:w w:val="95"/>
            </w:rPr>
            <w:fldChar w:fldCharType="end"/>
          </w:r>
        </w:p>
        <w:p>
          <w:pPr>
            <w:pStyle w:val="6"/>
            <w:numPr>
              <w:ilvl w:val="1"/>
              <w:numId w:val="1"/>
            </w:numPr>
            <w:tabs>
              <w:tab w:val="left" w:pos="368"/>
              <w:tab w:val="left" w:leader="dot" w:pos="7255"/>
            </w:tabs>
            <w:spacing w:before="43" w:after="0" w:line="240" w:lineRule="auto"/>
            <w:ind w:left="1527" w:right="538" w:hanging="1528"/>
            <w:jc w:val="right"/>
            <w:rPr>
              <w:rFonts w:ascii="Times New Roman" w:eastAsia="Times New Roman"/>
              <w:color w:val="auto"/>
            </w:rPr>
          </w:pPr>
          <w:r>
            <w:rPr>
              <w:color w:val="auto"/>
            </w:rPr>
            <w:fldChar w:fldCharType="begin"/>
          </w:r>
          <w:r>
            <w:rPr>
              <w:color w:val="auto"/>
            </w:rPr>
            <w:instrText xml:space="preserve"> HYPERLINK \l "_TOC_250036" </w:instrText>
          </w:r>
          <w:r>
            <w:rPr>
              <w:color w:val="auto"/>
            </w:rPr>
            <w:fldChar w:fldCharType="separate"/>
          </w:r>
          <w:r>
            <w:rPr>
              <w:color w:val="auto"/>
            </w:rPr>
            <w:t>跨境电子商务零售出口适用增值税、消费税退（免）税政策</w:t>
          </w:r>
          <w:r>
            <w:rPr>
              <w:color w:val="auto"/>
            </w:rPr>
            <w:tab/>
          </w:r>
          <w:r>
            <w:rPr>
              <w:rFonts w:ascii="Times New Roman" w:eastAsia="Times New Roman"/>
              <w:color w:val="auto"/>
              <w:w w:val="95"/>
            </w:rPr>
            <w:t>29</w:t>
          </w:r>
          <w:r>
            <w:rPr>
              <w:rFonts w:ascii="Times New Roman" w:eastAsia="Times New Roman"/>
              <w:color w:val="auto"/>
              <w:w w:val="95"/>
            </w:rPr>
            <w:fldChar w:fldCharType="end"/>
          </w:r>
        </w:p>
        <w:p>
          <w:pPr>
            <w:pStyle w:val="6"/>
            <w:numPr>
              <w:ilvl w:val="1"/>
              <w:numId w:val="1"/>
            </w:numPr>
            <w:tabs>
              <w:tab w:val="left" w:pos="360"/>
              <w:tab w:val="left" w:leader="dot" w:pos="7255"/>
            </w:tabs>
            <w:spacing w:before="43" w:after="0" w:line="240" w:lineRule="auto"/>
            <w:ind w:left="1520" w:right="538" w:hanging="1520"/>
            <w:jc w:val="right"/>
            <w:rPr>
              <w:rFonts w:ascii="Times New Roman" w:eastAsia="Times New Roman"/>
              <w:color w:val="auto"/>
            </w:rPr>
          </w:pPr>
          <w:r>
            <w:rPr>
              <w:color w:val="auto"/>
            </w:rPr>
            <w:fldChar w:fldCharType="begin"/>
          </w:r>
          <w:r>
            <w:rPr>
              <w:color w:val="auto"/>
            </w:rPr>
            <w:instrText xml:space="preserve"> HYPERLINK \l "_TOC_250035" </w:instrText>
          </w:r>
          <w:r>
            <w:rPr>
              <w:color w:val="auto"/>
            </w:rPr>
            <w:fldChar w:fldCharType="separate"/>
          </w:r>
          <w:r>
            <w:rPr>
              <w:color w:val="auto"/>
            </w:rPr>
            <w:t>跨境电子商务零售出口免征增值税、消费税</w:t>
          </w:r>
          <w:r>
            <w:rPr>
              <w:color w:val="auto"/>
            </w:rPr>
            <w:tab/>
          </w:r>
          <w:r>
            <w:rPr>
              <w:rFonts w:ascii="Times New Roman" w:eastAsia="Times New Roman"/>
              <w:color w:val="auto"/>
              <w:w w:val="95"/>
            </w:rPr>
            <w:t>30</w:t>
          </w:r>
          <w:r>
            <w:rPr>
              <w:rFonts w:ascii="Times New Roman" w:eastAsia="Times New Roman"/>
              <w:color w:val="auto"/>
              <w:w w:val="95"/>
            </w:rPr>
            <w:fldChar w:fldCharType="end"/>
          </w:r>
        </w:p>
        <w:p>
          <w:pPr>
            <w:pStyle w:val="6"/>
            <w:numPr>
              <w:ilvl w:val="1"/>
              <w:numId w:val="1"/>
            </w:numPr>
            <w:tabs>
              <w:tab w:val="left" w:pos="368"/>
              <w:tab w:val="left" w:leader="dot" w:pos="7255"/>
            </w:tabs>
            <w:spacing w:before="43" w:after="0" w:line="240" w:lineRule="auto"/>
            <w:ind w:left="1527" w:right="538" w:hanging="1528"/>
            <w:jc w:val="right"/>
            <w:rPr>
              <w:rFonts w:ascii="Times New Roman" w:eastAsia="Times New Roman"/>
              <w:color w:val="auto"/>
            </w:rPr>
          </w:pPr>
          <w:r>
            <w:rPr>
              <w:color w:val="auto"/>
            </w:rPr>
            <w:fldChar w:fldCharType="begin"/>
          </w:r>
          <w:r>
            <w:rPr>
              <w:color w:val="auto"/>
            </w:rPr>
            <w:instrText xml:space="preserve"> HYPERLINK \l "_TOC_250034" </w:instrText>
          </w:r>
          <w:r>
            <w:rPr>
              <w:color w:val="auto"/>
            </w:rPr>
            <w:fldChar w:fldCharType="separate"/>
          </w:r>
          <w:r>
            <w:rPr>
              <w:color w:val="auto"/>
            </w:rPr>
            <w:t>跨境电子商务综试区零售出口无票免税政策</w:t>
          </w:r>
          <w:r>
            <w:rPr>
              <w:color w:val="auto"/>
            </w:rPr>
            <w:tab/>
          </w:r>
          <w:r>
            <w:rPr>
              <w:rFonts w:ascii="Times New Roman" w:eastAsia="Times New Roman"/>
              <w:color w:val="auto"/>
              <w:w w:val="95"/>
            </w:rPr>
            <w:t>31</w:t>
          </w:r>
          <w:r>
            <w:rPr>
              <w:rFonts w:ascii="Times New Roman" w:eastAsia="Times New Roman"/>
              <w:color w:val="auto"/>
              <w:w w:val="95"/>
            </w:rPr>
            <w:fldChar w:fldCharType="end"/>
          </w:r>
        </w:p>
        <w:p>
          <w:pPr>
            <w:pStyle w:val="6"/>
            <w:numPr>
              <w:ilvl w:val="1"/>
              <w:numId w:val="1"/>
            </w:numPr>
            <w:tabs>
              <w:tab w:val="left" w:pos="368"/>
              <w:tab w:val="left" w:leader="dot" w:pos="7255"/>
            </w:tabs>
            <w:spacing w:before="43" w:after="0" w:line="240" w:lineRule="auto"/>
            <w:ind w:left="1527" w:right="538" w:hanging="1528"/>
            <w:jc w:val="right"/>
            <w:rPr>
              <w:rFonts w:ascii="Times New Roman" w:eastAsia="Times New Roman"/>
              <w:color w:val="auto"/>
            </w:rPr>
          </w:pPr>
          <w:r>
            <w:rPr>
              <w:color w:val="auto"/>
            </w:rPr>
            <w:fldChar w:fldCharType="begin"/>
          </w:r>
          <w:r>
            <w:rPr>
              <w:color w:val="auto"/>
            </w:rPr>
            <w:instrText xml:space="preserve"> HYPERLINK \l "_TOC_250033" </w:instrText>
          </w:r>
          <w:r>
            <w:rPr>
              <w:color w:val="auto"/>
            </w:rPr>
            <w:fldChar w:fldCharType="separate"/>
          </w:r>
          <w:r>
            <w:rPr>
              <w:color w:val="auto"/>
            </w:rPr>
            <w:t>跨境电子商务综试区零售出口企业所得税核定征收政策</w:t>
          </w:r>
          <w:r>
            <w:rPr>
              <w:color w:val="auto"/>
            </w:rPr>
            <w:tab/>
          </w:r>
          <w:r>
            <w:rPr>
              <w:rFonts w:ascii="Times New Roman" w:eastAsia="Times New Roman"/>
              <w:color w:val="auto"/>
              <w:w w:val="95"/>
            </w:rPr>
            <w:t>33</w:t>
          </w:r>
          <w:r>
            <w:rPr>
              <w:rFonts w:ascii="Times New Roman" w:eastAsia="Times New Roman"/>
              <w:color w:val="auto"/>
              <w:w w:val="95"/>
            </w:rPr>
            <w:fldChar w:fldCharType="end"/>
          </w:r>
        </w:p>
        <w:p>
          <w:pPr>
            <w:pStyle w:val="6"/>
            <w:numPr>
              <w:ilvl w:val="1"/>
              <w:numId w:val="1"/>
            </w:numPr>
            <w:tabs>
              <w:tab w:val="left" w:pos="368"/>
              <w:tab w:val="left" w:leader="dot" w:pos="7255"/>
            </w:tabs>
            <w:spacing w:before="43" w:after="0" w:line="240" w:lineRule="auto"/>
            <w:ind w:left="1527" w:right="538" w:hanging="1528"/>
            <w:jc w:val="right"/>
            <w:rPr>
              <w:rFonts w:ascii="Times New Roman" w:eastAsia="Times New Roman"/>
              <w:color w:val="auto"/>
            </w:rPr>
          </w:pPr>
          <w:r>
            <w:rPr>
              <w:color w:val="auto"/>
            </w:rPr>
            <w:fldChar w:fldCharType="begin"/>
          </w:r>
          <w:r>
            <w:rPr>
              <w:color w:val="auto"/>
            </w:rPr>
            <w:instrText xml:space="preserve"> HYPERLINK \l "_TOC_250032" </w:instrText>
          </w:r>
          <w:r>
            <w:rPr>
              <w:color w:val="auto"/>
            </w:rPr>
            <w:fldChar w:fldCharType="separate"/>
          </w:r>
          <w:r>
            <w:rPr>
              <w:color w:val="auto"/>
            </w:rPr>
            <w:t>市场采购贸易方式出口货物免征增值税政策</w:t>
          </w:r>
          <w:r>
            <w:rPr>
              <w:color w:val="auto"/>
            </w:rPr>
            <w:tab/>
          </w:r>
          <w:r>
            <w:rPr>
              <w:rFonts w:ascii="Times New Roman" w:eastAsia="Times New Roman"/>
              <w:color w:val="auto"/>
              <w:w w:val="95"/>
            </w:rPr>
            <w:t>34</w:t>
          </w:r>
          <w:r>
            <w:rPr>
              <w:rFonts w:ascii="Times New Roman" w:eastAsia="Times New Roman"/>
              <w:color w:val="auto"/>
              <w:w w:val="95"/>
            </w:rPr>
            <w:fldChar w:fldCharType="end"/>
          </w:r>
        </w:p>
        <w:p>
          <w:pPr>
            <w:pStyle w:val="6"/>
            <w:numPr>
              <w:ilvl w:val="1"/>
              <w:numId w:val="1"/>
            </w:numPr>
            <w:tabs>
              <w:tab w:val="left" w:pos="368"/>
              <w:tab w:val="left" w:leader="dot" w:pos="7255"/>
            </w:tabs>
            <w:spacing w:before="43" w:after="0" w:line="240" w:lineRule="auto"/>
            <w:ind w:left="1527" w:right="538" w:hanging="1528"/>
            <w:jc w:val="right"/>
            <w:rPr>
              <w:rFonts w:ascii="Times New Roman" w:eastAsia="Times New Roman"/>
              <w:color w:val="auto"/>
            </w:rPr>
          </w:pPr>
          <w:r>
            <w:rPr>
              <w:color w:val="auto"/>
            </w:rPr>
            <w:fldChar w:fldCharType="begin"/>
          </w:r>
          <w:r>
            <w:rPr>
              <w:color w:val="auto"/>
            </w:rPr>
            <w:instrText xml:space="preserve"> HYPERLINK \l "_TOC_250031" </w:instrText>
          </w:r>
          <w:r>
            <w:rPr>
              <w:color w:val="auto"/>
            </w:rPr>
            <w:fldChar w:fldCharType="separate"/>
          </w:r>
          <w:r>
            <w:rPr>
              <w:color w:val="auto"/>
            </w:rPr>
            <w:t>外贸综合服务企业代办退税政策</w:t>
          </w:r>
          <w:r>
            <w:rPr>
              <w:color w:val="auto"/>
            </w:rPr>
            <w:tab/>
          </w:r>
          <w:r>
            <w:rPr>
              <w:rFonts w:ascii="Times New Roman" w:eastAsia="Times New Roman"/>
              <w:color w:val="auto"/>
              <w:w w:val="95"/>
            </w:rPr>
            <w:t>36</w:t>
          </w:r>
          <w:r>
            <w:rPr>
              <w:rFonts w:ascii="Times New Roman" w:eastAsia="Times New Roman"/>
              <w:color w:val="auto"/>
              <w:w w:val="95"/>
            </w:rPr>
            <w:fldChar w:fldCharType="end"/>
          </w:r>
        </w:p>
        <w:p>
          <w:pPr>
            <w:pStyle w:val="6"/>
            <w:tabs>
              <w:tab w:val="left" w:leader="dot" w:pos="7675"/>
            </w:tabs>
            <w:ind w:left="0" w:firstLine="0"/>
            <w:rPr>
              <w:rFonts w:ascii="Times New Roman" w:eastAsia="Times New Roman"/>
              <w:color w:val="auto"/>
            </w:rPr>
          </w:pPr>
          <w:r>
            <w:rPr>
              <w:color w:val="auto"/>
            </w:rPr>
            <w:fldChar w:fldCharType="begin"/>
          </w:r>
          <w:r>
            <w:rPr>
              <w:color w:val="auto"/>
            </w:rPr>
            <w:instrText xml:space="preserve"> HYPERLINK \l "_TOC_250030" </w:instrText>
          </w:r>
          <w:r>
            <w:rPr>
              <w:color w:val="auto"/>
            </w:rPr>
            <w:fldChar w:fldCharType="separate"/>
          </w:r>
          <w:r>
            <w:rPr>
              <w:color w:val="auto"/>
            </w:rPr>
            <w:t>（四）</w:t>
          </w:r>
          <w:r>
            <w:rPr>
              <w:color w:val="auto"/>
              <w:spacing w:val="-5"/>
            </w:rPr>
            <w:t xml:space="preserve"> </w:t>
          </w:r>
          <w:r>
            <w:rPr>
              <w:color w:val="auto"/>
            </w:rPr>
            <w:t>出口退（免）税服务便利化举措</w:t>
          </w:r>
          <w:r>
            <w:rPr>
              <w:color w:val="auto"/>
            </w:rPr>
            <w:tab/>
          </w:r>
          <w:r>
            <w:rPr>
              <w:rFonts w:ascii="Times New Roman" w:eastAsia="Times New Roman"/>
              <w:color w:val="auto"/>
              <w:w w:val="95"/>
            </w:rPr>
            <w:t>39</w:t>
          </w:r>
          <w:r>
            <w:rPr>
              <w:rFonts w:ascii="Times New Roman" w:eastAsia="Times New Roman"/>
              <w:color w:val="auto"/>
              <w:w w:val="95"/>
            </w:rPr>
            <w:fldChar w:fldCharType="end"/>
          </w:r>
        </w:p>
        <w:p>
          <w:pPr>
            <w:pStyle w:val="6"/>
            <w:numPr>
              <w:ilvl w:val="1"/>
              <w:numId w:val="1"/>
            </w:numPr>
            <w:tabs>
              <w:tab w:val="left" w:pos="368"/>
              <w:tab w:val="left" w:leader="dot" w:pos="7255"/>
            </w:tabs>
            <w:spacing w:before="43" w:after="0" w:line="240" w:lineRule="auto"/>
            <w:ind w:left="1527" w:right="538" w:hanging="1528"/>
            <w:jc w:val="right"/>
            <w:rPr>
              <w:rFonts w:ascii="Times New Roman" w:eastAsia="Times New Roman"/>
              <w:color w:val="auto"/>
            </w:rPr>
          </w:pPr>
          <w:r>
            <w:rPr>
              <w:color w:val="auto"/>
            </w:rPr>
            <w:fldChar w:fldCharType="begin"/>
          </w:r>
          <w:r>
            <w:rPr>
              <w:color w:val="auto"/>
            </w:rPr>
            <w:instrText xml:space="preserve"> HYPERLINK \l "_TOC_250029" </w:instrText>
          </w:r>
          <w:r>
            <w:rPr>
              <w:color w:val="auto"/>
            </w:rPr>
            <w:fldChar w:fldCharType="separate"/>
          </w:r>
          <w:r>
            <w:rPr>
              <w:color w:val="auto"/>
            </w:rPr>
            <w:t>简并优化出口退（免）税报送资料和办理流程</w:t>
          </w:r>
          <w:r>
            <w:rPr>
              <w:color w:val="auto"/>
            </w:rPr>
            <w:tab/>
          </w:r>
          <w:r>
            <w:rPr>
              <w:rFonts w:ascii="Times New Roman" w:eastAsia="Times New Roman"/>
              <w:color w:val="auto"/>
              <w:w w:val="95"/>
            </w:rPr>
            <w:t>39</w:t>
          </w:r>
          <w:r>
            <w:rPr>
              <w:rFonts w:ascii="Times New Roman" w:eastAsia="Times New Roman"/>
              <w:color w:val="auto"/>
              <w:w w:val="95"/>
            </w:rPr>
            <w:fldChar w:fldCharType="end"/>
          </w:r>
        </w:p>
        <w:p>
          <w:pPr>
            <w:pStyle w:val="6"/>
            <w:numPr>
              <w:ilvl w:val="1"/>
              <w:numId w:val="1"/>
            </w:numPr>
            <w:tabs>
              <w:tab w:val="left" w:pos="368"/>
              <w:tab w:val="left" w:leader="dot" w:pos="7255"/>
            </w:tabs>
            <w:spacing w:before="43" w:after="0" w:line="240" w:lineRule="auto"/>
            <w:ind w:left="1527" w:right="538" w:hanging="1528"/>
            <w:jc w:val="right"/>
            <w:rPr>
              <w:rFonts w:ascii="Times New Roman" w:eastAsia="Times New Roman"/>
              <w:color w:val="auto"/>
            </w:rPr>
          </w:pPr>
          <w:r>
            <w:rPr>
              <w:color w:val="auto"/>
            </w:rPr>
            <w:fldChar w:fldCharType="begin"/>
          </w:r>
          <w:r>
            <w:rPr>
              <w:color w:val="auto"/>
            </w:rPr>
            <w:instrText xml:space="preserve"> HYPERLINK \l "_TOC_250028" </w:instrText>
          </w:r>
          <w:r>
            <w:rPr>
              <w:color w:val="auto"/>
            </w:rPr>
            <w:fldChar w:fldCharType="separate"/>
          </w:r>
          <w:r>
            <w:rPr>
              <w:color w:val="auto"/>
            </w:rPr>
            <w:t>持续加快出口退（免）税办理进度</w:t>
          </w:r>
          <w:r>
            <w:rPr>
              <w:color w:val="auto"/>
            </w:rPr>
            <w:tab/>
          </w:r>
          <w:r>
            <w:rPr>
              <w:rFonts w:ascii="Times New Roman" w:eastAsia="Times New Roman"/>
              <w:color w:val="auto"/>
              <w:w w:val="95"/>
            </w:rPr>
            <w:t>43</w:t>
          </w:r>
          <w:r>
            <w:rPr>
              <w:rFonts w:ascii="Times New Roman" w:eastAsia="Times New Roman"/>
              <w:color w:val="auto"/>
              <w:w w:val="95"/>
            </w:rPr>
            <w:fldChar w:fldCharType="end"/>
          </w:r>
        </w:p>
        <w:p>
          <w:pPr>
            <w:pStyle w:val="6"/>
            <w:numPr>
              <w:ilvl w:val="1"/>
              <w:numId w:val="1"/>
            </w:numPr>
            <w:tabs>
              <w:tab w:val="left" w:pos="368"/>
              <w:tab w:val="left" w:leader="dot" w:pos="7255"/>
            </w:tabs>
            <w:spacing w:before="43" w:after="0" w:line="240" w:lineRule="auto"/>
            <w:ind w:left="1527" w:right="538" w:hanging="1528"/>
            <w:jc w:val="right"/>
            <w:rPr>
              <w:rFonts w:ascii="Times New Roman" w:eastAsia="Times New Roman"/>
              <w:color w:val="auto"/>
            </w:rPr>
          </w:pPr>
          <w:r>
            <w:rPr>
              <w:color w:val="auto"/>
            </w:rPr>
            <w:fldChar w:fldCharType="begin"/>
          </w:r>
          <w:r>
            <w:rPr>
              <w:color w:val="auto"/>
            </w:rPr>
            <w:instrText xml:space="preserve"> HYPERLINK \l "_TOC_250027" </w:instrText>
          </w:r>
          <w:r>
            <w:rPr>
              <w:color w:val="auto"/>
            </w:rPr>
            <w:fldChar w:fldCharType="separate"/>
          </w:r>
          <w:r>
            <w:rPr>
              <w:color w:val="auto"/>
            </w:rPr>
            <w:t>持续提升出口退（免）税服务水平</w:t>
          </w:r>
          <w:r>
            <w:rPr>
              <w:color w:val="auto"/>
            </w:rPr>
            <w:tab/>
          </w:r>
          <w:r>
            <w:rPr>
              <w:rFonts w:ascii="Times New Roman" w:eastAsia="Times New Roman"/>
              <w:color w:val="auto"/>
              <w:w w:val="95"/>
            </w:rPr>
            <w:t>43</w:t>
          </w:r>
          <w:r>
            <w:rPr>
              <w:rFonts w:ascii="Times New Roman" w:eastAsia="Times New Roman"/>
              <w:color w:val="auto"/>
              <w:w w:val="95"/>
            </w:rPr>
            <w:fldChar w:fldCharType="end"/>
          </w:r>
        </w:p>
        <w:p>
          <w:pPr>
            <w:pStyle w:val="6"/>
            <w:tabs>
              <w:tab w:val="left" w:leader="dot" w:pos="8095"/>
            </w:tabs>
            <w:ind w:left="0" w:firstLine="0"/>
            <w:rPr>
              <w:rFonts w:ascii="Times New Roman" w:eastAsia="Times New Roman"/>
              <w:color w:val="auto"/>
            </w:rPr>
          </w:pPr>
          <w:r>
            <w:rPr>
              <w:color w:val="auto"/>
            </w:rPr>
            <w:fldChar w:fldCharType="begin"/>
          </w:r>
          <w:r>
            <w:rPr>
              <w:color w:val="auto"/>
            </w:rPr>
            <w:instrText xml:space="preserve"> HYPERLINK \l "_TOC_250026" </w:instrText>
          </w:r>
          <w:r>
            <w:rPr>
              <w:color w:val="auto"/>
            </w:rPr>
            <w:fldChar w:fldCharType="separate"/>
          </w:r>
          <w:r>
            <w:rPr>
              <w:color w:val="auto"/>
            </w:rPr>
            <w:t>二、</w:t>
          </w:r>
          <w:r>
            <w:rPr>
              <w:color w:val="auto"/>
              <w:spacing w:val="-1"/>
            </w:rPr>
            <w:t xml:space="preserve"> </w:t>
          </w:r>
          <w:r>
            <w:rPr>
              <w:color w:val="auto"/>
            </w:rPr>
            <w:t>稳外资税收政策</w:t>
          </w:r>
          <w:r>
            <w:rPr>
              <w:color w:val="auto"/>
            </w:rPr>
            <w:tab/>
          </w:r>
          <w:r>
            <w:rPr>
              <w:rFonts w:ascii="Times New Roman" w:eastAsia="Times New Roman"/>
              <w:color w:val="auto"/>
              <w:w w:val="95"/>
            </w:rPr>
            <w:t>45</w:t>
          </w:r>
          <w:r>
            <w:rPr>
              <w:rFonts w:ascii="Times New Roman" w:eastAsia="Times New Roman"/>
              <w:color w:val="auto"/>
              <w:w w:val="95"/>
            </w:rPr>
            <w:fldChar w:fldCharType="end"/>
          </w:r>
        </w:p>
        <w:p>
          <w:pPr>
            <w:pStyle w:val="6"/>
            <w:tabs>
              <w:tab w:val="left" w:leader="dot" w:pos="7675"/>
            </w:tabs>
            <w:ind w:left="0" w:firstLine="0"/>
            <w:rPr>
              <w:rFonts w:ascii="Times New Roman" w:eastAsia="Times New Roman"/>
              <w:color w:val="auto"/>
            </w:rPr>
          </w:pPr>
          <w:r>
            <w:rPr>
              <w:color w:val="auto"/>
            </w:rPr>
            <w:fldChar w:fldCharType="begin"/>
          </w:r>
          <w:r>
            <w:rPr>
              <w:color w:val="auto"/>
            </w:rPr>
            <w:instrText xml:space="preserve"> HYPERLINK \l "_TOC_250025" </w:instrText>
          </w:r>
          <w:r>
            <w:rPr>
              <w:color w:val="auto"/>
            </w:rPr>
            <w:fldChar w:fldCharType="separate"/>
          </w:r>
          <w:r>
            <w:rPr>
              <w:color w:val="auto"/>
            </w:rPr>
            <w:t>（一）</w:t>
          </w:r>
          <w:r>
            <w:rPr>
              <w:color w:val="auto"/>
              <w:spacing w:val="-4"/>
            </w:rPr>
            <w:t xml:space="preserve"> </w:t>
          </w:r>
          <w:r>
            <w:rPr>
              <w:color w:val="auto"/>
            </w:rPr>
            <w:t>鼓励外商投资税收政策</w:t>
          </w:r>
          <w:r>
            <w:rPr>
              <w:color w:val="auto"/>
            </w:rPr>
            <w:tab/>
          </w:r>
          <w:r>
            <w:rPr>
              <w:rFonts w:ascii="Times New Roman" w:eastAsia="Times New Roman"/>
              <w:color w:val="auto"/>
              <w:w w:val="95"/>
            </w:rPr>
            <w:t>45</w:t>
          </w:r>
          <w:r>
            <w:rPr>
              <w:rFonts w:ascii="Times New Roman" w:eastAsia="Times New Roman"/>
              <w:color w:val="auto"/>
              <w:w w:val="95"/>
            </w:rPr>
            <w:fldChar w:fldCharType="end"/>
          </w:r>
        </w:p>
        <w:p>
          <w:pPr>
            <w:pStyle w:val="6"/>
            <w:numPr>
              <w:ilvl w:val="1"/>
              <w:numId w:val="1"/>
            </w:numPr>
            <w:tabs>
              <w:tab w:val="left" w:pos="368"/>
              <w:tab w:val="left" w:leader="dot" w:pos="7255"/>
            </w:tabs>
            <w:spacing w:before="42" w:after="0" w:line="240" w:lineRule="auto"/>
            <w:ind w:left="1527" w:right="538" w:hanging="1528"/>
            <w:jc w:val="right"/>
            <w:rPr>
              <w:rFonts w:ascii="Times New Roman" w:eastAsia="Times New Roman"/>
              <w:color w:val="auto"/>
            </w:rPr>
          </w:pPr>
          <w:r>
            <w:rPr>
              <w:color w:val="auto"/>
            </w:rPr>
            <w:fldChar w:fldCharType="begin"/>
          </w:r>
          <w:r>
            <w:rPr>
              <w:color w:val="auto"/>
            </w:rPr>
            <w:instrText xml:space="preserve"> HYPERLINK \l "_TOC_250024" </w:instrText>
          </w:r>
          <w:r>
            <w:rPr>
              <w:color w:val="auto"/>
            </w:rPr>
            <w:fldChar w:fldCharType="separate"/>
          </w:r>
          <w:r>
            <w:rPr>
              <w:color w:val="auto"/>
            </w:rPr>
            <w:t>境外投资者以分配利润直接投资暂不征收预提所得税</w:t>
          </w:r>
          <w:r>
            <w:rPr>
              <w:color w:val="auto"/>
            </w:rPr>
            <w:tab/>
          </w:r>
          <w:r>
            <w:rPr>
              <w:rFonts w:ascii="Times New Roman" w:eastAsia="Times New Roman"/>
              <w:color w:val="auto"/>
              <w:w w:val="95"/>
            </w:rPr>
            <w:t>45</w:t>
          </w:r>
          <w:r>
            <w:rPr>
              <w:rFonts w:ascii="Times New Roman" w:eastAsia="Times New Roman"/>
              <w:color w:val="auto"/>
              <w:w w:val="95"/>
            </w:rPr>
            <w:fldChar w:fldCharType="end"/>
          </w:r>
        </w:p>
        <w:p>
          <w:pPr>
            <w:pStyle w:val="6"/>
            <w:numPr>
              <w:ilvl w:val="1"/>
              <w:numId w:val="1"/>
            </w:numPr>
            <w:tabs>
              <w:tab w:val="left" w:pos="368"/>
              <w:tab w:val="left" w:leader="dot" w:pos="7255"/>
            </w:tabs>
            <w:spacing w:before="43" w:after="0" w:line="240" w:lineRule="auto"/>
            <w:ind w:left="1527" w:right="538" w:hanging="1528"/>
            <w:jc w:val="right"/>
            <w:rPr>
              <w:rFonts w:ascii="Times New Roman" w:eastAsia="Times New Roman"/>
              <w:color w:val="auto"/>
            </w:rPr>
          </w:pPr>
          <w:r>
            <w:rPr>
              <w:color w:val="auto"/>
            </w:rPr>
            <w:fldChar w:fldCharType="begin"/>
          </w:r>
          <w:r>
            <w:rPr>
              <w:color w:val="auto"/>
            </w:rPr>
            <w:instrText xml:space="preserve"> HYPERLINK \l "_TOC_250023" </w:instrText>
          </w:r>
          <w:r>
            <w:rPr>
              <w:color w:val="auto"/>
            </w:rPr>
            <w:fldChar w:fldCharType="separate"/>
          </w:r>
          <w:r>
            <w:rPr>
              <w:color w:val="auto"/>
            </w:rPr>
            <w:t>符合条件的非居民纳税人享受协定待遇</w:t>
          </w:r>
          <w:r>
            <w:rPr>
              <w:color w:val="auto"/>
            </w:rPr>
            <w:tab/>
          </w:r>
          <w:r>
            <w:rPr>
              <w:rFonts w:ascii="Times New Roman" w:eastAsia="Times New Roman"/>
              <w:color w:val="auto"/>
              <w:w w:val="95"/>
            </w:rPr>
            <w:t>47</w:t>
          </w:r>
          <w:r>
            <w:rPr>
              <w:rFonts w:ascii="Times New Roman" w:eastAsia="Times New Roman"/>
              <w:color w:val="auto"/>
              <w:w w:val="95"/>
            </w:rPr>
            <w:fldChar w:fldCharType="end"/>
          </w:r>
        </w:p>
        <w:p>
          <w:pPr>
            <w:pStyle w:val="6"/>
            <w:numPr>
              <w:ilvl w:val="1"/>
              <w:numId w:val="1"/>
            </w:numPr>
            <w:tabs>
              <w:tab w:val="left" w:pos="368"/>
              <w:tab w:val="left" w:leader="dot" w:pos="7255"/>
            </w:tabs>
            <w:spacing w:before="43" w:after="0" w:line="240" w:lineRule="auto"/>
            <w:ind w:left="1527" w:right="538" w:hanging="1528"/>
            <w:jc w:val="right"/>
            <w:rPr>
              <w:rFonts w:ascii="Times New Roman" w:eastAsia="Times New Roman"/>
              <w:color w:val="auto"/>
            </w:rPr>
          </w:pPr>
          <w:r>
            <w:rPr>
              <w:color w:val="auto"/>
            </w:rPr>
            <w:fldChar w:fldCharType="begin"/>
          </w:r>
          <w:r>
            <w:rPr>
              <w:color w:val="auto"/>
            </w:rPr>
            <w:instrText xml:space="preserve"> HYPERLINK \l "_TOC_250022" </w:instrText>
          </w:r>
          <w:r>
            <w:rPr>
              <w:color w:val="auto"/>
            </w:rPr>
            <w:fldChar w:fldCharType="separate"/>
          </w:r>
          <w:r>
            <w:rPr>
              <w:color w:val="auto"/>
            </w:rPr>
            <w:t>中外合作办学免征增值税</w:t>
          </w:r>
          <w:r>
            <w:rPr>
              <w:color w:val="auto"/>
            </w:rPr>
            <w:tab/>
          </w:r>
          <w:r>
            <w:rPr>
              <w:rFonts w:ascii="Times New Roman" w:eastAsia="Times New Roman"/>
              <w:color w:val="auto"/>
              <w:w w:val="95"/>
            </w:rPr>
            <w:t>49</w:t>
          </w:r>
          <w:r>
            <w:rPr>
              <w:rFonts w:ascii="Times New Roman" w:eastAsia="Times New Roman"/>
              <w:color w:val="auto"/>
              <w:w w:val="95"/>
            </w:rPr>
            <w:fldChar w:fldCharType="end"/>
          </w:r>
        </w:p>
        <w:p>
          <w:pPr>
            <w:pStyle w:val="6"/>
            <w:numPr>
              <w:ilvl w:val="1"/>
              <w:numId w:val="1"/>
            </w:numPr>
            <w:tabs>
              <w:tab w:val="left" w:pos="368"/>
              <w:tab w:val="left" w:leader="dot" w:pos="7255"/>
            </w:tabs>
            <w:spacing w:before="43" w:after="0" w:line="240" w:lineRule="auto"/>
            <w:ind w:left="1527" w:right="538" w:hanging="1528"/>
            <w:jc w:val="right"/>
            <w:rPr>
              <w:rFonts w:ascii="Times New Roman" w:eastAsia="Times New Roman"/>
              <w:color w:val="auto"/>
            </w:rPr>
          </w:pPr>
          <w:r>
            <w:rPr>
              <w:color w:val="auto"/>
            </w:rPr>
            <w:fldChar w:fldCharType="begin"/>
          </w:r>
          <w:r>
            <w:rPr>
              <w:color w:val="auto"/>
            </w:rPr>
            <w:instrText xml:space="preserve"> HYPERLINK \l "_TOC_250021" </w:instrText>
          </w:r>
          <w:r>
            <w:rPr>
              <w:color w:val="auto"/>
            </w:rPr>
            <w:fldChar w:fldCharType="separate"/>
          </w:r>
          <w:r>
            <w:rPr>
              <w:color w:val="auto"/>
            </w:rPr>
            <w:t>台湾航运公司从事海峡两岸海上直航业务免征增值税</w:t>
          </w:r>
          <w:r>
            <w:rPr>
              <w:color w:val="auto"/>
            </w:rPr>
            <w:tab/>
          </w:r>
          <w:r>
            <w:rPr>
              <w:rFonts w:ascii="Times New Roman" w:eastAsia="Times New Roman"/>
              <w:color w:val="auto"/>
              <w:w w:val="95"/>
            </w:rPr>
            <w:t>50</w:t>
          </w:r>
          <w:r>
            <w:rPr>
              <w:rFonts w:ascii="Times New Roman" w:eastAsia="Times New Roman"/>
              <w:color w:val="auto"/>
              <w:w w:val="95"/>
            </w:rPr>
            <w:fldChar w:fldCharType="end"/>
          </w:r>
        </w:p>
        <w:p>
          <w:pPr>
            <w:pStyle w:val="6"/>
            <w:numPr>
              <w:ilvl w:val="1"/>
              <w:numId w:val="1"/>
            </w:numPr>
            <w:tabs>
              <w:tab w:val="left" w:pos="368"/>
              <w:tab w:val="left" w:leader="dot" w:pos="7255"/>
            </w:tabs>
            <w:spacing w:before="43" w:after="0" w:line="240" w:lineRule="auto"/>
            <w:ind w:left="1527" w:right="538" w:hanging="1528"/>
            <w:jc w:val="right"/>
            <w:rPr>
              <w:rFonts w:ascii="Times New Roman" w:eastAsia="Times New Roman"/>
              <w:color w:val="auto"/>
            </w:rPr>
          </w:pPr>
          <w:r>
            <w:rPr>
              <w:color w:val="auto"/>
            </w:rPr>
            <w:fldChar w:fldCharType="begin"/>
          </w:r>
          <w:r>
            <w:rPr>
              <w:color w:val="auto"/>
            </w:rPr>
            <w:instrText xml:space="preserve"> HYPERLINK \l "_TOC_250020" </w:instrText>
          </w:r>
          <w:r>
            <w:rPr>
              <w:color w:val="auto"/>
            </w:rPr>
            <w:fldChar w:fldCharType="separate"/>
          </w:r>
          <w:r>
            <w:rPr>
              <w:color w:val="auto"/>
            </w:rPr>
            <w:t>台湾航运公司从事海峡两岸海上直航业务免征企业所得税</w:t>
          </w:r>
          <w:r>
            <w:rPr>
              <w:color w:val="auto"/>
            </w:rPr>
            <w:tab/>
          </w:r>
          <w:r>
            <w:rPr>
              <w:rFonts w:ascii="Times New Roman" w:eastAsia="Times New Roman"/>
              <w:color w:val="auto"/>
              <w:w w:val="95"/>
            </w:rPr>
            <w:t>51</w:t>
          </w:r>
          <w:r>
            <w:rPr>
              <w:rFonts w:ascii="Times New Roman" w:eastAsia="Times New Roman"/>
              <w:color w:val="auto"/>
              <w:w w:val="95"/>
            </w:rPr>
            <w:fldChar w:fldCharType="end"/>
          </w:r>
        </w:p>
        <w:p>
          <w:pPr>
            <w:pStyle w:val="6"/>
            <w:numPr>
              <w:ilvl w:val="1"/>
              <w:numId w:val="1"/>
            </w:numPr>
            <w:tabs>
              <w:tab w:val="left" w:pos="368"/>
              <w:tab w:val="left" w:leader="dot" w:pos="7255"/>
            </w:tabs>
            <w:spacing w:before="43" w:after="0" w:line="240" w:lineRule="auto"/>
            <w:ind w:left="1527" w:right="538" w:hanging="1528"/>
            <w:jc w:val="right"/>
            <w:rPr>
              <w:rFonts w:ascii="Times New Roman" w:eastAsia="Times New Roman"/>
              <w:color w:val="auto"/>
            </w:rPr>
          </w:pPr>
          <w:r>
            <w:rPr>
              <w:color w:val="auto"/>
            </w:rPr>
            <w:fldChar w:fldCharType="begin"/>
          </w:r>
          <w:r>
            <w:rPr>
              <w:color w:val="auto"/>
            </w:rPr>
            <w:instrText xml:space="preserve"> HYPERLINK \l "_TOC_250019" </w:instrText>
          </w:r>
          <w:r>
            <w:rPr>
              <w:color w:val="auto"/>
            </w:rPr>
            <w:fldChar w:fldCharType="separate"/>
          </w:r>
          <w:r>
            <w:rPr>
              <w:color w:val="auto"/>
            </w:rPr>
            <w:t>台湾航空公司从事海峡两岸空中直航业务免征增值税</w:t>
          </w:r>
          <w:r>
            <w:rPr>
              <w:color w:val="auto"/>
            </w:rPr>
            <w:tab/>
          </w:r>
          <w:r>
            <w:rPr>
              <w:rFonts w:ascii="Times New Roman" w:eastAsia="Times New Roman"/>
              <w:color w:val="auto"/>
              <w:w w:val="95"/>
            </w:rPr>
            <w:t>52</w:t>
          </w:r>
          <w:r>
            <w:rPr>
              <w:rFonts w:ascii="Times New Roman" w:eastAsia="Times New Roman"/>
              <w:color w:val="auto"/>
              <w:w w:val="95"/>
            </w:rPr>
            <w:fldChar w:fldCharType="end"/>
          </w:r>
        </w:p>
        <w:p>
          <w:pPr>
            <w:pStyle w:val="6"/>
            <w:numPr>
              <w:ilvl w:val="1"/>
              <w:numId w:val="1"/>
            </w:numPr>
            <w:tabs>
              <w:tab w:val="left" w:pos="368"/>
              <w:tab w:val="left" w:leader="dot" w:pos="7255"/>
            </w:tabs>
            <w:spacing w:before="43" w:after="0" w:line="240" w:lineRule="auto"/>
            <w:ind w:left="1527" w:right="538" w:hanging="1528"/>
            <w:jc w:val="right"/>
            <w:rPr>
              <w:rFonts w:ascii="Times New Roman" w:eastAsia="Times New Roman"/>
              <w:color w:val="auto"/>
            </w:rPr>
          </w:pPr>
          <w:r>
            <w:rPr>
              <w:color w:val="auto"/>
            </w:rPr>
            <w:fldChar w:fldCharType="begin"/>
          </w:r>
          <w:r>
            <w:rPr>
              <w:color w:val="auto"/>
            </w:rPr>
            <w:instrText xml:space="preserve"> HYPERLINK \l "_TOC_250018" </w:instrText>
          </w:r>
          <w:r>
            <w:rPr>
              <w:color w:val="auto"/>
            </w:rPr>
            <w:fldChar w:fldCharType="separate"/>
          </w:r>
          <w:r>
            <w:rPr>
              <w:color w:val="auto"/>
            </w:rPr>
            <w:t>台湾航空公司从事海峡两岸空中直航业务免征企业所得税</w:t>
          </w:r>
          <w:r>
            <w:rPr>
              <w:color w:val="auto"/>
            </w:rPr>
            <w:tab/>
          </w:r>
          <w:r>
            <w:rPr>
              <w:rFonts w:ascii="Times New Roman" w:eastAsia="Times New Roman"/>
              <w:color w:val="auto"/>
              <w:w w:val="95"/>
            </w:rPr>
            <w:t>52</w:t>
          </w:r>
          <w:r>
            <w:rPr>
              <w:rFonts w:ascii="Times New Roman" w:eastAsia="Times New Roman"/>
              <w:color w:val="auto"/>
              <w:w w:val="95"/>
            </w:rPr>
            <w:fldChar w:fldCharType="end"/>
          </w:r>
        </w:p>
        <w:p>
          <w:pPr>
            <w:pStyle w:val="6"/>
            <w:tabs>
              <w:tab w:val="left" w:leader="dot" w:pos="7675"/>
            </w:tabs>
            <w:ind w:left="0" w:firstLine="0"/>
            <w:rPr>
              <w:rFonts w:ascii="Times New Roman" w:eastAsia="Times New Roman"/>
              <w:color w:val="auto"/>
            </w:rPr>
          </w:pPr>
          <w:r>
            <w:rPr>
              <w:color w:val="auto"/>
            </w:rPr>
            <w:fldChar w:fldCharType="begin"/>
          </w:r>
          <w:r>
            <w:rPr>
              <w:color w:val="auto"/>
            </w:rPr>
            <w:instrText xml:space="preserve"> HYPERLINK \l "_TOC_250017" </w:instrText>
          </w:r>
          <w:r>
            <w:rPr>
              <w:color w:val="auto"/>
            </w:rPr>
            <w:fldChar w:fldCharType="separate"/>
          </w:r>
          <w:r>
            <w:rPr>
              <w:color w:val="auto"/>
            </w:rPr>
            <w:t>（二）</w:t>
          </w:r>
          <w:r>
            <w:rPr>
              <w:color w:val="auto"/>
              <w:spacing w:val="-5"/>
            </w:rPr>
            <w:t xml:space="preserve"> </w:t>
          </w:r>
          <w:r>
            <w:rPr>
              <w:color w:val="auto"/>
            </w:rPr>
            <w:t>支持金融市场对外开放税收政策</w:t>
          </w:r>
          <w:r>
            <w:rPr>
              <w:color w:val="auto"/>
            </w:rPr>
            <w:tab/>
          </w:r>
          <w:r>
            <w:rPr>
              <w:rFonts w:ascii="Times New Roman" w:eastAsia="Times New Roman"/>
              <w:color w:val="auto"/>
              <w:w w:val="95"/>
            </w:rPr>
            <w:t>53</w:t>
          </w:r>
          <w:r>
            <w:rPr>
              <w:rFonts w:ascii="Times New Roman" w:eastAsia="Times New Roman"/>
              <w:color w:val="auto"/>
              <w:w w:val="95"/>
            </w:rPr>
            <w:fldChar w:fldCharType="end"/>
          </w:r>
        </w:p>
        <w:p>
          <w:pPr>
            <w:pStyle w:val="7"/>
            <w:numPr>
              <w:ilvl w:val="1"/>
              <w:numId w:val="1"/>
            </w:numPr>
            <w:tabs>
              <w:tab w:val="left" w:pos="1475"/>
              <w:tab w:val="left" w:leader="dot" w:pos="8415"/>
            </w:tabs>
            <w:spacing w:before="43" w:after="0" w:line="240" w:lineRule="auto"/>
            <w:ind w:left="1474" w:right="0" w:hanging="315"/>
            <w:jc w:val="left"/>
            <w:rPr>
              <w:rFonts w:ascii="Times New Roman" w:eastAsia="Times New Roman"/>
              <w:color w:val="auto"/>
            </w:rPr>
          </w:pPr>
          <w:r>
            <w:rPr>
              <w:color w:val="auto"/>
            </w:rPr>
            <w:fldChar w:fldCharType="begin"/>
          </w:r>
          <w:r>
            <w:rPr>
              <w:color w:val="auto"/>
            </w:rPr>
            <w:instrText xml:space="preserve"> HYPERLINK \l "_TOC_250016" </w:instrText>
          </w:r>
          <w:r>
            <w:rPr>
              <w:color w:val="auto"/>
            </w:rPr>
            <w:fldChar w:fldCharType="separate"/>
          </w:r>
          <w:r>
            <w:rPr>
              <w:rFonts w:ascii="Times New Roman" w:eastAsia="Times New Roman"/>
              <w:color w:val="auto"/>
            </w:rPr>
            <w:t>QFII</w:t>
          </w:r>
          <w:r>
            <w:rPr>
              <w:rFonts w:ascii="Times New Roman" w:eastAsia="Times New Roman"/>
              <w:color w:val="auto"/>
              <w:spacing w:val="-3"/>
            </w:rPr>
            <w:t xml:space="preserve"> </w:t>
          </w:r>
          <w:r>
            <w:rPr>
              <w:color w:val="auto"/>
            </w:rPr>
            <w:t>和</w:t>
          </w:r>
          <w:r>
            <w:rPr>
              <w:color w:val="auto"/>
              <w:spacing w:val="-57"/>
            </w:rPr>
            <w:t xml:space="preserve"> </w:t>
          </w:r>
          <w:r>
            <w:rPr>
              <w:rFonts w:ascii="Times New Roman" w:eastAsia="Times New Roman"/>
              <w:color w:val="auto"/>
            </w:rPr>
            <w:t>RQFII</w:t>
          </w:r>
          <w:r>
            <w:rPr>
              <w:rFonts w:ascii="Times New Roman" w:eastAsia="Times New Roman"/>
              <w:color w:val="auto"/>
              <w:spacing w:val="1"/>
            </w:rPr>
            <w:t xml:space="preserve"> </w:t>
          </w:r>
          <w:r>
            <w:rPr>
              <w:color w:val="auto"/>
            </w:rPr>
            <w:t>委托境内公司在我国从事证券买卖业务免征增值税</w:t>
          </w:r>
          <w:r>
            <w:rPr>
              <w:color w:val="auto"/>
            </w:rPr>
            <w:tab/>
          </w:r>
          <w:r>
            <w:rPr>
              <w:rFonts w:ascii="Times New Roman" w:eastAsia="Times New Roman"/>
              <w:color w:val="auto"/>
            </w:rPr>
            <w:t>53</w:t>
          </w:r>
          <w:r>
            <w:rPr>
              <w:rFonts w:ascii="Times New Roman" w:eastAsia="Times New Roman"/>
              <w:color w:val="auto"/>
            </w:rPr>
            <w:fldChar w:fldCharType="end"/>
          </w:r>
        </w:p>
        <w:p>
          <w:pPr>
            <w:pStyle w:val="7"/>
            <w:numPr>
              <w:ilvl w:val="1"/>
              <w:numId w:val="1"/>
            </w:numPr>
            <w:tabs>
              <w:tab w:val="left" w:pos="1475"/>
              <w:tab w:val="left" w:leader="dot" w:pos="8415"/>
            </w:tabs>
            <w:spacing w:before="43" w:after="0" w:line="278" w:lineRule="auto"/>
            <w:ind w:left="1160" w:right="532" w:firstLine="0"/>
            <w:jc w:val="left"/>
            <w:rPr>
              <w:rFonts w:ascii="Times New Roman" w:eastAsia="Times New Roman"/>
              <w:color w:val="auto"/>
            </w:rPr>
          </w:pPr>
          <w:r>
            <w:rPr>
              <w:color w:val="auto"/>
            </w:rPr>
            <w:fldChar w:fldCharType="begin"/>
          </w:r>
          <w:r>
            <w:rPr>
              <w:color w:val="auto"/>
            </w:rPr>
            <w:instrText xml:space="preserve"> HYPERLINK \l "_TOC_250015" </w:instrText>
          </w:r>
          <w:r>
            <w:rPr>
              <w:color w:val="auto"/>
            </w:rPr>
            <w:fldChar w:fldCharType="separate"/>
          </w:r>
          <w:r>
            <w:rPr>
              <w:rFonts w:ascii="Times New Roman" w:eastAsia="Times New Roman"/>
              <w:color w:val="auto"/>
            </w:rPr>
            <w:t>QFII</w:t>
          </w:r>
          <w:r>
            <w:rPr>
              <w:rFonts w:ascii="Times New Roman" w:eastAsia="Times New Roman"/>
              <w:color w:val="auto"/>
              <w:spacing w:val="-23"/>
            </w:rPr>
            <w:t xml:space="preserve"> </w:t>
          </w:r>
          <w:r>
            <w:rPr>
              <w:color w:val="auto"/>
              <w:spacing w:val="35"/>
            </w:rPr>
            <w:t>和</w:t>
          </w:r>
          <w:r>
            <w:rPr>
              <w:rFonts w:ascii="Times New Roman" w:eastAsia="Times New Roman"/>
              <w:color w:val="auto"/>
            </w:rPr>
            <w:t>RQFII</w:t>
          </w:r>
          <w:r>
            <w:rPr>
              <w:rFonts w:ascii="Times New Roman" w:eastAsia="Times New Roman"/>
              <w:color w:val="auto"/>
              <w:spacing w:val="-22"/>
            </w:rPr>
            <w:t xml:space="preserve"> </w:t>
          </w:r>
          <w:r>
            <w:rPr>
              <w:color w:val="auto"/>
            </w:rPr>
            <w:t>取得中国境内的股票等权益性投资资产转让所得暂免征收企业所得税</w:t>
          </w:r>
          <w:r>
            <w:rPr>
              <w:color w:val="auto"/>
            </w:rPr>
            <w:tab/>
          </w:r>
          <w:r>
            <w:rPr>
              <w:rFonts w:ascii="Times New Roman" w:eastAsia="Times New Roman"/>
              <w:color w:val="auto"/>
              <w:spacing w:val="-6"/>
            </w:rPr>
            <w:t>54</w:t>
          </w:r>
          <w:r>
            <w:rPr>
              <w:rFonts w:ascii="Times New Roman" w:eastAsia="Times New Roman"/>
              <w:color w:val="auto"/>
              <w:spacing w:val="-6"/>
            </w:rPr>
            <w:fldChar w:fldCharType="end"/>
          </w:r>
        </w:p>
        <w:p>
          <w:pPr>
            <w:pStyle w:val="7"/>
            <w:numPr>
              <w:ilvl w:val="1"/>
              <w:numId w:val="1"/>
            </w:numPr>
            <w:tabs>
              <w:tab w:val="left" w:pos="1475"/>
              <w:tab w:val="left" w:leader="dot" w:pos="8415"/>
            </w:tabs>
            <w:spacing w:before="0" w:after="0" w:line="269" w:lineRule="exact"/>
            <w:ind w:left="1474" w:right="0" w:hanging="315"/>
            <w:jc w:val="left"/>
            <w:rPr>
              <w:rFonts w:ascii="Times New Roman" w:eastAsia="Times New Roman"/>
              <w:color w:val="auto"/>
            </w:rPr>
          </w:pPr>
          <w:r>
            <w:rPr>
              <w:color w:val="auto"/>
            </w:rPr>
            <w:fldChar w:fldCharType="begin"/>
          </w:r>
          <w:r>
            <w:rPr>
              <w:color w:val="auto"/>
            </w:rPr>
            <w:instrText xml:space="preserve"> HYPERLINK \l "_TOC_250014" </w:instrText>
          </w:r>
          <w:r>
            <w:rPr>
              <w:color w:val="auto"/>
            </w:rPr>
            <w:fldChar w:fldCharType="separate"/>
          </w:r>
          <w:r>
            <w:rPr>
              <w:rFonts w:ascii="Times New Roman" w:eastAsia="Times New Roman"/>
              <w:color w:val="auto"/>
            </w:rPr>
            <w:t>QFII</w:t>
          </w:r>
          <w:r>
            <w:rPr>
              <w:rFonts w:ascii="Times New Roman" w:eastAsia="Times New Roman"/>
              <w:color w:val="auto"/>
              <w:spacing w:val="-2"/>
            </w:rPr>
            <w:t xml:space="preserve"> </w:t>
          </w:r>
          <w:r>
            <w:rPr>
              <w:color w:val="auto"/>
            </w:rPr>
            <w:t>和</w:t>
          </w:r>
          <w:r>
            <w:rPr>
              <w:color w:val="auto"/>
              <w:spacing w:val="-56"/>
            </w:rPr>
            <w:t xml:space="preserve"> </w:t>
          </w:r>
          <w:r>
            <w:rPr>
              <w:rFonts w:ascii="Times New Roman" w:eastAsia="Times New Roman"/>
              <w:color w:val="auto"/>
            </w:rPr>
            <w:t>RQFII</w:t>
          </w:r>
          <w:r>
            <w:rPr>
              <w:rFonts w:ascii="Times New Roman" w:eastAsia="Times New Roman"/>
              <w:color w:val="auto"/>
              <w:spacing w:val="1"/>
            </w:rPr>
            <w:t xml:space="preserve"> </w:t>
          </w:r>
          <w:r>
            <w:rPr>
              <w:color w:val="auto"/>
            </w:rPr>
            <w:t>取得创新企业</w:t>
          </w:r>
          <w:r>
            <w:rPr>
              <w:color w:val="auto"/>
              <w:spacing w:val="-53"/>
            </w:rPr>
            <w:t xml:space="preserve"> </w:t>
          </w:r>
          <w:r>
            <w:rPr>
              <w:rFonts w:ascii="Times New Roman" w:eastAsia="Times New Roman"/>
              <w:color w:val="auto"/>
            </w:rPr>
            <w:t>CDR</w:t>
          </w:r>
          <w:r>
            <w:rPr>
              <w:rFonts w:ascii="Times New Roman" w:eastAsia="Times New Roman"/>
              <w:color w:val="auto"/>
              <w:spacing w:val="-3"/>
            </w:rPr>
            <w:t xml:space="preserve"> </w:t>
          </w:r>
          <w:r>
            <w:rPr>
              <w:color w:val="auto"/>
            </w:rPr>
            <w:t>转让差价收入暂免征收增值税</w:t>
          </w:r>
          <w:r>
            <w:rPr>
              <w:color w:val="auto"/>
            </w:rPr>
            <w:tab/>
          </w:r>
          <w:r>
            <w:rPr>
              <w:rFonts w:ascii="Times New Roman" w:eastAsia="Times New Roman"/>
              <w:color w:val="auto"/>
            </w:rPr>
            <w:t>55</w:t>
          </w:r>
          <w:r>
            <w:rPr>
              <w:rFonts w:ascii="Times New Roman" w:eastAsia="Times New Roman"/>
              <w:color w:val="auto"/>
            </w:rPr>
            <w:fldChar w:fldCharType="end"/>
          </w:r>
        </w:p>
        <w:p>
          <w:pPr>
            <w:pStyle w:val="7"/>
            <w:numPr>
              <w:ilvl w:val="1"/>
              <w:numId w:val="1"/>
            </w:numPr>
            <w:tabs>
              <w:tab w:val="left" w:pos="1477"/>
              <w:tab w:val="left" w:leader="dot" w:pos="8415"/>
            </w:tabs>
            <w:spacing w:before="43" w:after="0" w:line="278" w:lineRule="auto"/>
            <w:ind w:left="1160" w:right="530" w:firstLine="0"/>
            <w:jc w:val="left"/>
            <w:rPr>
              <w:rFonts w:ascii="Times New Roman" w:eastAsia="Times New Roman"/>
              <w:color w:val="auto"/>
            </w:rPr>
          </w:pPr>
          <w:r>
            <w:rPr>
              <w:color w:val="auto"/>
            </w:rPr>
            <w:fldChar w:fldCharType="begin"/>
          </w:r>
          <w:r>
            <w:rPr>
              <w:color w:val="auto"/>
            </w:rPr>
            <w:instrText xml:space="preserve"> HYPERLINK \l "_TOC_250013" </w:instrText>
          </w:r>
          <w:r>
            <w:rPr>
              <w:color w:val="auto"/>
            </w:rPr>
            <w:fldChar w:fldCharType="separate"/>
          </w:r>
          <w:r>
            <w:rPr>
              <w:rFonts w:ascii="Times New Roman" w:eastAsia="Times New Roman"/>
              <w:color w:val="auto"/>
            </w:rPr>
            <w:t>QFII</w:t>
          </w:r>
          <w:r>
            <w:rPr>
              <w:rFonts w:ascii="Times New Roman" w:eastAsia="Times New Roman"/>
              <w:color w:val="auto"/>
              <w:spacing w:val="4"/>
            </w:rPr>
            <w:t xml:space="preserve"> </w:t>
          </w:r>
          <w:r>
            <w:rPr>
              <w:color w:val="auto"/>
            </w:rPr>
            <w:t>和</w:t>
          </w:r>
          <w:r>
            <w:rPr>
              <w:color w:val="auto"/>
              <w:spacing w:val="-50"/>
            </w:rPr>
            <w:t xml:space="preserve"> </w:t>
          </w:r>
          <w:r>
            <w:rPr>
              <w:rFonts w:ascii="Times New Roman" w:eastAsia="Times New Roman"/>
              <w:color w:val="auto"/>
            </w:rPr>
            <w:t>RQFII</w:t>
          </w:r>
          <w:r>
            <w:rPr>
              <w:rFonts w:ascii="Times New Roman" w:eastAsia="Times New Roman"/>
              <w:color w:val="auto"/>
              <w:spacing w:val="1"/>
            </w:rPr>
            <w:t xml:space="preserve"> </w:t>
          </w:r>
          <w:r>
            <w:rPr>
              <w:color w:val="auto"/>
            </w:rPr>
            <w:t>取得</w:t>
          </w:r>
          <w:r>
            <w:rPr>
              <w:color w:val="auto"/>
              <w:spacing w:val="4"/>
            </w:rPr>
            <w:t>创</w:t>
          </w:r>
          <w:r>
            <w:rPr>
              <w:color w:val="auto"/>
            </w:rPr>
            <w:t>新企业</w:t>
          </w:r>
          <w:r>
            <w:rPr>
              <w:color w:val="auto"/>
              <w:spacing w:val="-48"/>
            </w:rPr>
            <w:t xml:space="preserve"> </w:t>
          </w:r>
          <w:r>
            <w:rPr>
              <w:rFonts w:ascii="Times New Roman" w:eastAsia="Times New Roman"/>
              <w:color w:val="auto"/>
            </w:rPr>
            <w:t>CDR</w:t>
          </w:r>
          <w:r>
            <w:rPr>
              <w:rFonts w:ascii="Times New Roman" w:eastAsia="Times New Roman"/>
              <w:color w:val="auto"/>
              <w:spacing w:val="1"/>
            </w:rPr>
            <w:t xml:space="preserve"> </w:t>
          </w:r>
          <w:r>
            <w:rPr>
              <w:color w:val="auto"/>
            </w:rPr>
            <w:t>转让</w:t>
          </w:r>
          <w:r>
            <w:rPr>
              <w:color w:val="auto"/>
              <w:spacing w:val="4"/>
            </w:rPr>
            <w:t>差</w:t>
          </w:r>
          <w:r>
            <w:rPr>
              <w:color w:val="auto"/>
            </w:rPr>
            <w:t>价所得和</w:t>
          </w:r>
          <w:r>
            <w:rPr>
              <w:color w:val="auto"/>
              <w:spacing w:val="4"/>
            </w:rPr>
            <w:t>股</w:t>
          </w:r>
          <w:r>
            <w:rPr>
              <w:color w:val="auto"/>
            </w:rPr>
            <w:t>息红利所</w:t>
          </w:r>
          <w:r>
            <w:rPr>
              <w:color w:val="auto"/>
              <w:spacing w:val="4"/>
            </w:rPr>
            <w:t>得</w:t>
          </w:r>
          <w:r>
            <w:rPr>
              <w:color w:val="auto"/>
            </w:rPr>
            <w:t>征免企业</w:t>
          </w:r>
          <w:r>
            <w:rPr>
              <w:color w:val="auto"/>
              <w:spacing w:val="4"/>
            </w:rPr>
            <w:t>所</w:t>
          </w:r>
          <w:r>
            <w:rPr>
              <w:color w:val="auto"/>
            </w:rPr>
            <w:t>得税规定</w:t>
          </w:r>
          <w:r>
            <w:rPr>
              <w:color w:val="auto"/>
            </w:rPr>
            <w:tab/>
          </w:r>
          <w:r>
            <w:rPr>
              <w:rFonts w:ascii="Times New Roman" w:eastAsia="Times New Roman"/>
              <w:color w:val="auto"/>
            </w:rPr>
            <w:t>56</w:t>
          </w:r>
          <w:r>
            <w:rPr>
              <w:rFonts w:ascii="Times New Roman" w:eastAsia="Times New Roman"/>
              <w:color w:val="auto"/>
            </w:rPr>
            <w:fldChar w:fldCharType="end"/>
          </w:r>
        </w:p>
        <w:p>
          <w:pPr>
            <w:pStyle w:val="7"/>
            <w:numPr>
              <w:ilvl w:val="1"/>
              <w:numId w:val="1"/>
            </w:numPr>
            <w:tabs>
              <w:tab w:val="left" w:pos="1528"/>
              <w:tab w:val="left" w:leader="dot" w:pos="8415"/>
            </w:tabs>
            <w:spacing w:before="0" w:after="240" w:line="269" w:lineRule="exact"/>
            <w:ind w:left="1527" w:right="0" w:hanging="368"/>
            <w:jc w:val="left"/>
            <w:rPr>
              <w:rFonts w:ascii="Times New Roman" w:eastAsia="Times New Roman"/>
              <w:color w:val="auto"/>
            </w:rPr>
          </w:pPr>
          <w:r>
            <w:rPr>
              <w:color w:val="auto"/>
            </w:rPr>
            <w:fldChar w:fldCharType="begin"/>
          </w:r>
          <w:r>
            <w:rPr>
              <w:color w:val="auto"/>
            </w:rPr>
            <w:instrText xml:space="preserve"> HYPERLINK \l "_TOC_250012" </w:instrText>
          </w:r>
          <w:r>
            <w:rPr>
              <w:color w:val="auto"/>
            </w:rPr>
            <w:fldChar w:fldCharType="separate"/>
          </w:r>
          <w:r>
            <w:rPr>
              <w:color w:val="auto"/>
            </w:rPr>
            <w:t>境外机构投资银行间本币市场取得的金融商品转让收入免征增值税</w:t>
          </w:r>
          <w:r>
            <w:rPr>
              <w:color w:val="auto"/>
            </w:rPr>
            <w:tab/>
          </w:r>
          <w:r>
            <w:rPr>
              <w:rFonts w:ascii="Times New Roman" w:eastAsia="Times New Roman"/>
              <w:color w:val="auto"/>
            </w:rPr>
            <w:t>57</w:t>
          </w:r>
          <w:r>
            <w:rPr>
              <w:rFonts w:ascii="Times New Roman" w:eastAsia="Times New Roman"/>
              <w:color w:val="auto"/>
            </w:rPr>
            <w:fldChar w:fldCharType="end"/>
          </w:r>
        </w:p>
        <w:p>
          <w:pPr>
            <w:pStyle w:val="7"/>
            <w:numPr>
              <w:ilvl w:val="1"/>
              <w:numId w:val="1"/>
            </w:numPr>
            <w:tabs>
              <w:tab w:val="left" w:pos="1528"/>
              <w:tab w:val="left" w:leader="dot" w:pos="8415"/>
            </w:tabs>
            <w:spacing w:before="63" w:after="0" w:line="240" w:lineRule="auto"/>
            <w:ind w:left="1527" w:right="0" w:hanging="368"/>
            <w:jc w:val="left"/>
            <w:rPr>
              <w:rFonts w:ascii="Times New Roman" w:eastAsia="Times New Roman"/>
              <w:color w:val="auto"/>
            </w:rPr>
          </w:pPr>
          <w:r>
            <w:rPr>
              <w:color w:val="auto"/>
            </w:rPr>
            <w:fldChar w:fldCharType="begin"/>
          </w:r>
          <w:r>
            <w:rPr>
              <w:color w:val="auto"/>
            </w:rPr>
            <w:instrText xml:space="preserve"> HYPERLINK \l "_TOC_250011" </w:instrText>
          </w:r>
          <w:r>
            <w:rPr>
              <w:color w:val="auto"/>
            </w:rPr>
            <w:fldChar w:fldCharType="separate"/>
          </w:r>
          <w:r>
            <w:rPr>
              <w:color w:val="auto"/>
            </w:rPr>
            <w:t>境外机构投资境内债券利息收入暂免征收增值税</w:t>
          </w:r>
          <w:r>
            <w:rPr>
              <w:color w:val="auto"/>
            </w:rPr>
            <w:tab/>
          </w:r>
          <w:r>
            <w:rPr>
              <w:rFonts w:ascii="Times New Roman" w:eastAsia="Times New Roman"/>
              <w:color w:val="auto"/>
            </w:rPr>
            <w:t>57</w:t>
          </w:r>
          <w:r>
            <w:rPr>
              <w:rFonts w:ascii="Times New Roman" w:eastAsia="Times New Roman"/>
              <w:color w:val="auto"/>
            </w:rPr>
            <w:fldChar w:fldCharType="end"/>
          </w:r>
        </w:p>
        <w:p>
          <w:pPr>
            <w:pStyle w:val="7"/>
            <w:numPr>
              <w:ilvl w:val="1"/>
              <w:numId w:val="1"/>
            </w:numPr>
            <w:tabs>
              <w:tab w:val="left" w:pos="1528"/>
              <w:tab w:val="left" w:leader="dot" w:pos="8415"/>
            </w:tabs>
            <w:spacing w:before="43" w:after="0" w:line="240" w:lineRule="auto"/>
            <w:ind w:left="1527" w:right="0" w:hanging="368"/>
            <w:jc w:val="left"/>
            <w:rPr>
              <w:rFonts w:ascii="Times New Roman" w:eastAsia="Times New Roman"/>
              <w:color w:val="auto"/>
            </w:rPr>
          </w:pPr>
          <w:r>
            <w:rPr>
              <w:color w:val="auto"/>
            </w:rPr>
            <w:fldChar w:fldCharType="begin"/>
          </w:r>
          <w:r>
            <w:rPr>
              <w:color w:val="auto"/>
            </w:rPr>
            <w:instrText xml:space="preserve"> HYPERLINK \l "_TOC_250010" </w:instrText>
          </w:r>
          <w:r>
            <w:rPr>
              <w:color w:val="auto"/>
            </w:rPr>
            <w:fldChar w:fldCharType="separate"/>
          </w:r>
          <w:r>
            <w:rPr>
              <w:color w:val="auto"/>
            </w:rPr>
            <w:t>境外机构投资境内债券利息收入暂免征收企业所得税</w:t>
          </w:r>
          <w:r>
            <w:rPr>
              <w:color w:val="auto"/>
            </w:rPr>
            <w:tab/>
          </w:r>
          <w:r>
            <w:rPr>
              <w:rFonts w:ascii="Times New Roman" w:eastAsia="Times New Roman"/>
              <w:color w:val="auto"/>
            </w:rPr>
            <w:t>58</w:t>
          </w:r>
          <w:r>
            <w:rPr>
              <w:rFonts w:ascii="Times New Roman" w:eastAsia="Times New Roman"/>
              <w:color w:val="auto"/>
            </w:rPr>
            <w:fldChar w:fldCharType="end"/>
          </w:r>
        </w:p>
        <w:p>
          <w:pPr>
            <w:pStyle w:val="7"/>
            <w:numPr>
              <w:ilvl w:val="1"/>
              <w:numId w:val="1"/>
            </w:numPr>
            <w:tabs>
              <w:tab w:val="left" w:pos="1528"/>
              <w:tab w:val="left" w:leader="dot" w:pos="8415"/>
            </w:tabs>
            <w:spacing w:before="43" w:after="0" w:line="240" w:lineRule="auto"/>
            <w:ind w:left="1527" w:right="0" w:hanging="368"/>
            <w:jc w:val="left"/>
            <w:rPr>
              <w:rFonts w:ascii="Times New Roman" w:eastAsia="Times New Roman"/>
              <w:color w:val="auto"/>
            </w:rPr>
          </w:pPr>
          <w:r>
            <w:rPr>
              <w:color w:val="auto"/>
            </w:rPr>
            <w:fldChar w:fldCharType="begin"/>
          </w:r>
          <w:r>
            <w:rPr>
              <w:color w:val="auto"/>
            </w:rPr>
            <w:instrText xml:space="preserve"> HYPERLINK \l "_TOC_250009" </w:instrText>
          </w:r>
          <w:r>
            <w:rPr>
              <w:color w:val="auto"/>
            </w:rPr>
            <w:fldChar w:fldCharType="separate"/>
          </w:r>
          <w:r>
            <w:rPr>
              <w:color w:val="auto"/>
            </w:rPr>
            <w:t>香港市场投资者投资上交所上市</w:t>
          </w:r>
          <w:r>
            <w:rPr>
              <w:color w:val="auto"/>
              <w:spacing w:val="-54"/>
            </w:rPr>
            <w:t xml:space="preserve"> </w:t>
          </w:r>
          <w:r>
            <w:rPr>
              <w:rFonts w:ascii="Times New Roman" w:eastAsia="Times New Roman"/>
              <w:color w:val="auto"/>
            </w:rPr>
            <w:t>A</w:t>
          </w:r>
          <w:r>
            <w:rPr>
              <w:rFonts w:ascii="Times New Roman" w:eastAsia="Times New Roman"/>
              <w:color w:val="auto"/>
              <w:spacing w:val="-4"/>
            </w:rPr>
            <w:t xml:space="preserve"> </w:t>
          </w:r>
          <w:r>
            <w:rPr>
              <w:color w:val="auto"/>
            </w:rPr>
            <w:t>股取得的转让差价免征增值税</w:t>
          </w:r>
          <w:r>
            <w:rPr>
              <w:color w:val="auto"/>
            </w:rPr>
            <w:tab/>
          </w:r>
          <w:r>
            <w:rPr>
              <w:rFonts w:ascii="Times New Roman" w:eastAsia="Times New Roman"/>
              <w:color w:val="auto"/>
            </w:rPr>
            <w:t>59</w:t>
          </w:r>
          <w:r>
            <w:rPr>
              <w:rFonts w:ascii="Times New Roman" w:eastAsia="Times New Roman"/>
              <w:color w:val="auto"/>
            </w:rPr>
            <w:fldChar w:fldCharType="end"/>
          </w:r>
        </w:p>
        <w:p>
          <w:pPr>
            <w:pStyle w:val="7"/>
            <w:numPr>
              <w:ilvl w:val="1"/>
              <w:numId w:val="1"/>
            </w:numPr>
            <w:tabs>
              <w:tab w:val="left" w:pos="1528"/>
            </w:tabs>
            <w:spacing w:before="43" w:after="0" w:line="240" w:lineRule="auto"/>
            <w:ind w:left="1527" w:right="0" w:hanging="368"/>
            <w:jc w:val="left"/>
            <w:rPr>
              <w:rFonts w:ascii="Times New Roman" w:eastAsia="Times New Roman"/>
              <w:color w:val="auto"/>
            </w:rPr>
          </w:pPr>
          <w:r>
            <w:rPr>
              <w:color w:val="auto"/>
              <w:spacing w:val="-4"/>
            </w:rPr>
            <w:t xml:space="preserve">香港市场投资者投资上交所上市 </w:t>
          </w:r>
          <w:r>
            <w:rPr>
              <w:rFonts w:ascii="Times New Roman" w:eastAsia="Times New Roman"/>
              <w:color w:val="auto"/>
            </w:rPr>
            <w:t>A</w:t>
          </w:r>
          <w:r>
            <w:rPr>
              <w:rFonts w:ascii="Times New Roman" w:eastAsia="Times New Roman"/>
              <w:color w:val="auto"/>
              <w:spacing w:val="-1"/>
            </w:rPr>
            <w:t xml:space="preserve"> </w:t>
          </w:r>
          <w:r>
            <w:rPr>
              <w:color w:val="auto"/>
            </w:rPr>
            <w:t xml:space="preserve">股取得的转让差价所得暂免征收所得税 </w:t>
          </w:r>
          <w:r>
            <w:rPr>
              <w:rFonts w:ascii="Times New Roman" w:eastAsia="Times New Roman"/>
              <w:color w:val="auto"/>
            </w:rPr>
            <w:t>59</w:t>
          </w:r>
        </w:p>
        <w:p>
          <w:pPr>
            <w:pStyle w:val="7"/>
            <w:numPr>
              <w:ilvl w:val="1"/>
              <w:numId w:val="1"/>
            </w:numPr>
            <w:tabs>
              <w:tab w:val="left" w:pos="1528"/>
              <w:tab w:val="left" w:leader="dot" w:pos="8415"/>
            </w:tabs>
            <w:spacing w:before="43" w:after="0" w:line="240" w:lineRule="auto"/>
            <w:ind w:left="1527" w:right="0" w:hanging="368"/>
            <w:jc w:val="left"/>
            <w:rPr>
              <w:rFonts w:ascii="Times New Roman" w:eastAsia="Times New Roman"/>
              <w:color w:val="auto"/>
            </w:rPr>
          </w:pPr>
          <w:r>
            <w:rPr>
              <w:color w:val="auto"/>
            </w:rPr>
            <w:fldChar w:fldCharType="begin"/>
          </w:r>
          <w:r>
            <w:rPr>
              <w:color w:val="auto"/>
            </w:rPr>
            <w:instrText xml:space="preserve"> HYPERLINK \l "_TOC_250008" </w:instrText>
          </w:r>
          <w:r>
            <w:rPr>
              <w:color w:val="auto"/>
            </w:rPr>
            <w:fldChar w:fldCharType="separate"/>
          </w:r>
          <w:r>
            <w:rPr>
              <w:color w:val="auto"/>
            </w:rPr>
            <w:t>香港市场投资者投资上交所上市</w:t>
          </w:r>
          <w:r>
            <w:rPr>
              <w:color w:val="auto"/>
              <w:spacing w:val="-54"/>
            </w:rPr>
            <w:t xml:space="preserve"> </w:t>
          </w:r>
          <w:r>
            <w:rPr>
              <w:rFonts w:ascii="Times New Roman" w:eastAsia="Times New Roman"/>
              <w:color w:val="auto"/>
            </w:rPr>
            <w:t>A</w:t>
          </w:r>
          <w:r>
            <w:rPr>
              <w:rFonts w:ascii="Times New Roman" w:eastAsia="Times New Roman"/>
              <w:color w:val="auto"/>
              <w:spacing w:val="-4"/>
            </w:rPr>
            <w:t xml:space="preserve"> </w:t>
          </w:r>
          <w:r>
            <w:rPr>
              <w:color w:val="auto"/>
            </w:rPr>
            <w:t>股取得的股息红利所得税政策</w:t>
          </w:r>
          <w:r>
            <w:rPr>
              <w:color w:val="auto"/>
            </w:rPr>
            <w:tab/>
          </w:r>
          <w:r>
            <w:rPr>
              <w:rFonts w:ascii="Times New Roman" w:eastAsia="Times New Roman"/>
              <w:color w:val="auto"/>
            </w:rPr>
            <w:t>60</w:t>
          </w:r>
          <w:r>
            <w:rPr>
              <w:rFonts w:ascii="Times New Roman" w:eastAsia="Times New Roman"/>
              <w:color w:val="auto"/>
            </w:rPr>
            <w:fldChar w:fldCharType="end"/>
          </w:r>
        </w:p>
        <w:p>
          <w:pPr>
            <w:pStyle w:val="7"/>
            <w:numPr>
              <w:ilvl w:val="1"/>
              <w:numId w:val="1"/>
            </w:numPr>
            <w:tabs>
              <w:tab w:val="left" w:pos="1528"/>
              <w:tab w:val="left" w:leader="dot" w:pos="8415"/>
            </w:tabs>
            <w:spacing w:before="43" w:after="0" w:line="240" w:lineRule="auto"/>
            <w:ind w:left="1527" w:right="0" w:hanging="368"/>
            <w:jc w:val="left"/>
            <w:rPr>
              <w:rFonts w:ascii="Times New Roman" w:eastAsia="Times New Roman"/>
              <w:color w:val="auto"/>
            </w:rPr>
          </w:pPr>
          <w:r>
            <w:rPr>
              <w:color w:val="auto"/>
            </w:rPr>
            <w:fldChar w:fldCharType="begin"/>
          </w:r>
          <w:r>
            <w:rPr>
              <w:color w:val="auto"/>
            </w:rPr>
            <w:instrText xml:space="preserve"> HYPERLINK \l "_TOC_250007" </w:instrText>
          </w:r>
          <w:r>
            <w:rPr>
              <w:color w:val="auto"/>
            </w:rPr>
            <w:fldChar w:fldCharType="separate"/>
          </w:r>
          <w:r>
            <w:rPr>
              <w:color w:val="auto"/>
            </w:rPr>
            <w:t>香港市场投资者投资深交所上市</w:t>
          </w:r>
          <w:r>
            <w:rPr>
              <w:color w:val="auto"/>
              <w:spacing w:val="-54"/>
            </w:rPr>
            <w:t xml:space="preserve"> </w:t>
          </w:r>
          <w:r>
            <w:rPr>
              <w:rFonts w:ascii="Times New Roman" w:eastAsia="Times New Roman"/>
              <w:color w:val="auto"/>
            </w:rPr>
            <w:t>A</w:t>
          </w:r>
          <w:r>
            <w:rPr>
              <w:rFonts w:ascii="Times New Roman" w:eastAsia="Times New Roman"/>
              <w:color w:val="auto"/>
              <w:spacing w:val="-4"/>
            </w:rPr>
            <w:t xml:space="preserve"> </w:t>
          </w:r>
          <w:r>
            <w:rPr>
              <w:color w:val="auto"/>
            </w:rPr>
            <w:t>股取得的转让差价免征增值税</w:t>
          </w:r>
          <w:r>
            <w:rPr>
              <w:color w:val="auto"/>
            </w:rPr>
            <w:tab/>
          </w:r>
          <w:r>
            <w:rPr>
              <w:rFonts w:ascii="Times New Roman" w:eastAsia="Times New Roman"/>
              <w:color w:val="auto"/>
            </w:rPr>
            <w:t>61</w:t>
          </w:r>
          <w:r>
            <w:rPr>
              <w:rFonts w:ascii="Times New Roman" w:eastAsia="Times New Roman"/>
              <w:color w:val="auto"/>
            </w:rPr>
            <w:fldChar w:fldCharType="end"/>
          </w:r>
        </w:p>
        <w:p>
          <w:pPr>
            <w:pStyle w:val="7"/>
            <w:numPr>
              <w:ilvl w:val="1"/>
              <w:numId w:val="1"/>
            </w:numPr>
            <w:tabs>
              <w:tab w:val="left" w:pos="1528"/>
            </w:tabs>
            <w:spacing w:before="43" w:after="0" w:line="240" w:lineRule="auto"/>
            <w:ind w:left="1527" w:right="0" w:hanging="368"/>
            <w:jc w:val="left"/>
            <w:rPr>
              <w:rFonts w:ascii="Times New Roman" w:eastAsia="Times New Roman"/>
              <w:color w:val="auto"/>
            </w:rPr>
          </w:pPr>
          <w:r>
            <w:rPr>
              <w:color w:val="auto"/>
              <w:spacing w:val="-4"/>
            </w:rPr>
            <w:t xml:space="preserve">香港市场投资者投资深交所上市 </w:t>
          </w:r>
          <w:r>
            <w:rPr>
              <w:rFonts w:ascii="Times New Roman" w:eastAsia="Times New Roman"/>
              <w:color w:val="auto"/>
            </w:rPr>
            <w:t>A</w:t>
          </w:r>
          <w:r>
            <w:rPr>
              <w:rFonts w:ascii="Times New Roman" w:eastAsia="Times New Roman"/>
              <w:color w:val="auto"/>
              <w:spacing w:val="-1"/>
            </w:rPr>
            <w:t xml:space="preserve"> </w:t>
          </w:r>
          <w:r>
            <w:rPr>
              <w:color w:val="auto"/>
            </w:rPr>
            <w:t xml:space="preserve">股取得的转让差价所得暂免征收所得税 </w:t>
          </w:r>
          <w:r>
            <w:rPr>
              <w:rFonts w:ascii="Times New Roman" w:eastAsia="Times New Roman"/>
              <w:color w:val="auto"/>
            </w:rPr>
            <w:t>62</w:t>
          </w:r>
        </w:p>
        <w:p>
          <w:pPr>
            <w:pStyle w:val="7"/>
            <w:numPr>
              <w:ilvl w:val="1"/>
              <w:numId w:val="1"/>
            </w:numPr>
            <w:tabs>
              <w:tab w:val="left" w:pos="1528"/>
              <w:tab w:val="left" w:leader="dot" w:pos="8415"/>
            </w:tabs>
            <w:spacing w:before="43" w:after="0" w:line="240" w:lineRule="auto"/>
            <w:ind w:left="1527" w:right="0" w:hanging="368"/>
            <w:jc w:val="left"/>
            <w:rPr>
              <w:rFonts w:ascii="Times New Roman" w:eastAsia="Times New Roman"/>
              <w:color w:val="auto"/>
            </w:rPr>
          </w:pPr>
          <w:r>
            <w:rPr>
              <w:color w:val="auto"/>
            </w:rPr>
            <w:fldChar w:fldCharType="begin"/>
          </w:r>
          <w:r>
            <w:rPr>
              <w:color w:val="auto"/>
            </w:rPr>
            <w:instrText xml:space="preserve"> HYPERLINK \l "_TOC_250006" </w:instrText>
          </w:r>
          <w:r>
            <w:rPr>
              <w:color w:val="auto"/>
            </w:rPr>
            <w:fldChar w:fldCharType="separate"/>
          </w:r>
          <w:r>
            <w:rPr>
              <w:color w:val="auto"/>
            </w:rPr>
            <w:t>香港市场投资者投资深交所上市</w:t>
          </w:r>
          <w:r>
            <w:rPr>
              <w:color w:val="auto"/>
              <w:spacing w:val="-54"/>
            </w:rPr>
            <w:t xml:space="preserve"> </w:t>
          </w:r>
          <w:r>
            <w:rPr>
              <w:rFonts w:ascii="Times New Roman" w:eastAsia="Times New Roman"/>
              <w:color w:val="auto"/>
            </w:rPr>
            <w:t>A</w:t>
          </w:r>
          <w:r>
            <w:rPr>
              <w:rFonts w:ascii="Times New Roman" w:eastAsia="Times New Roman"/>
              <w:color w:val="auto"/>
              <w:spacing w:val="-4"/>
            </w:rPr>
            <w:t xml:space="preserve"> </w:t>
          </w:r>
          <w:r>
            <w:rPr>
              <w:color w:val="auto"/>
            </w:rPr>
            <w:t>股取得的股息红利所得税政策</w:t>
          </w:r>
          <w:r>
            <w:rPr>
              <w:color w:val="auto"/>
            </w:rPr>
            <w:tab/>
          </w:r>
          <w:r>
            <w:rPr>
              <w:rFonts w:ascii="Times New Roman" w:eastAsia="Times New Roman"/>
              <w:color w:val="auto"/>
            </w:rPr>
            <w:t>63</w:t>
          </w:r>
          <w:r>
            <w:rPr>
              <w:rFonts w:ascii="Times New Roman" w:eastAsia="Times New Roman"/>
              <w:color w:val="auto"/>
            </w:rPr>
            <w:fldChar w:fldCharType="end"/>
          </w:r>
        </w:p>
        <w:p>
          <w:pPr>
            <w:pStyle w:val="7"/>
            <w:numPr>
              <w:ilvl w:val="1"/>
              <w:numId w:val="1"/>
            </w:numPr>
            <w:tabs>
              <w:tab w:val="left" w:pos="1528"/>
              <w:tab w:val="left" w:leader="dot" w:pos="8415"/>
            </w:tabs>
            <w:spacing w:before="43" w:after="0" w:line="278" w:lineRule="auto"/>
            <w:ind w:left="1160" w:right="431" w:firstLine="0"/>
            <w:jc w:val="left"/>
            <w:rPr>
              <w:rFonts w:ascii="Times New Roman" w:eastAsia="Times New Roman"/>
              <w:color w:val="auto"/>
            </w:rPr>
          </w:pPr>
          <w:r>
            <w:rPr>
              <w:color w:val="auto"/>
            </w:rPr>
            <w:fldChar w:fldCharType="begin"/>
          </w:r>
          <w:r>
            <w:rPr>
              <w:color w:val="auto"/>
            </w:rPr>
            <w:instrText xml:space="preserve"> HYPERLINK \l "_TOC_250005" </w:instrText>
          </w:r>
          <w:r>
            <w:rPr>
              <w:color w:val="auto"/>
            </w:rPr>
            <w:fldChar w:fldCharType="separate"/>
          </w:r>
          <w:r>
            <w:rPr>
              <w:color w:val="auto"/>
            </w:rPr>
            <w:t>香港市场投资者参与股票担保卖空涉及的股票借入</w:t>
          </w:r>
          <w:r>
            <w:rPr>
              <w:color w:val="auto"/>
              <w:spacing w:val="-73"/>
            </w:rPr>
            <w:t>、</w:t>
          </w:r>
          <w:r>
            <w:rPr>
              <w:color w:val="auto"/>
            </w:rPr>
            <w:t>归还暂免征收证</w:t>
          </w:r>
          <w:r>
            <w:rPr>
              <w:color w:val="auto"/>
              <w:spacing w:val="-70"/>
            </w:rPr>
            <w:t>券</w:t>
          </w:r>
          <w:r>
            <w:rPr>
              <w:color w:val="auto"/>
              <w:spacing w:val="-3"/>
            </w:rPr>
            <w:t>（</w:t>
          </w:r>
          <w:r>
            <w:rPr>
              <w:color w:val="auto"/>
            </w:rPr>
            <w:t>股票） 交易印花税</w:t>
          </w:r>
          <w:r>
            <w:rPr>
              <w:color w:val="auto"/>
            </w:rPr>
            <w:tab/>
          </w:r>
          <w:r>
            <w:rPr>
              <w:rFonts w:ascii="Times New Roman" w:eastAsia="Times New Roman"/>
              <w:color w:val="auto"/>
            </w:rPr>
            <w:t>64</w:t>
          </w:r>
          <w:r>
            <w:rPr>
              <w:rFonts w:ascii="Times New Roman" w:eastAsia="Times New Roman"/>
              <w:color w:val="auto"/>
            </w:rPr>
            <w:fldChar w:fldCharType="end"/>
          </w:r>
        </w:p>
        <w:p>
          <w:pPr>
            <w:pStyle w:val="7"/>
            <w:numPr>
              <w:ilvl w:val="1"/>
              <w:numId w:val="1"/>
            </w:numPr>
            <w:tabs>
              <w:tab w:val="left" w:pos="1528"/>
              <w:tab w:val="left" w:leader="dot" w:pos="8415"/>
            </w:tabs>
            <w:spacing w:before="0" w:after="0" w:line="269" w:lineRule="exact"/>
            <w:ind w:left="1527" w:right="0" w:hanging="368"/>
            <w:jc w:val="left"/>
            <w:rPr>
              <w:rFonts w:ascii="Times New Roman" w:eastAsia="Times New Roman"/>
              <w:color w:val="auto"/>
            </w:rPr>
          </w:pPr>
          <w:r>
            <w:rPr>
              <w:color w:val="auto"/>
            </w:rPr>
            <w:fldChar w:fldCharType="begin"/>
          </w:r>
          <w:r>
            <w:rPr>
              <w:color w:val="auto"/>
            </w:rPr>
            <w:instrText xml:space="preserve"> HYPERLINK \l "_TOC_250004" </w:instrText>
          </w:r>
          <w:r>
            <w:rPr>
              <w:color w:val="auto"/>
            </w:rPr>
            <w:fldChar w:fldCharType="separate"/>
          </w:r>
          <w:r>
            <w:rPr>
              <w:color w:val="auto"/>
            </w:rPr>
            <w:t>香港市场投资者买卖内地基金份额取得的转让差价免征增值税</w:t>
          </w:r>
          <w:r>
            <w:rPr>
              <w:color w:val="auto"/>
            </w:rPr>
            <w:tab/>
          </w:r>
          <w:r>
            <w:rPr>
              <w:rFonts w:ascii="Times New Roman" w:eastAsia="Times New Roman"/>
              <w:color w:val="auto"/>
            </w:rPr>
            <w:t>65</w:t>
          </w:r>
          <w:r>
            <w:rPr>
              <w:rFonts w:ascii="Times New Roman" w:eastAsia="Times New Roman"/>
              <w:color w:val="auto"/>
            </w:rPr>
            <w:fldChar w:fldCharType="end"/>
          </w:r>
        </w:p>
        <w:p>
          <w:pPr>
            <w:pStyle w:val="7"/>
            <w:numPr>
              <w:ilvl w:val="1"/>
              <w:numId w:val="1"/>
            </w:numPr>
            <w:tabs>
              <w:tab w:val="left" w:pos="1528"/>
              <w:tab w:val="left" w:leader="dot" w:pos="8415"/>
            </w:tabs>
            <w:spacing w:before="43" w:after="0" w:line="240" w:lineRule="auto"/>
            <w:ind w:left="1527" w:right="0" w:hanging="368"/>
            <w:jc w:val="left"/>
            <w:rPr>
              <w:rFonts w:ascii="Times New Roman" w:eastAsia="Times New Roman"/>
              <w:color w:val="auto"/>
            </w:rPr>
          </w:pPr>
          <w:r>
            <w:rPr>
              <w:color w:val="auto"/>
            </w:rPr>
            <w:fldChar w:fldCharType="begin"/>
          </w:r>
          <w:r>
            <w:rPr>
              <w:color w:val="auto"/>
            </w:rPr>
            <w:instrText xml:space="preserve"> HYPERLINK \l "_TOC_250003" </w:instrText>
          </w:r>
          <w:r>
            <w:rPr>
              <w:color w:val="auto"/>
            </w:rPr>
            <w:fldChar w:fldCharType="separate"/>
          </w:r>
          <w:r>
            <w:rPr>
              <w:color w:val="auto"/>
            </w:rPr>
            <w:t>香港市场投资者买卖内地基金份额取得的转让差价所得暂免征收所得税</w:t>
          </w:r>
          <w:r>
            <w:rPr>
              <w:color w:val="auto"/>
            </w:rPr>
            <w:tab/>
          </w:r>
          <w:r>
            <w:rPr>
              <w:rFonts w:ascii="Times New Roman" w:eastAsia="Times New Roman"/>
              <w:color w:val="auto"/>
            </w:rPr>
            <w:t>65</w:t>
          </w:r>
          <w:r>
            <w:rPr>
              <w:rFonts w:ascii="Times New Roman" w:eastAsia="Times New Roman"/>
              <w:color w:val="auto"/>
            </w:rPr>
            <w:fldChar w:fldCharType="end"/>
          </w:r>
        </w:p>
        <w:p>
          <w:pPr>
            <w:pStyle w:val="7"/>
            <w:numPr>
              <w:ilvl w:val="1"/>
              <w:numId w:val="1"/>
            </w:numPr>
            <w:tabs>
              <w:tab w:val="left" w:pos="1528"/>
              <w:tab w:val="left" w:leader="dot" w:pos="8415"/>
            </w:tabs>
            <w:spacing w:before="42" w:after="0" w:line="240" w:lineRule="auto"/>
            <w:ind w:left="1527" w:right="0" w:hanging="368"/>
            <w:jc w:val="left"/>
            <w:rPr>
              <w:rFonts w:ascii="Times New Roman" w:eastAsia="Times New Roman"/>
              <w:color w:val="auto"/>
            </w:rPr>
          </w:pPr>
          <w:r>
            <w:rPr>
              <w:color w:val="auto"/>
            </w:rPr>
            <w:fldChar w:fldCharType="begin"/>
          </w:r>
          <w:r>
            <w:rPr>
              <w:color w:val="auto"/>
            </w:rPr>
            <w:instrText xml:space="preserve"> HYPERLINK \l "_TOC_250002" </w:instrText>
          </w:r>
          <w:r>
            <w:rPr>
              <w:color w:val="auto"/>
            </w:rPr>
            <w:fldChar w:fldCharType="separate"/>
          </w:r>
          <w:r>
            <w:rPr>
              <w:color w:val="auto"/>
            </w:rPr>
            <w:t>香港市场投资者从内地基金分配取得收益所得税政策</w:t>
          </w:r>
          <w:r>
            <w:rPr>
              <w:color w:val="auto"/>
            </w:rPr>
            <w:tab/>
          </w:r>
          <w:r>
            <w:rPr>
              <w:rFonts w:ascii="Times New Roman" w:eastAsia="Times New Roman"/>
              <w:color w:val="auto"/>
            </w:rPr>
            <w:t>66</w:t>
          </w:r>
          <w:r>
            <w:rPr>
              <w:rFonts w:ascii="Times New Roman" w:eastAsia="Times New Roman"/>
              <w:color w:val="auto"/>
            </w:rPr>
            <w:fldChar w:fldCharType="end"/>
          </w:r>
        </w:p>
        <w:p>
          <w:pPr>
            <w:pStyle w:val="7"/>
            <w:numPr>
              <w:ilvl w:val="1"/>
              <w:numId w:val="1"/>
            </w:numPr>
            <w:tabs>
              <w:tab w:val="left" w:pos="1528"/>
              <w:tab w:val="left" w:leader="dot" w:pos="8415"/>
            </w:tabs>
            <w:spacing w:before="43" w:after="0" w:line="240" w:lineRule="auto"/>
            <w:ind w:left="1527" w:right="0" w:hanging="368"/>
            <w:jc w:val="left"/>
            <w:rPr>
              <w:rFonts w:ascii="Times New Roman" w:eastAsia="Times New Roman"/>
              <w:color w:val="auto"/>
            </w:rPr>
          </w:pPr>
          <w:r>
            <w:rPr>
              <w:color w:val="auto"/>
            </w:rPr>
            <w:fldChar w:fldCharType="begin"/>
          </w:r>
          <w:r>
            <w:rPr>
              <w:color w:val="auto"/>
            </w:rPr>
            <w:instrText xml:space="preserve"> HYPERLINK \l "_TOC_250001" </w:instrText>
          </w:r>
          <w:r>
            <w:rPr>
              <w:color w:val="auto"/>
            </w:rPr>
            <w:fldChar w:fldCharType="separate"/>
          </w:r>
          <w:r>
            <w:rPr>
              <w:color w:val="auto"/>
            </w:rPr>
            <w:t>香港市场投资者买卖、继承、赠与内地基金份额暂不征收印花税</w:t>
          </w:r>
          <w:r>
            <w:rPr>
              <w:color w:val="auto"/>
            </w:rPr>
            <w:tab/>
          </w:r>
          <w:r>
            <w:rPr>
              <w:rFonts w:ascii="Times New Roman" w:eastAsia="Times New Roman"/>
              <w:color w:val="auto"/>
            </w:rPr>
            <w:t>67</w:t>
          </w:r>
          <w:r>
            <w:rPr>
              <w:rFonts w:ascii="Times New Roman" w:eastAsia="Times New Roman"/>
              <w:color w:val="auto"/>
            </w:rPr>
            <w:fldChar w:fldCharType="end"/>
          </w:r>
        </w:p>
        <w:p>
          <w:pPr>
            <w:pStyle w:val="7"/>
            <w:numPr>
              <w:ilvl w:val="1"/>
              <w:numId w:val="1"/>
            </w:numPr>
            <w:tabs>
              <w:tab w:val="left" w:pos="1528"/>
              <w:tab w:val="left" w:leader="dot" w:pos="8415"/>
            </w:tabs>
            <w:spacing w:before="43" w:after="0" w:line="240" w:lineRule="auto"/>
            <w:ind w:left="1527" w:right="0" w:hanging="368"/>
            <w:jc w:val="left"/>
            <w:rPr>
              <w:rFonts w:ascii="Times New Roman" w:eastAsia="Times New Roman"/>
              <w:color w:val="auto"/>
            </w:rPr>
          </w:pPr>
          <w:r>
            <w:rPr>
              <w:color w:val="auto"/>
            </w:rPr>
            <w:fldChar w:fldCharType="begin"/>
          </w:r>
          <w:r>
            <w:rPr>
              <w:color w:val="auto"/>
            </w:rPr>
            <w:instrText xml:space="preserve"> HYPERLINK \l "_TOC_250000" </w:instrText>
          </w:r>
          <w:r>
            <w:rPr>
              <w:color w:val="auto"/>
            </w:rPr>
            <w:fldChar w:fldCharType="separate"/>
          </w:r>
          <w:r>
            <w:rPr>
              <w:color w:val="auto"/>
            </w:rPr>
            <w:t>境外机构投资者从事中国境内原油期货交易暂不征收企业所得税</w:t>
          </w:r>
          <w:r>
            <w:rPr>
              <w:color w:val="auto"/>
            </w:rPr>
            <w:tab/>
          </w:r>
          <w:r>
            <w:rPr>
              <w:rFonts w:ascii="Times New Roman" w:eastAsia="Times New Roman"/>
              <w:color w:val="auto"/>
            </w:rPr>
            <w:t>67</w:t>
          </w:r>
          <w:r>
            <w:rPr>
              <w:rFonts w:ascii="Times New Roman" w:eastAsia="Times New Roman"/>
              <w:color w:val="auto"/>
            </w:rPr>
            <w:fldChar w:fldCharType="end"/>
          </w:r>
        </w:p>
      </w:sdtContent>
    </w:sdt>
    <w:p>
      <w:pPr>
        <w:spacing w:after="0" w:line="240" w:lineRule="auto"/>
        <w:jc w:val="left"/>
        <w:rPr>
          <w:rFonts w:ascii="Times New Roman" w:eastAsia="Times New Roman"/>
          <w:color w:val="auto"/>
        </w:rPr>
        <w:sectPr>
          <w:type w:val="continuous"/>
          <w:pgSz w:w="11910" w:h="16840"/>
          <w:pgMar w:top="1400" w:right="1260" w:bottom="974" w:left="1480" w:header="720" w:footer="720" w:gutter="0"/>
          <w:cols w:space="720" w:num="1"/>
        </w:sectPr>
      </w:pPr>
    </w:p>
    <w:p>
      <w:pPr>
        <w:pStyle w:val="2"/>
        <w:keepNext w:val="0"/>
        <w:keepLines w:val="0"/>
        <w:pageBreakBefore w:val="0"/>
        <w:widowControl w:val="0"/>
        <w:kinsoku/>
        <w:wordWrap/>
        <w:overflowPunct/>
        <w:topLinePunct w:val="0"/>
        <w:autoSpaceDE w:val="0"/>
        <w:autoSpaceDN w:val="0"/>
        <w:bidi w:val="0"/>
        <w:adjustRightInd/>
        <w:snapToGrid/>
        <w:ind w:left="461"/>
        <w:jc w:val="both"/>
        <w:textAlignment w:val="auto"/>
        <w:rPr>
          <w:color w:val="auto"/>
        </w:rPr>
      </w:pPr>
      <w:bookmarkStart w:id="0" w:name="_TOC_250049"/>
      <w:bookmarkEnd w:id="0"/>
      <w:r>
        <w:rPr>
          <w:color w:val="auto"/>
        </w:rPr>
        <w:t>一、稳外贸税收政策</w:t>
      </w:r>
    </w:p>
    <w:p>
      <w:pPr>
        <w:keepNext w:val="0"/>
        <w:keepLines w:val="0"/>
        <w:pageBreakBefore w:val="0"/>
        <w:widowControl w:val="0"/>
        <w:kinsoku/>
        <w:wordWrap/>
        <w:overflowPunct/>
        <w:topLinePunct w:val="0"/>
        <w:autoSpaceDE w:val="0"/>
        <w:autoSpaceDN w:val="0"/>
        <w:bidi w:val="0"/>
        <w:adjustRightInd/>
        <w:snapToGrid/>
        <w:spacing w:before="163"/>
        <w:ind w:left="320" w:right="0" w:firstLine="0"/>
        <w:jc w:val="both"/>
        <w:textAlignment w:val="auto"/>
        <w:rPr>
          <w:rFonts w:hint="eastAsia" w:ascii="楷体_GB2312" w:eastAsia="楷体_GB2312"/>
          <w:b/>
          <w:color w:val="auto"/>
          <w:sz w:val="36"/>
        </w:rPr>
      </w:pPr>
      <w:bookmarkStart w:id="1" w:name="_TOC_250048"/>
      <w:bookmarkEnd w:id="1"/>
      <w:r>
        <w:rPr>
          <w:rFonts w:hint="eastAsia" w:ascii="楷体_GB2312" w:eastAsia="楷体_GB2312"/>
          <w:b/>
          <w:color w:val="auto"/>
          <w:sz w:val="36"/>
        </w:rPr>
        <w:t>（一）货物劳务税收政策</w:t>
      </w:r>
    </w:p>
    <w:p>
      <w:pPr>
        <w:pStyle w:val="12"/>
        <w:keepNext w:val="0"/>
        <w:keepLines w:val="0"/>
        <w:pageBreakBefore w:val="0"/>
        <w:widowControl w:val="0"/>
        <w:numPr>
          <w:ilvl w:val="0"/>
          <w:numId w:val="2"/>
        </w:numPr>
        <w:tabs>
          <w:tab w:val="left" w:pos="644"/>
        </w:tabs>
        <w:kinsoku/>
        <w:wordWrap/>
        <w:overflowPunct/>
        <w:topLinePunct w:val="0"/>
        <w:autoSpaceDE w:val="0"/>
        <w:autoSpaceDN w:val="0"/>
        <w:bidi w:val="0"/>
        <w:adjustRightInd/>
        <w:snapToGrid/>
        <w:spacing w:before="190" w:after="0" w:line="240" w:lineRule="auto"/>
        <w:ind w:left="643" w:right="0" w:hanging="324"/>
        <w:jc w:val="both"/>
        <w:textAlignment w:val="auto"/>
        <w:rPr>
          <w:rFonts w:hint="eastAsia" w:ascii="宋体" w:eastAsia="宋体"/>
          <w:b/>
          <w:color w:val="auto"/>
          <w:sz w:val="32"/>
        </w:rPr>
      </w:pPr>
      <w:bookmarkStart w:id="2" w:name="_TOC_250047"/>
      <w:bookmarkEnd w:id="2"/>
      <w:r>
        <w:rPr>
          <w:rFonts w:hint="eastAsia" w:ascii="宋体" w:eastAsia="宋体"/>
          <w:b/>
          <w:color w:val="auto"/>
          <w:sz w:val="32"/>
        </w:rPr>
        <w:t>出口货物劳务退（免）税政策</w:t>
      </w:r>
    </w:p>
    <w:p>
      <w:pPr>
        <w:keepNext w:val="0"/>
        <w:keepLines w:val="0"/>
        <w:pageBreakBefore w:val="0"/>
        <w:widowControl w:val="0"/>
        <w:kinsoku/>
        <w:wordWrap/>
        <w:overflowPunct/>
        <w:topLinePunct w:val="0"/>
        <w:autoSpaceDE w:val="0"/>
        <w:autoSpaceDN w:val="0"/>
        <w:bidi w:val="0"/>
        <w:adjustRightInd/>
        <w:snapToGrid/>
        <w:spacing w:before="214"/>
        <w:ind w:left="320" w:right="0" w:firstLine="0"/>
        <w:jc w:val="both"/>
        <w:textAlignment w:val="auto"/>
        <w:rPr>
          <w:rFonts w:hint="eastAsia" w:ascii="宋体" w:eastAsia="宋体"/>
          <w:b/>
          <w:color w:val="auto"/>
          <w:sz w:val="32"/>
        </w:rPr>
      </w:pPr>
      <w:r>
        <w:rPr>
          <w:rFonts w:hint="eastAsia" w:ascii="宋体" w:eastAsia="宋体"/>
          <w:b/>
          <w:color w:val="auto"/>
          <w:sz w:val="32"/>
        </w:rPr>
        <w:t>【适用主体】</w:t>
      </w:r>
    </w:p>
    <w:p>
      <w:pPr>
        <w:pStyle w:val="12"/>
        <w:keepNext w:val="0"/>
        <w:keepLines w:val="0"/>
        <w:pageBreakBefore w:val="0"/>
        <w:widowControl w:val="0"/>
        <w:numPr>
          <w:ilvl w:val="1"/>
          <w:numId w:val="2"/>
        </w:numPr>
        <w:tabs>
          <w:tab w:val="left" w:pos="1283"/>
        </w:tabs>
        <w:kinsoku/>
        <w:wordWrap/>
        <w:overflowPunct/>
        <w:topLinePunct w:val="0"/>
        <w:autoSpaceDE w:val="0"/>
        <w:autoSpaceDN w:val="0"/>
        <w:bidi w:val="0"/>
        <w:adjustRightInd/>
        <w:snapToGrid/>
        <w:spacing w:before="214" w:after="0" w:line="364" w:lineRule="auto"/>
        <w:ind w:left="320" w:right="525" w:firstLine="640"/>
        <w:jc w:val="both"/>
        <w:textAlignment w:val="auto"/>
        <w:rPr>
          <w:color w:val="auto"/>
          <w:sz w:val="32"/>
        </w:rPr>
      </w:pPr>
      <w:r>
        <w:rPr>
          <w:color w:val="auto"/>
          <w:w w:val="95"/>
          <w:sz w:val="32"/>
        </w:rPr>
        <w:t xml:space="preserve">依法办理市场主体登记、对外贸易经营者备案登记， </w:t>
      </w:r>
      <w:r>
        <w:rPr>
          <w:color w:val="auto"/>
          <w:sz w:val="32"/>
        </w:rPr>
        <w:t>自营或委托出口货物的单位或个体工商户。</w:t>
      </w:r>
    </w:p>
    <w:p>
      <w:pPr>
        <w:pStyle w:val="12"/>
        <w:keepNext w:val="0"/>
        <w:keepLines w:val="0"/>
        <w:pageBreakBefore w:val="0"/>
        <w:widowControl w:val="0"/>
        <w:numPr>
          <w:ilvl w:val="1"/>
          <w:numId w:val="2"/>
        </w:numPr>
        <w:tabs>
          <w:tab w:val="left" w:pos="1292"/>
        </w:tabs>
        <w:kinsoku/>
        <w:wordWrap/>
        <w:overflowPunct/>
        <w:topLinePunct w:val="0"/>
        <w:autoSpaceDE w:val="0"/>
        <w:autoSpaceDN w:val="0"/>
        <w:bidi w:val="0"/>
        <w:adjustRightInd/>
        <w:snapToGrid/>
        <w:spacing w:before="2" w:after="0" w:line="364" w:lineRule="auto"/>
        <w:ind w:left="320" w:right="540" w:firstLine="640"/>
        <w:jc w:val="both"/>
        <w:textAlignment w:val="auto"/>
        <w:rPr>
          <w:color w:val="auto"/>
          <w:sz w:val="32"/>
        </w:rPr>
      </w:pPr>
      <w:r>
        <w:rPr>
          <w:color w:val="auto"/>
          <w:spacing w:val="13"/>
          <w:w w:val="95"/>
          <w:sz w:val="32"/>
        </w:rPr>
        <w:t xml:space="preserve">依法办理市场主体登记但未办理对外贸易经营者备 </w:t>
      </w:r>
      <w:r>
        <w:rPr>
          <w:color w:val="auto"/>
          <w:spacing w:val="13"/>
          <w:sz w:val="32"/>
        </w:rPr>
        <w:t>案登记，委托出口货物的生产企业。</w:t>
      </w:r>
    </w:p>
    <w:p>
      <w:pPr>
        <w:keepNext w:val="0"/>
        <w:keepLines w:val="0"/>
        <w:pageBreakBefore w:val="0"/>
        <w:widowControl w:val="0"/>
        <w:kinsoku/>
        <w:wordWrap/>
        <w:overflowPunct/>
        <w:topLinePunct w:val="0"/>
        <w:autoSpaceDE w:val="0"/>
        <w:autoSpaceDN w:val="0"/>
        <w:bidi w:val="0"/>
        <w:adjustRightInd/>
        <w:snapToGrid/>
        <w:spacing w:before="2"/>
        <w:ind w:left="320" w:right="0" w:firstLine="0"/>
        <w:jc w:val="both"/>
        <w:textAlignment w:val="auto"/>
        <w:rPr>
          <w:rFonts w:hint="eastAsia" w:ascii="宋体" w:eastAsia="宋体"/>
          <w:b/>
          <w:color w:val="auto"/>
          <w:sz w:val="32"/>
        </w:rPr>
      </w:pPr>
      <w:r>
        <w:rPr>
          <w:rFonts w:hint="eastAsia" w:ascii="宋体" w:eastAsia="宋体"/>
          <w:b/>
          <w:color w:val="auto"/>
          <w:sz w:val="32"/>
        </w:rPr>
        <w:t>【政策内容】</w:t>
      </w:r>
    </w:p>
    <w:p>
      <w:pPr>
        <w:pStyle w:val="12"/>
        <w:keepNext w:val="0"/>
        <w:keepLines w:val="0"/>
        <w:pageBreakBefore w:val="0"/>
        <w:widowControl w:val="0"/>
        <w:numPr>
          <w:ilvl w:val="0"/>
          <w:numId w:val="3"/>
        </w:numPr>
        <w:tabs>
          <w:tab w:val="left" w:pos="1283"/>
        </w:tabs>
        <w:kinsoku/>
        <w:wordWrap/>
        <w:overflowPunct/>
        <w:topLinePunct w:val="0"/>
        <w:autoSpaceDE w:val="0"/>
        <w:autoSpaceDN w:val="0"/>
        <w:bidi w:val="0"/>
        <w:adjustRightInd/>
        <w:snapToGrid/>
        <w:spacing w:before="214" w:after="0" w:line="364" w:lineRule="auto"/>
        <w:ind w:left="320" w:right="540" w:firstLine="640"/>
        <w:jc w:val="both"/>
        <w:textAlignment w:val="auto"/>
        <w:rPr>
          <w:color w:val="auto"/>
          <w:sz w:val="32"/>
        </w:rPr>
      </w:pPr>
      <w:r>
        <w:rPr>
          <w:color w:val="auto"/>
          <w:spacing w:val="-2"/>
          <w:w w:val="95"/>
          <w:sz w:val="32"/>
        </w:rPr>
        <w:t xml:space="preserve">对符合条件的出口货物劳务，实行免征和退还增值税  </w:t>
      </w:r>
      <w:r>
        <w:rPr>
          <w:color w:val="auto"/>
          <w:spacing w:val="-2"/>
          <w:sz w:val="32"/>
        </w:rPr>
        <w:t>[以下称增值税退（免）税]政策：</w:t>
      </w:r>
    </w:p>
    <w:p>
      <w:pPr>
        <w:pStyle w:val="12"/>
        <w:keepNext w:val="0"/>
        <w:keepLines w:val="0"/>
        <w:pageBreakBefore w:val="0"/>
        <w:widowControl w:val="0"/>
        <w:numPr>
          <w:ilvl w:val="0"/>
          <w:numId w:val="4"/>
        </w:numPr>
        <w:tabs>
          <w:tab w:val="left" w:pos="1780"/>
        </w:tabs>
        <w:kinsoku/>
        <w:wordWrap/>
        <w:overflowPunct/>
        <w:topLinePunct w:val="0"/>
        <w:autoSpaceDE w:val="0"/>
        <w:autoSpaceDN w:val="0"/>
        <w:bidi w:val="0"/>
        <w:adjustRightInd/>
        <w:snapToGrid/>
        <w:spacing w:before="1" w:after="0" w:line="364" w:lineRule="auto"/>
        <w:ind w:left="320" w:right="537" w:firstLine="640"/>
        <w:jc w:val="both"/>
        <w:textAlignment w:val="auto"/>
        <w:rPr>
          <w:color w:val="auto"/>
          <w:sz w:val="32"/>
        </w:rPr>
      </w:pPr>
      <w:r>
        <w:rPr>
          <w:color w:val="auto"/>
          <w:spacing w:val="6"/>
          <w:w w:val="95"/>
          <w:sz w:val="32"/>
        </w:rPr>
        <w:t xml:space="preserve">免抵退税办法。生产企业出口自产货物和视同自 </w:t>
      </w:r>
      <w:r>
        <w:rPr>
          <w:color w:val="auto"/>
          <w:sz w:val="32"/>
        </w:rPr>
        <w:t>产货物及对外提供加工修理修配劳务，以及列名生产企业出</w:t>
      </w:r>
      <w:r>
        <w:rPr>
          <w:color w:val="auto"/>
          <w:spacing w:val="-2"/>
          <w:sz w:val="32"/>
        </w:rPr>
        <w:t>口非自产货物，免征增值税，相应的进项税额抵减应纳增值</w:t>
      </w:r>
      <w:r>
        <w:rPr>
          <w:color w:val="auto"/>
          <w:spacing w:val="-4"/>
          <w:w w:val="95"/>
          <w:sz w:val="32"/>
        </w:rPr>
        <w:t>税额</w:t>
      </w:r>
      <w:r>
        <w:rPr>
          <w:color w:val="auto"/>
          <w:w w:val="95"/>
          <w:sz w:val="32"/>
        </w:rPr>
        <w:t>（</w:t>
      </w:r>
      <w:r>
        <w:rPr>
          <w:color w:val="auto"/>
          <w:spacing w:val="-1"/>
          <w:w w:val="95"/>
          <w:sz w:val="32"/>
        </w:rPr>
        <w:t xml:space="preserve">不包括适用增值税即征即退、先征后退政策的应纳增 </w:t>
      </w:r>
      <w:r>
        <w:rPr>
          <w:color w:val="auto"/>
          <w:spacing w:val="-1"/>
          <w:sz w:val="32"/>
        </w:rPr>
        <w:t>值税额），未抵减完的部分予以退还。</w:t>
      </w:r>
    </w:p>
    <w:p>
      <w:pPr>
        <w:pStyle w:val="12"/>
        <w:keepNext w:val="0"/>
        <w:keepLines w:val="0"/>
        <w:pageBreakBefore w:val="0"/>
        <w:widowControl w:val="0"/>
        <w:numPr>
          <w:ilvl w:val="0"/>
          <w:numId w:val="4"/>
        </w:numPr>
        <w:tabs>
          <w:tab w:val="left" w:pos="1780"/>
        </w:tabs>
        <w:kinsoku/>
        <w:wordWrap/>
        <w:overflowPunct/>
        <w:topLinePunct w:val="0"/>
        <w:autoSpaceDE w:val="0"/>
        <w:autoSpaceDN w:val="0"/>
        <w:bidi w:val="0"/>
        <w:adjustRightInd/>
        <w:snapToGrid/>
        <w:spacing w:before="4" w:after="0" w:line="364" w:lineRule="auto"/>
        <w:ind w:left="320" w:right="379" w:firstLine="640"/>
        <w:jc w:val="both"/>
        <w:textAlignment w:val="auto"/>
        <w:rPr>
          <w:color w:val="auto"/>
          <w:sz w:val="32"/>
        </w:rPr>
      </w:pPr>
      <w:r>
        <w:rPr>
          <w:color w:val="auto"/>
          <w:spacing w:val="6"/>
          <w:sz w:val="32"/>
        </w:rPr>
        <w:t>免退税办法。不具有生产能力的外贸企业或其他</w:t>
      </w:r>
      <w:r>
        <w:rPr>
          <w:color w:val="auto"/>
          <w:spacing w:val="-11"/>
          <w:w w:val="95"/>
          <w:sz w:val="32"/>
        </w:rPr>
        <w:t>单位出口货物劳务，免征增值税，相应的进项税额予以退还。</w:t>
      </w:r>
    </w:p>
    <w:p>
      <w:pPr>
        <w:pStyle w:val="12"/>
        <w:keepNext w:val="0"/>
        <w:keepLines w:val="0"/>
        <w:pageBreakBefore w:val="0"/>
        <w:widowControl w:val="0"/>
        <w:numPr>
          <w:ilvl w:val="0"/>
          <w:numId w:val="3"/>
        </w:numPr>
        <w:tabs>
          <w:tab w:val="left" w:pos="1283"/>
        </w:tabs>
        <w:kinsoku/>
        <w:wordWrap/>
        <w:overflowPunct/>
        <w:topLinePunct w:val="0"/>
        <w:autoSpaceDE w:val="0"/>
        <w:autoSpaceDN w:val="0"/>
        <w:bidi w:val="0"/>
        <w:adjustRightInd/>
        <w:snapToGrid/>
        <w:spacing w:before="2" w:after="0" w:line="364" w:lineRule="auto"/>
        <w:ind w:left="320" w:right="537" w:firstLine="640"/>
        <w:jc w:val="both"/>
        <w:textAlignment w:val="auto"/>
        <w:rPr>
          <w:color w:val="auto"/>
          <w:sz w:val="32"/>
        </w:rPr>
      </w:pPr>
      <w:r>
        <w:rPr>
          <w:color w:val="auto"/>
          <w:spacing w:val="-1"/>
          <w:w w:val="95"/>
          <w:sz w:val="32"/>
        </w:rPr>
        <w:t>出口企业出口或视同出口适用增值税退</w:t>
      </w:r>
      <w:r>
        <w:rPr>
          <w:color w:val="auto"/>
          <w:w w:val="95"/>
          <w:sz w:val="32"/>
        </w:rPr>
        <w:t>（免</w:t>
      </w:r>
      <w:r>
        <w:rPr>
          <w:color w:val="auto"/>
          <w:spacing w:val="-5"/>
          <w:w w:val="95"/>
          <w:sz w:val="32"/>
        </w:rPr>
        <w:t>）</w:t>
      </w:r>
      <w:r>
        <w:rPr>
          <w:color w:val="auto"/>
          <w:w w:val="95"/>
          <w:sz w:val="32"/>
        </w:rPr>
        <w:t xml:space="preserve">税的货 </w:t>
      </w:r>
      <w:r>
        <w:rPr>
          <w:color w:val="auto"/>
          <w:spacing w:val="-4"/>
          <w:sz w:val="32"/>
        </w:rPr>
        <w:t>物，如果属于消费税应税消费品，免征消费税，如果属于购进出口的货物，退还前一环节对其已征的消费税。</w:t>
      </w:r>
    </w:p>
    <w:p>
      <w:pPr>
        <w:keepNext w:val="0"/>
        <w:keepLines w:val="0"/>
        <w:pageBreakBefore w:val="0"/>
        <w:widowControl w:val="0"/>
        <w:kinsoku/>
        <w:wordWrap/>
        <w:overflowPunct/>
        <w:topLinePunct w:val="0"/>
        <w:autoSpaceDE w:val="0"/>
        <w:autoSpaceDN w:val="0"/>
        <w:bidi w:val="0"/>
        <w:adjustRightInd/>
        <w:snapToGrid/>
        <w:spacing w:before="2"/>
        <w:ind w:left="320" w:right="0" w:firstLine="0"/>
        <w:jc w:val="both"/>
        <w:textAlignment w:val="auto"/>
        <w:rPr>
          <w:rFonts w:hint="eastAsia" w:ascii="宋体" w:eastAsia="宋体"/>
          <w:b/>
          <w:color w:val="auto"/>
          <w:sz w:val="32"/>
        </w:rPr>
      </w:pPr>
      <w:r>
        <w:rPr>
          <w:rFonts w:hint="eastAsia" w:ascii="宋体" w:eastAsia="宋体"/>
          <w:b/>
          <w:color w:val="auto"/>
          <w:sz w:val="32"/>
        </w:rPr>
        <w:t>【适用条件】</w:t>
      </w:r>
    </w:p>
    <w:p>
      <w:pPr>
        <w:keepNext w:val="0"/>
        <w:keepLines w:val="0"/>
        <w:pageBreakBefore w:val="0"/>
        <w:widowControl w:val="0"/>
        <w:kinsoku/>
        <w:wordWrap/>
        <w:overflowPunct/>
        <w:topLinePunct w:val="0"/>
        <w:autoSpaceDE w:val="0"/>
        <w:autoSpaceDN w:val="0"/>
        <w:bidi w:val="0"/>
        <w:adjustRightInd/>
        <w:snapToGrid/>
        <w:spacing w:after="0"/>
        <w:jc w:val="both"/>
        <w:textAlignment w:val="auto"/>
        <w:rPr>
          <w:rFonts w:hint="eastAsia" w:ascii="宋体" w:eastAsia="宋体"/>
          <w:color w:val="auto"/>
          <w:sz w:val="32"/>
        </w:rPr>
        <w:sectPr>
          <w:pgSz w:w="11910" w:h="16840"/>
          <w:pgMar w:top="1480" w:right="1260" w:bottom="1180" w:left="1480" w:header="0" w:footer="993" w:gutter="0"/>
          <w:cols w:space="720" w:num="1"/>
        </w:sectPr>
      </w:pPr>
    </w:p>
    <w:p>
      <w:pPr>
        <w:pStyle w:val="12"/>
        <w:keepNext w:val="0"/>
        <w:keepLines w:val="0"/>
        <w:pageBreakBefore w:val="0"/>
        <w:widowControl w:val="0"/>
        <w:numPr>
          <w:ilvl w:val="0"/>
          <w:numId w:val="5"/>
        </w:numPr>
        <w:tabs>
          <w:tab w:val="left" w:pos="1283"/>
        </w:tabs>
        <w:kinsoku/>
        <w:wordWrap/>
        <w:overflowPunct/>
        <w:topLinePunct w:val="0"/>
        <w:autoSpaceDE w:val="0"/>
        <w:autoSpaceDN w:val="0"/>
        <w:bidi w:val="0"/>
        <w:adjustRightInd/>
        <w:snapToGrid/>
        <w:spacing w:before="30" w:after="0" w:line="364" w:lineRule="auto"/>
        <w:ind w:left="320" w:right="537" w:firstLine="640"/>
        <w:jc w:val="both"/>
        <w:textAlignment w:val="auto"/>
        <w:rPr>
          <w:color w:val="auto"/>
          <w:sz w:val="32"/>
        </w:rPr>
      </w:pPr>
      <w:r>
        <w:rPr>
          <w:color w:val="auto"/>
          <w:spacing w:val="-3"/>
          <w:w w:val="95"/>
          <w:sz w:val="32"/>
        </w:rPr>
        <w:t xml:space="preserve">出口货物，是指海关报关后实际离境并销售给境外单 </w:t>
      </w:r>
      <w:r>
        <w:rPr>
          <w:color w:val="auto"/>
          <w:spacing w:val="-3"/>
          <w:sz w:val="32"/>
        </w:rPr>
        <w:t>位或个人的货物，分为自营出口货物和委托出口货物。</w:t>
      </w:r>
    </w:p>
    <w:p>
      <w:pPr>
        <w:pStyle w:val="12"/>
        <w:keepNext w:val="0"/>
        <w:keepLines w:val="0"/>
        <w:pageBreakBefore w:val="0"/>
        <w:widowControl w:val="0"/>
        <w:numPr>
          <w:ilvl w:val="0"/>
          <w:numId w:val="5"/>
        </w:numPr>
        <w:tabs>
          <w:tab w:val="left" w:pos="1283"/>
        </w:tabs>
        <w:kinsoku/>
        <w:wordWrap/>
        <w:overflowPunct/>
        <w:topLinePunct w:val="0"/>
        <w:autoSpaceDE w:val="0"/>
        <w:autoSpaceDN w:val="0"/>
        <w:bidi w:val="0"/>
        <w:adjustRightInd/>
        <w:snapToGrid/>
        <w:spacing w:before="1" w:after="0" w:line="364" w:lineRule="auto"/>
        <w:ind w:left="320" w:right="537" w:firstLine="640"/>
        <w:jc w:val="both"/>
        <w:textAlignment w:val="auto"/>
        <w:rPr>
          <w:color w:val="auto"/>
          <w:sz w:val="32"/>
        </w:rPr>
      </w:pPr>
      <w:r>
        <w:rPr>
          <w:color w:val="auto"/>
          <w:spacing w:val="-2"/>
          <w:w w:val="95"/>
          <w:sz w:val="32"/>
        </w:rPr>
        <w:t>生产企业，是指具有生产能力</w:t>
      </w:r>
      <w:r>
        <w:rPr>
          <w:color w:val="auto"/>
          <w:w w:val="95"/>
          <w:sz w:val="32"/>
        </w:rPr>
        <w:t xml:space="preserve">（包括加工修理修配能 </w:t>
      </w:r>
      <w:r>
        <w:rPr>
          <w:color w:val="auto"/>
          <w:sz w:val="32"/>
        </w:rPr>
        <w:t>力）的单位或个体工商户。</w:t>
      </w:r>
    </w:p>
    <w:p>
      <w:pPr>
        <w:pStyle w:val="12"/>
        <w:keepNext w:val="0"/>
        <w:keepLines w:val="0"/>
        <w:pageBreakBefore w:val="0"/>
        <w:widowControl w:val="0"/>
        <w:numPr>
          <w:ilvl w:val="0"/>
          <w:numId w:val="5"/>
        </w:numPr>
        <w:tabs>
          <w:tab w:val="left" w:pos="1283"/>
        </w:tabs>
        <w:kinsoku/>
        <w:wordWrap/>
        <w:overflowPunct/>
        <w:topLinePunct w:val="0"/>
        <w:autoSpaceDE w:val="0"/>
        <w:autoSpaceDN w:val="0"/>
        <w:bidi w:val="0"/>
        <w:adjustRightInd/>
        <w:snapToGrid/>
        <w:spacing w:before="2" w:after="0" w:line="240" w:lineRule="auto"/>
        <w:ind w:left="1282" w:right="0" w:hanging="323"/>
        <w:jc w:val="both"/>
        <w:textAlignment w:val="auto"/>
        <w:rPr>
          <w:color w:val="auto"/>
          <w:sz w:val="32"/>
        </w:rPr>
      </w:pPr>
      <w:r>
        <w:rPr>
          <w:color w:val="auto"/>
          <w:sz w:val="32"/>
        </w:rPr>
        <w:t>出口企业或其他单位视同出口货物：</w:t>
      </w:r>
    </w:p>
    <w:p>
      <w:pPr>
        <w:pStyle w:val="12"/>
        <w:keepNext w:val="0"/>
        <w:keepLines w:val="0"/>
        <w:pageBreakBefore w:val="0"/>
        <w:widowControl w:val="0"/>
        <w:numPr>
          <w:ilvl w:val="0"/>
          <w:numId w:val="6"/>
        </w:numPr>
        <w:tabs>
          <w:tab w:val="left" w:pos="1780"/>
        </w:tabs>
        <w:kinsoku/>
        <w:wordWrap/>
        <w:overflowPunct/>
        <w:topLinePunct w:val="0"/>
        <w:autoSpaceDE w:val="0"/>
        <w:autoSpaceDN w:val="0"/>
        <w:bidi w:val="0"/>
        <w:adjustRightInd/>
        <w:snapToGrid/>
        <w:spacing w:before="214" w:after="0" w:line="364" w:lineRule="auto"/>
        <w:ind w:left="320" w:right="537" w:firstLine="640"/>
        <w:jc w:val="both"/>
        <w:textAlignment w:val="auto"/>
        <w:rPr>
          <w:color w:val="auto"/>
          <w:sz w:val="32"/>
        </w:rPr>
      </w:pPr>
      <w:r>
        <w:rPr>
          <w:color w:val="auto"/>
          <w:spacing w:val="6"/>
          <w:w w:val="95"/>
          <w:sz w:val="32"/>
        </w:rPr>
        <w:t xml:space="preserve">出口企业对外援助、对外承包、境外投资的出口 </w:t>
      </w:r>
      <w:r>
        <w:rPr>
          <w:color w:val="auto"/>
          <w:spacing w:val="6"/>
          <w:sz w:val="32"/>
        </w:rPr>
        <w:t>货物。</w:t>
      </w:r>
    </w:p>
    <w:p>
      <w:pPr>
        <w:pStyle w:val="12"/>
        <w:keepNext w:val="0"/>
        <w:keepLines w:val="0"/>
        <w:pageBreakBefore w:val="0"/>
        <w:widowControl w:val="0"/>
        <w:numPr>
          <w:ilvl w:val="0"/>
          <w:numId w:val="6"/>
        </w:numPr>
        <w:tabs>
          <w:tab w:val="left" w:pos="1761"/>
        </w:tabs>
        <w:kinsoku/>
        <w:wordWrap/>
        <w:overflowPunct/>
        <w:topLinePunct w:val="0"/>
        <w:autoSpaceDE w:val="0"/>
        <w:autoSpaceDN w:val="0"/>
        <w:bidi w:val="0"/>
        <w:adjustRightInd/>
        <w:snapToGrid/>
        <w:spacing w:before="2" w:after="0" w:line="364" w:lineRule="auto"/>
        <w:ind w:left="320" w:right="378" w:firstLine="640"/>
        <w:jc w:val="both"/>
        <w:textAlignment w:val="auto"/>
        <w:rPr>
          <w:color w:val="auto"/>
          <w:sz w:val="32"/>
        </w:rPr>
      </w:pPr>
      <w:r>
        <w:rPr>
          <w:color w:val="auto"/>
          <w:sz w:val="32"/>
        </w:rPr>
        <w:t>出口企业经海关报关进入国家批准的出口加工区</w:t>
      </w:r>
      <w:r>
        <w:rPr>
          <w:color w:val="auto"/>
          <w:spacing w:val="-21"/>
          <w:sz w:val="32"/>
        </w:rPr>
        <w:t>、保税物流园区、保税港区、综合保税区、珠澳跨境工业区</w:t>
      </w:r>
      <w:r>
        <w:rPr>
          <w:color w:val="auto"/>
          <w:sz w:val="32"/>
        </w:rPr>
        <w:t xml:space="preserve">（ </w:t>
      </w:r>
      <w:r>
        <w:rPr>
          <w:color w:val="auto"/>
          <w:w w:val="95"/>
          <w:sz w:val="32"/>
        </w:rPr>
        <w:t>珠海园区</w:t>
      </w:r>
      <w:r>
        <w:rPr>
          <w:color w:val="auto"/>
          <w:spacing w:val="-111"/>
          <w:w w:val="95"/>
          <w:sz w:val="32"/>
        </w:rPr>
        <w:t>）</w:t>
      </w:r>
      <w:r>
        <w:rPr>
          <w:color w:val="auto"/>
          <w:spacing w:val="-19"/>
          <w:w w:val="95"/>
          <w:sz w:val="32"/>
        </w:rPr>
        <w:t>、中哈霍尔果斯国际边境合作中心</w:t>
      </w:r>
      <w:r>
        <w:rPr>
          <w:color w:val="auto"/>
          <w:w w:val="95"/>
          <w:sz w:val="32"/>
        </w:rPr>
        <w:t>（中方配套区域</w:t>
      </w:r>
      <w:r>
        <w:rPr>
          <w:color w:val="auto"/>
          <w:spacing w:val="-159"/>
          <w:w w:val="95"/>
          <w:sz w:val="32"/>
        </w:rPr>
        <w:t>）</w:t>
      </w:r>
      <w:r>
        <w:rPr>
          <w:color w:val="auto"/>
          <w:spacing w:val="-19"/>
          <w:w w:val="95"/>
          <w:sz w:val="32"/>
        </w:rPr>
        <w:t xml:space="preserve"> </w:t>
      </w:r>
      <w:r>
        <w:rPr>
          <w:color w:val="auto"/>
          <w:sz w:val="32"/>
        </w:rPr>
        <w:t>、保税物流中心（B</w:t>
      </w:r>
      <w:r>
        <w:rPr>
          <w:color w:val="auto"/>
          <w:spacing w:val="-39"/>
          <w:sz w:val="32"/>
        </w:rPr>
        <w:t xml:space="preserve"> 型</w:t>
      </w:r>
      <w:r>
        <w:rPr>
          <w:color w:val="auto"/>
          <w:spacing w:val="3"/>
          <w:sz w:val="32"/>
        </w:rPr>
        <w:t>）（</w:t>
      </w:r>
      <w:r>
        <w:rPr>
          <w:color w:val="auto"/>
          <w:spacing w:val="1"/>
          <w:sz w:val="32"/>
        </w:rPr>
        <w:t>统称特殊区域</w:t>
      </w:r>
      <w:r>
        <w:rPr>
          <w:color w:val="auto"/>
          <w:sz w:val="32"/>
        </w:rPr>
        <w:t>）并销售给特殊区域内单位或境外单位、个人的货物。</w:t>
      </w:r>
    </w:p>
    <w:p>
      <w:pPr>
        <w:pStyle w:val="12"/>
        <w:keepNext w:val="0"/>
        <w:keepLines w:val="0"/>
        <w:pageBreakBefore w:val="0"/>
        <w:widowControl w:val="0"/>
        <w:numPr>
          <w:ilvl w:val="0"/>
          <w:numId w:val="6"/>
        </w:numPr>
        <w:tabs>
          <w:tab w:val="left" w:pos="1780"/>
        </w:tabs>
        <w:kinsoku/>
        <w:wordWrap/>
        <w:overflowPunct/>
        <w:topLinePunct w:val="0"/>
        <w:autoSpaceDE w:val="0"/>
        <w:autoSpaceDN w:val="0"/>
        <w:bidi w:val="0"/>
        <w:adjustRightInd/>
        <w:snapToGrid/>
        <w:spacing w:before="4" w:after="0" w:line="364" w:lineRule="auto"/>
        <w:ind w:left="320" w:right="537" w:firstLine="640"/>
        <w:jc w:val="both"/>
        <w:textAlignment w:val="auto"/>
        <w:rPr>
          <w:color w:val="auto"/>
          <w:sz w:val="32"/>
        </w:rPr>
      </w:pPr>
      <w:r>
        <w:rPr>
          <w:color w:val="auto"/>
          <w:spacing w:val="7"/>
          <w:w w:val="95"/>
          <w:sz w:val="32"/>
        </w:rPr>
        <w:t>免税品经营企业销售的货物</w:t>
      </w:r>
      <w:r>
        <w:rPr>
          <w:color w:val="auto"/>
          <w:spacing w:val="5"/>
          <w:w w:val="95"/>
          <w:sz w:val="32"/>
        </w:rPr>
        <w:t>（</w:t>
      </w:r>
      <w:r>
        <w:rPr>
          <w:color w:val="auto"/>
          <w:spacing w:val="6"/>
          <w:w w:val="95"/>
          <w:sz w:val="32"/>
        </w:rPr>
        <w:t xml:space="preserve">国家规定不允许经 </w:t>
      </w:r>
      <w:r>
        <w:rPr>
          <w:color w:val="auto"/>
          <w:spacing w:val="-1"/>
          <w:sz w:val="32"/>
        </w:rPr>
        <w:t>营和限制出口的货物、卷烟和超出免税品经营企业《企业法人营业执照》规定经营范围的货物除外）。</w:t>
      </w:r>
    </w:p>
    <w:p>
      <w:pPr>
        <w:pStyle w:val="12"/>
        <w:keepNext w:val="0"/>
        <w:keepLines w:val="0"/>
        <w:pageBreakBefore w:val="0"/>
        <w:widowControl w:val="0"/>
        <w:numPr>
          <w:ilvl w:val="0"/>
          <w:numId w:val="6"/>
        </w:numPr>
        <w:tabs>
          <w:tab w:val="left" w:pos="1780"/>
        </w:tabs>
        <w:kinsoku/>
        <w:wordWrap/>
        <w:overflowPunct/>
        <w:topLinePunct w:val="0"/>
        <w:autoSpaceDE w:val="0"/>
        <w:autoSpaceDN w:val="0"/>
        <w:bidi w:val="0"/>
        <w:adjustRightInd/>
        <w:snapToGrid/>
        <w:spacing w:before="2" w:after="0" w:line="364" w:lineRule="auto"/>
        <w:ind w:left="320" w:right="537" w:firstLine="640"/>
        <w:jc w:val="both"/>
        <w:textAlignment w:val="auto"/>
        <w:rPr>
          <w:color w:val="auto"/>
          <w:sz w:val="32"/>
        </w:rPr>
      </w:pPr>
      <w:r>
        <w:rPr>
          <w:color w:val="auto"/>
          <w:spacing w:val="6"/>
          <w:w w:val="95"/>
          <w:sz w:val="32"/>
        </w:rPr>
        <w:t xml:space="preserve">出口企业或其他单位销售给用于国际金融组织或 </w:t>
      </w:r>
      <w:r>
        <w:rPr>
          <w:color w:val="auto"/>
          <w:spacing w:val="5"/>
          <w:sz w:val="32"/>
        </w:rPr>
        <w:t>外国政府贷款国际招标建设项目的中标机电产品</w:t>
      </w:r>
      <w:r>
        <w:rPr>
          <w:color w:val="auto"/>
          <w:sz w:val="32"/>
        </w:rPr>
        <w:t>（包括外国企业中标再分包给出口企业或其他单位的机电产品）。</w:t>
      </w:r>
    </w:p>
    <w:p>
      <w:pPr>
        <w:pStyle w:val="12"/>
        <w:keepNext w:val="0"/>
        <w:keepLines w:val="0"/>
        <w:pageBreakBefore w:val="0"/>
        <w:widowControl w:val="0"/>
        <w:numPr>
          <w:ilvl w:val="0"/>
          <w:numId w:val="6"/>
        </w:numPr>
        <w:tabs>
          <w:tab w:val="left" w:pos="1780"/>
        </w:tabs>
        <w:kinsoku/>
        <w:wordWrap/>
        <w:overflowPunct/>
        <w:topLinePunct w:val="0"/>
        <w:autoSpaceDE w:val="0"/>
        <w:autoSpaceDN w:val="0"/>
        <w:bidi w:val="0"/>
        <w:adjustRightInd/>
        <w:snapToGrid/>
        <w:spacing w:before="2" w:after="0" w:line="364" w:lineRule="auto"/>
        <w:ind w:left="320" w:right="537" w:firstLine="640"/>
        <w:jc w:val="both"/>
        <w:textAlignment w:val="auto"/>
        <w:rPr>
          <w:color w:val="auto"/>
          <w:sz w:val="32"/>
        </w:rPr>
      </w:pPr>
      <w:r>
        <w:rPr>
          <w:color w:val="auto"/>
          <w:spacing w:val="6"/>
          <w:w w:val="95"/>
          <w:sz w:val="32"/>
        </w:rPr>
        <w:t xml:space="preserve">符合条件的生产企业向海上石油天然气开采企业 </w:t>
      </w:r>
      <w:r>
        <w:rPr>
          <w:color w:val="auto"/>
          <w:spacing w:val="6"/>
          <w:sz w:val="32"/>
        </w:rPr>
        <w:t>销售的自产的海洋工程结构物。</w:t>
      </w:r>
    </w:p>
    <w:p>
      <w:pPr>
        <w:pStyle w:val="12"/>
        <w:keepNext w:val="0"/>
        <w:keepLines w:val="0"/>
        <w:pageBreakBefore w:val="0"/>
        <w:widowControl w:val="0"/>
        <w:numPr>
          <w:ilvl w:val="0"/>
          <w:numId w:val="6"/>
        </w:numPr>
        <w:tabs>
          <w:tab w:val="left" w:pos="1780"/>
        </w:tabs>
        <w:kinsoku/>
        <w:wordWrap/>
        <w:overflowPunct/>
        <w:topLinePunct w:val="0"/>
        <w:autoSpaceDE w:val="0"/>
        <w:autoSpaceDN w:val="0"/>
        <w:bidi w:val="0"/>
        <w:adjustRightInd/>
        <w:snapToGrid/>
        <w:spacing w:before="2" w:after="0" w:line="364" w:lineRule="auto"/>
        <w:ind w:left="320" w:right="537" w:firstLine="640"/>
        <w:jc w:val="both"/>
        <w:textAlignment w:val="auto"/>
        <w:rPr>
          <w:color w:val="auto"/>
        </w:rPr>
      </w:pPr>
      <w:r>
        <w:rPr>
          <w:color w:val="auto"/>
          <w:spacing w:val="6"/>
          <w:w w:val="95"/>
          <w:sz w:val="32"/>
        </w:rPr>
        <w:t xml:space="preserve">符合条件的出口企业或其他单位销售给国际运输 </w:t>
      </w:r>
      <w:r>
        <w:rPr>
          <w:color w:val="auto"/>
          <w:sz w:val="32"/>
        </w:rPr>
        <w:t>企业用于国际运输工具上的货物。该规定暂仅适用于外轮供应公司、远洋运输供应公司销售给外轮、远洋国轮的货物， 国内航空供应公司生产销售给国内和国外航空公司国际航 班的航空食品。</w:t>
      </w:r>
    </w:p>
    <w:p>
      <w:pPr>
        <w:pStyle w:val="12"/>
        <w:keepNext w:val="0"/>
        <w:keepLines w:val="0"/>
        <w:pageBreakBefore w:val="0"/>
        <w:widowControl w:val="0"/>
        <w:numPr>
          <w:ilvl w:val="0"/>
          <w:numId w:val="6"/>
        </w:numPr>
        <w:tabs>
          <w:tab w:val="left" w:pos="1780"/>
        </w:tabs>
        <w:kinsoku/>
        <w:wordWrap/>
        <w:overflowPunct/>
        <w:topLinePunct w:val="0"/>
        <w:autoSpaceDE w:val="0"/>
        <w:autoSpaceDN w:val="0"/>
        <w:bidi w:val="0"/>
        <w:adjustRightInd/>
        <w:snapToGrid/>
        <w:spacing w:before="2" w:after="0" w:line="364" w:lineRule="auto"/>
        <w:ind w:left="320" w:right="366" w:firstLine="640"/>
        <w:jc w:val="both"/>
        <w:textAlignment w:val="auto"/>
        <w:rPr>
          <w:color w:val="auto"/>
          <w:sz w:val="32"/>
        </w:rPr>
      </w:pPr>
      <w:r>
        <w:rPr>
          <w:color w:val="auto"/>
          <w:spacing w:val="6"/>
          <w:sz w:val="32"/>
        </w:rPr>
        <w:t>出口企业或其他单位销售给特殊区域内生产企业</w:t>
      </w:r>
      <w:r>
        <w:rPr>
          <w:color w:val="auto"/>
          <w:spacing w:val="1"/>
          <w:sz w:val="32"/>
        </w:rPr>
        <w:t>生产耗用且不向海关报关而输入特殊区域的水</w:t>
      </w:r>
      <w:r>
        <w:rPr>
          <w:color w:val="auto"/>
          <w:sz w:val="32"/>
        </w:rPr>
        <w:t>（包括蒸汽</w:t>
      </w:r>
      <w:r>
        <w:rPr>
          <w:color w:val="auto"/>
          <w:spacing w:val="-79"/>
          <w:sz w:val="32"/>
        </w:rPr>
        <w:t>）</w:t>
      </w:r>
      <w:r>
        <w:rPr>
          <w:color w:val="auto"/>
          <w:spacing w:val="-12"/>
          <w:sz w:val="32"/>
        </w:rPr>
        <w:t>、</w:t>
      </w:r>
      <w:r>
        <w:rPr>
          <w:color w:val="auto"/>
          <w:sz w:val="32"/>
        </w:rPr>
        <w:t>电力、燃气。</w:t>
      </w:r>
    </w:p>
    <w:p>
      <w:pPr>
        <w:pStyle w:val="12"/>
        <w:keepNext w:val="0"/>
        <w:keepLines w:val="0"/>
        <w:pageBreakBefore w:val="0"/>
        <w:widowControl w:val="0"/>
        <w:numPr>
          <w:ilvl w:val="0"/>
          <w:numId w:val="5"/>
        </w:numPr>
        <w:tabs>
          <w:tab w:val="left" w:pos="1280"/>
        </w:tabs>
        <w:kinsoku/>
        <w:wordWrap/>
        <w:overflowPunct/>
        <w:topLinePunct w:val="0"/>
        <w:autoSpaceDE w:val="0"/>
        <w:autoSpaceDN w:val="0"/>
        <w:bidi w:val="0"/>
        <w:adjustRightInd/>
        <w:snapToGrid/>
        <w:spacing w:before="3" w:after="0" w:line="364" w:lineRule="auto"/>
        <w:ind w:left="320" w:right="525" w:firstLine="640"/>
        <w:jc w:val="both"/>
        <w:textAlignment w:val="auto"/>
        <w:rPr>
          <w:color w:val="auto"/>
          <w:sz w:val="32"/>
        </w:rPr>
      </w:pPr>
      <w:r>
        <w:rPr>
          <w:color w:val="auto"/>
          <w:spacing w:val="-1"/>
          <w:sz w:val="32"/>
        </w:rPr>
        <w:t>出口企业对外提供加工修理修配劳务，是指对进境复出口货物或从事国际运输的运输工具进行的加工修理修配。</w:t>
      </w:r>
    </w:p>
    <w:p>
      <w:pPr>
        <w:keepNext w:val="0"/>
        <w:keepLines w:val="0"/>
        <w:pageBreakBefore w:val="0"/>
        <w:widowControl w:val="0"/>
        <w:kinsoku/>
        <w:wordWrap/>
        <w:overflowPunct/>
        <w:topLinePunct w:val="0"/>
        <w:autoSpaceDE w:val="0"/>
        <w:autoSpaceDN w:val="0"/>
        <w:bidi w:val="0"/>
        <w:adjustRightInd/>
        <w:snapToGrid/>
        <w:spacing w:before="1"/>
        <w:ind w:left="320" w:right="0" w:firstLine="0"/>
        <w:jc w:val="both"/>
        <w:textAlignment w:val="auto"/>
        <w:rPr>
          <w:rFonts w:hint="eastAsia" w:ascii="宋体" w:eastAsia="宋体"/>
          <w:b/>
          <w:color w:val="auto"/>
          <w:sz w:val="32"/>
        </w:rPr>
      </w:pPr>
      <w:r>
        <w:rPr>
          <w:rFonts w:hint="eastAsia" w:ascii="宋体" w:eastAsia="宋体"/>
          <w:b/>
          <w:color w:val="auto"/>
          <w:sz w:val="32"/>
        </w:rPr>
        <w:t>【政策依据】</w:t>
      </w:r>
    </w:p>
    <w:p>
      <w:pPr>
        <w:pStyle w:val="4"/>
        <w:keepNext w:val="0"/>
        <w:keepLines w:val="0"/>
        <w:pageBreakBefore w:val="0"/>
        <w:widowControl w:val="0"/>
        <w:kinsoku/>
        <w:wordWrap/>
        <w:overflowPunct/>
        <w:topLinePunct w:val="0"/>
        <w:autoSpaceDE w:val="0"/>
        <w:autoSpaceDN w:val="0"/>
        <w:bidi w:val="0"/>
        <w:adjustRightInd/>
        <w:snapToGrid/>
        <w:spacing w:before="236" w:line="326" w:lineRule="auto"/>
        <w:ind w:right="537"/>
        <w:jc w:val="both"/>
        <w:textAlignment w:val="auto"/>
        <w:rPr>
          <w:rFonts w:hint="eastAsia" w:ascii="黑体" w:eastAsia="黑体"/>
          <w:color w:val="auto"/>
        </w:rPr>
      </w:pPr>
      <w:r>
        <w:rPr>
          <w:rFonts w:hint="eastAsia" w:ascii="黑体" w:eastAsia="黑体"/>
          <w:color w:val="auto"/>
          <w:spacing w:val="1"/>
        </w:rPr>
        <w:t>《财政部 国家税务总局关于出口货物劳务增值税和消</w:t>
      </w:r>
      <w:r>
        <w:rPr>
          <w:rFonts w:hint="eastAsia" w:ascii="黑体" w:eastAsia="黑体"/>
          <w:color w:val="auto"/>
          <w:spacing w:val="-3"/>
        </w:rPr>
        <w:t>费税政策的通知》</w:t>
      </w:r>
      <w:r>
        <w:rPr>
          <w:rFonts w:hint="eastAsia" w:ascii="黑体" w:eastAsia="黑体"/>
          <w:color w:val="auto"/>
        </w:rPr>
        <w:t>（</w:t>
      </w:r>
      <w:r>
        <w:rPr>
          <w:rFonts w:hint="eastAsia" w:ascii="黑体" w:eastAsia="黑体"/>
          <w:color w:val="auto"/>
          <w:spacing w:val="-6"/>
        </w:rPr>
        <w:t>财税〔</w:t>
      </w:r>
      <w:r>
        <w:rPr>
          <w:rFonts w:hint="eastAsia" w:ascii="黑体" w:eastAsia="黑体"/>
          <w:color w:val="auto"/>
        </w:rPr>
        <w:t>2012</w:t>
      </w:r>
      <w:r>
        <w:rPr>
          <w:rFonts w:hint="eastAsia" w:ascii="黑体" w:eastAsia="黑体"/>
          <w:color w:val="auto"/>
          <w:spacing w:val="-15"/>
        </w:rPr>
        <w:t>〕</w:t>
      </w:r>
      <w:r>
        <w:rPr>
          <w:rFonts w:hint="eastAsia" w:ascii="黑体" w:eastAsia="黑体"/>
          <w:color w:val="auto"/>
        </w:rPr>
        <w:t>39</w:t>
      </w:r>
      <w:r>
        <w:rPr>
          <w:rFonts w:hint="eastAsia" w:ascii="黑体" w:eastAsia="黑体"/>
          <w:color w:val="auto"/>
          <w:spacing w:val="-47"/>
        </w:rPr>
        <w:t xml:space="preserve"> 号</w:t>
      </w:r>
      <w:r>
        <w:rPr>
          <w:rFonts w:hint="eastAsia" w:ascii="黑体" w:eastAsia="黑体"/>
          <w:color w:val="auto"/>
          <w:spacing w:val="-15"/>
        </w:rPr>
        <w:t>）</w:t>
      </w:r>
      <w:r>
        <w:rPr>
          <w:rFonts w:hint="eastAsia" w:ascii="黑体" w:eastAsia="黑体"/>
          <w:color w:val="auto"/>
          <w:spacing w:val="-3"/>
        </w:rPr>
        <w:t>第一至五条、第八条</w:t>
      </w:r>
    </w:p>
    <w:p>
      <w:pPr>
        <w:pStyle w:val="12"/>
        <w:keepNext w:val="0"/>
        <w:keepLines w:val="0"/>
        <w:pageBreakBefore w:val="0"/>
        <w:widowControl w:val="0"/>
        <w:numPr>
          <w:ilvl w:val="0"/>
          <w:numId w:val="7"/>
        </w:numPr>
        <w:tabs>
          <w:tab w:val="left" w:pos="644"/>
        </w:tabs>
        <w:kinsoku/>
        <w:wordWrap/>
        <w:overflowPunct/>
        <w:topLinePunct w:val="0"/>
        <w:autoSpaceDE w:val="0"/>
        <w:autoSpaceDN w:val="0"/>
        <w:bidi w:val="0"/>
        <w:adjustRightInd/>
        <w:snapToGrid/>
        <w:spacing w:before="1" w:after="0" w:line="240" w:lineRule="auto"/>
        <w:ind w:left="643" w:right="0" w:hanging="324"/>
        <w:jc w:val="both"/>
        <w:textAlignment w:val="auto"/>
        <w:rPr>
          <w:rFonts w:hint="eastAsia" w:ascii="宋体" w:eastAsia="宋体"/>
          <w:b/>
          <w:color w:val="auto"/>
          <w:sz w:val="32"/>
        </w:rPr>
      </w:pPr>
      <w:bookmarkStart w:id="3" w:name="_TOC_250046"/>
      <w:bookmarkEnd w:id="3"/>
      <w:r>
        <w:rPr>
          <w:rFonts w:hint="eastAsia" w:ascii="宋体" w:eastAsia="宋体"/>
          <w:b/>
          <w:color w:val="auto"/>
          <w:sz w:val="32"/>
        </w:rPr>
        <w:t>出口货物劳务免税政策</w:t>
      </w:r>
    </w:p>
    <w:p>
      <w:pPr>
        <w:keepNext w:val="0"/>
        <w:keepLines w:val="0"/>
        <w:pageBreakBefore w:val="0"/>
        <w:widowControl w:val="0"/>
        <w:kinsoku/>
        <w:wordWrap/>
        <w:overflowPunct/>
        <w:topLinePunct w:val="0"/>
        <w:autoSpaceDE w:val="0"/>
        <w:autoSpaceDN w:val="0"/>
        <w:bidi w:val="0"/>
        <w:adjustRightInd/>
        <w:snapToGrid/>
        <w:spacing w:before="214"/>
        <w:ind w:left="320" w:right="0" w:firstLine="0"/>
        <w:jc w:val="both"/>
        <w:textAlignment w:val="auto"/>
        <w:rPr>
          <w:rFonts w:hint="eastAsia" w:ascii="宋体" w:eastAsia="宋体"/>
          <w:b/>
          <w:color w:val="auto"/>
          <w:sz w:val="32"/>
        </w:rPr>
      </w:pPr>
      <w:r>
        <w:rPr>
          <w:rFonts w:hint="eastAsia" w:ascii="宋体" w:eastAsia="宋体"/>
          <w:b/>
          <w:color w:val="auto"/>
          <w:sz w:val="32"/>
        </w:rPr>
        <w:t>【适用主体】</w:t>
      </w:r>
    </w:p>
    <w:p>
      <w:pPr>
        <w:pStyle w:val="4"/>
        <w:keepNext w:val="0"/>
        <w:keepLines w:val="0"/>
        <w:pageBreakBefore w:val="0"/>
        <w:widowControl w:val="0"/>
        <w:kinsoku/>
        <w:wordWrap/>
        <w:overflowPunct/>
        <w:topLinePunct w:val="0"/>
        <w:autoSpaceDE w:val="0"/>
        <w:autoSpaceDN w:val="0"/>
        <w:bidi w:val="0"/>
        <w:adjustRightInd/>
        <w:snapToGrid/>
        <w:ind w:left="960" w:firstLine="0"/>
        <w:jc w:val="both"/>
        <w:textAlignment w:val="auto"/>
        <w:rPr>
          <w:color w:val="auto"/>
        </w:rPr>
      </w:pPr>
      <w:r>
        <w:rPr>
          <w:color w:val="auto"/>
        </w:rPr>
        <w:t>出口企业或其他单位</w:t>
      </w:r>
    </w:p>
    <w:p>
      <w:pPr>
        <w:keepNext w:val="0"/>
        <w:keepLines w:val="0"/>
        <w:pageBreakBefore w:val="0"/>
        <w:widowControl w:val="0"/>
        <w:kinsoku/>
        <w:wordWrap/>
        <w:overflowPunct/>
        <w:topLinePunct w:val="0"/>
        <w:autoSpaceDE w:val="0"/>
        <w:autoSpaceDN w:val="0"/>
        <w:bidi w:val="0"/>
        <w:adjustRightInd/>
        <w:snapToGrid/>
        <w:spacing w:before="214"/>
        <w:ind w:left="320" w:right="0" w:firstLine="0"/>
        <w:jc w:val="both"/>
        <w:textAlignment w:val="auto"/>
        <w:rPr>
          <w:rFonts w:hint="eastAsia" w:ascii="宋体" w:eastAsia="宋体"/>
          <w:b/>
          <w:color w:val="auto"/>
          <w:sz w:val="32"/>
        </w:rPr>
      </w:pPr>
      <w:r>
        <w:rPr>
          <w:rFonts w:hint="eastAsia" w:ascii="宋体" w:eastAsia="宋体"/>
          <w:b/>
          <w:color w:val="auto"/>
          <w:sz w:val="32"/>
        </w:rPr>
        <w:t>【政策内容】</w:t>
      </w:r>
    </w:p>
    <w:p>
      <w:pPr>
        <w:pStyle w:val="4"/>
        <w:keepNext w:val="0"/>
        <w:keepLines w:val="0"/>
        <w:pageBreakBefore w:val="0"/>
        <w:widowControl w:val="0"/>
        <w:kinsoku/>
        <w:wordWrap/>
        <w:overflowPunct/>
        <w:topLinePunct w:val="0"/>
        <w:autoSpaceDE w:val="0"/>
        <w:autoSpaceDN w:val="0"/>
        <w:bidi w:val="0"/>
        <w:adjustRightInd/>
        <w:snapToGrid/>
        <w:ind w:left="960" w:firstLine="0"/>
        <w:jc w:val="both"/>
        <w:textAlignment w:val="auto"/>
        <w:rPr>
          <w:color w:val="auto"/>
        </w:rPr>
      </w:pPr>
      <w:r>
        <w:rPr>
          <w:color w:val="auto"/>
        </w:rPr>
        <w:t>对符合条件的出口货物劳务免征增值税。</w:t>
      </w:r>
    </w:p>
    <w:p>
      <w:pPr>
        <w:pStyle w:val="4"/>
        <w:keepNext w:val="0"/>
        <w:keepLines w:val="0"/>
        <w:pageBreakBefore w:val="0"/>
        <w:widowControl w:val="0"/>
        <w:kinsoku/>
        <w:wordWrap/>
        <w:overflowPunct/>
        <w:topLinePunct w:val="0"/>
        <w:autoSpaceDE w:val="0"/>
        <w:autoSpaceDN w:val="0"/>
        <w:bidi w:val="0"/>
        <w:adjustRightInd/>
        <w:snapToGrid/>
        <w:spacing w:line="364" w:lineRule="auto"/>
        <w:ind w:right="525"/>
        <w:jc w:val="both"/>
        <w:textAlignment w:val="auto"/>
        <w:rPr>
          <w:color w:val="auto"/>
        </w:rPr>
      </w:pPr>
      <w:r>
        <w:rPr>
          <w:color w:val="auto"/>
        </w:rPr>
        <w:t>出口企业出口或视同出口适用增值税免税政策的货物， 如果属于消费税应税消费品，免征消费税，但不退还其以前环节已征的消费税，且不允许在内销应税消费品应纳消费税款中抵扣。</w:t>
      </w:r>
    </w:p>
    <w:p>
      <w:pPr>
        <w:keepNext w:val="0"/>
        <w:keepLines w:val="0"/>
        <w:pageBreakBefore w:val="0"/>
        <w:widowControl w:val="0"/>
        <w:kinsoku/>
        <w:wordWrap/>
        <w:overflowPunct/>
        <w:topLinePunct w:val="0"/>
        <w:autoSpaceDE w:val="0"/>
        <w:autoSpaceDN w:val="0"/>
        <w:bidi w:val="0"/>
        <w:adjustRightInd/>
        <w:snapToGrid/>
        <w:spacing w:before="30"/>
        <w:ind w:left="320" w:right="0" w:firstLine="0"/>
        <w:jc w:val="both"/>
        <w:textAlignment w:val="auto"/>
        <w:rPr>
          <w:rFonts w:hint="eastAsia" w:ascii="宋体" w:eastAsia="宋体"/>
          <w:b/>
          <w:color w:val="auto"/>
          <w:sz w:val="32"/>
        </w:rPr>
      </w:pPr>
      <w:r>
        <w:rPr>
          <w:rFonts w:hint="eastAsia" w:ascii="宋体" w:eastAsia="宋体"/>
          <w:b/>
          <w:color w:val="auto"/>
          <w:sz w:val="32"/>
        </w:rPr>
        <w:t>【适用条件】</w:t>
      </w:r>
    </w:p>
    <w:p>
      <w:pPr>
        <w:pStyle w:val="4"/>
        <w:keepNext w:val="0"/>
        <w:keepLines w:val="0"/>
        <w:pageBreakBefore w:val="0"/>
        <w:widowControl w:val="0"/>
        <w:kinsoku/>
        <w:wordWrap/>
        <w:overflowPunct/>
        <w:topLinePunct w:val="0"/>
        <w:autoSpaceDE w:val="0"/>
        <w:autoSpaceDN w:val="0"/>
        <w:bidi w:val="0"/>
        <w:adjustRightInd/>
        <w:snapToGrid/>
        <w:spacing w:line="364" w:lineRule="auto"/>
        <w:ind w:left="960" w:right="1790" w:firstLine="0"/>
        <w:jc w:val="both"/>
        <w:textAlignment w:val="auto"/>
        <w:rPr>
          <w:color w:val="auto"/>
        </w:rPr>
      </w:pPr>
      <w:r>
        <w:rPr>
          <w:color w:val="auto"/>
        </w:rPr>
        <w:t>适用增值税免税政策的出口货物劳务，是指： 1.出口企业或其他单位出口规定的货物：</w:t>
      </w:r>
    </w:p>
    <w:p>
      <w:pPr>
        <w:pStyle w:val="12"/>
        <w:keepNext w:val="0"/>
        <w:keepLines w:val="0"/>
        <w:pageBreakBefore w:val="0"/>
        <w:widowControl w:val="0"/>
        <w:numPr>
          <w:ilvl w:val="1"/>
          <w:numId w:val="7"/>
        </w:numPr>
        <w:tabs>
          <w:tab w:val="left" w:pos="1761"/>
        </w:tabs>
        <w:kinsoku/>
        <w:wordWrap/>
        <w:overflowPunct/>
        <w:topLinePunct w:val="0"/>
        <w:autoSpaceDE w:val="0"/>
        <w:autoSpaceDN w:val="0"/>
        <w:bidi w:val="0"/>
        <w:adjustRightInd/>
        <w:snapToGrid/>
        <w:spacing w:before="1" w:after="0" w:line="240" w:lineRule="auto"/>
        <w:ind w:left="1760" w:right="0" w:hanging="801"/>
        <w:jc w:val="both"/>
        <w:textAlignment w:val="auto"/>
        <w:rPr>
          <w:color w:val="auto"/>
          <w:sz w:val="32"/>
        </w:rPr>
      </w:pPr>
      <w:r>
        <w:rPr>
          <w:color w:val="auto"/>
          <w:sz w:val="32"/>
        </w:rPr>
        <w:t>增值税小规模纳税人出口的货物。</w:t>
      </w:r>
    </w:p>
    <w:p>
      <w:pPr>
        <w:pStyle w:val="12"/>
        <w:keepNext w:val="0"/>
        <w:keepLines w:val="0"/>
        <w:pageBreakBefore w:val="0"/>
        <w:widowControl w:val="0"/>
        <w:numPr>
          <w:ilvl w:val="1"/>
          <w:numId w:val="7"/>
        </w:numPr>
        <w:tabs>
          <w:tab w:val="left" w:pos="1761"/>
        </w:tabs>
        <w:kinsoku/>
        <w:wordWrap/>
        <w:overflowPunct/>
        <w:topLinePunct w:val="0"/>
        <w:autoSpaceDE w:val="0"/>
        <w:autoSpaceDN w:val="0"/>
        <w:bidi w:val="0"/>
        <w:adjustRightInd/>
        <w:snapToGrid/>
        <w:spacing w:before="214" w:after="0" w:line="240" w:lineRule="auto"/>
        <w:ind w:left="1760" w:right="0" w:hanging="801"/>
        <w:jc w:val="both"/>
        <w:textAlignment w:val="auto"/>
        <w:rPr>
          <w:color w:val="auto"/>
          <w:sz w:val="32"/>
        </w:rPr>
      </w:pPr>
      <w:r>
        <w:rPr>
          <w:color w:val="auto"/>
          <w:sz w:val="32"/>
        </w:rPr>
        <w:t>避孕药品和用具，古旧图书。</w:t>
      </w:r>
    </w:p>
    <w:p>
      <w:pPr>
        <w:pStyle w:val="12"/>
        <w:keepNext w:val="0"/>
        <w:keepLines w:val="0"/>
        <w:pageBreakBefore w:val="0"/>
        <w:widowControl w:val="0"/>
        <w:numPr>
          <w:ilvl w:val="1"/>
          <w:numId w:val="7"/>
        </w:numPr>
        <w:tabs>
          <w:tab w:val="left" w:pos="1761"/>
        </w:tabs>
        <w:kinsoku/>
        <w:wordWrap/>
        <w:overflowPunct/>
        <w:topLinePunct w:val="0"/>
        <w:autoSpaceDE w:val="0"/>
        <w:autoSpaceDN w:val="0"/>
        <w:bidi w:val="0"/>
        <w:adjustRightInd/>
        <w:snapToGrid/>
        <w:spacing w:before="214" w:after="0" w:line="240" w:lineRule="auto"/>
        <w:ind w:left="1760" w:right="0" w:hanging="801"/>
        <w:jc w:val="both"/>
        <w:textAlignment w:val="auto"/>
        <w:rPr>
          <w:color w:val="auto"/>
          <w:sz w:val="32"/>
        </w:rPr>
      </w:pPr>
      <w:r>
        <w:rPr>
          <w:color w:val="auto"/>
          <w:w w:val="95"/>
          <w:sz w:val="32"/>
        </w:rPr>
        <w:t>海关税则号前四位为“9803”的软件产品。</w:t>
      </w:r>
    </w:p>
    <w:p>
      <w:pPr>
        <w:pStyle w:val="12"/>
        <w:keepNext w:val="0"/>
        <w:keepLines w:val="0"/>
        <w:pageBreakBefore w:val="0"/>
        <w:widowControl w:val="0"/>
        <w:numPr>
          <w:ilvl w:val="1"/>
          <w:numId w:val="7"/>
        </w:numPr>
        <w:tabs>
          <w:tab w:val="left" w:pos="1761"/>
        </w:tabs>
        <w:kinsoku/>
        <w:wordWrap/>
        <w:overflowPunct/>
        <w:topLinePunct w:val="0"/>
        <w:autoSpaceDE w:val="0"/>
        <w:autoSpaceDN w:val="0"/>
        <w:bidi w:val="0"/>
        <w:adjustRightInd/>
        <w:snapToGrid/>
        <w:spacing w:before="214" w:after="0" w:line="240" w:lineRule="auto"/>
        <w:ind w:left="1760" w:right="0" w:hanging="801"/>
        <w:jc w:val="both"/>
        <w:textAlignment w:val="auto"/>
        <w:rPr>
          <w:color w:val="auto"/>
          <w:sz w:val="32"/>
        </w:rPr>
      </w:pPr>
      <w:r>
        <w:rPr>
          <w:color w:val="auto"/>
          <w:w w:val="95"/>
          <w:sz w:val="32"/>
        </w:rPr>
        <w:t>含黄金、铂金成分的货物，钻石及其饰品。</w:t>
      </w:r>
    </w:p>
    <w:p>
      <w:pPr>
        <w:pStyle w:val="12"/>
        <w:keepNext w:val="0"/>
        <w:keepLines w:val="0"/>
        <w:pageBreakBefore w:val="0"/>
        <w:widowControl w:val="0"/>
        <w:numPr>
          <w:ilvl w:val="1"/>
          <w:numId w:val="7"/>
        </w:numPr>
        <w:tabs>
          <w:tab w:val="left" w:pos="1761"/>
        </w:tabs>
        <w:kinsoku/>
        <w:wordWrap/>
        <w:overflowPunct/>
        <w:topLinePunct w:val="0"/>
        <w:autoSpaceDE w:val="0"/>
        <w:autoSpaceDN w:val="0"/>
        <w:bidi w:val="0"/>
        <w:adjustRightInd/>
        <w:snapToGrid/>
        <w:spacing w:before="214" w:after="0" w:line="240" w:lineRule="auto"/>
        <w:ind w:left="1760" w:right="0" w:hanging="801"/>
        <w:jc w:val="both"/>
        <w:textAlignment w:val="auto"/>
        <w:rPr>
          <w:color w:val="auto"/>
          <w:sz w:val="32"/>
        </w:rPr>
      </w:pPr>
      <w:r>
        <w:rPr>
          <w:color w:val="auto"/>
          <w:sz w:val="32"/>
        </w:rPr>
        <w:t>国家计划内出口的卷烟。</w:t>
      </w:r>
    </w:p>
    <w:p>
      <w:pPr>
        <w:pStyle w:val="12"/>
        <w:keepNext w:val="0"/>
        <w:keepLines w:val="0"/>
        <w:pageBreakBefore w:val="0"/>
        <w:widowControl w:val="0"/>
        <w:numPr>
          <w:ilvl w:val="1"/>
          <w:numId w:val="7"/>
        </w:numPr>
        <w:tabs>
          <w:tab w:val="left" w:pos="1780"/>
        </w:tabs>
        <w:kinsoku/>
        <w:wordWrap/>
        <w:overflowPunct/>
        <w:topLinePunct w:val="0"/>
        <w:autoSpaceDE w:val="0"/>
        <w:autoSpaceDN w:val="0"/>
        <w:bidi w:val="0"/>
        <w:adjustRightInd/>
        <w:snapToGrid/>
        <w:spacing w:before="214" w:after="0" w:line="364" w:lineRule="auto"/>
        <w:ind w:left="320" w:right="537" w:firstLine="640"/>
        <w:jc w:val="both"/>
        <w:textAlignment w:val="auto"/>
        <w:rPr>
          <w:color w:val="auto"/>
          <w:sz w:val="32"/>
        </w:rPr>
      </w:pPr>
      <w:r>
        <w:rPr>
          <w:color w:val="auto"/>
          <w:spacing w:val="6"/>
          <w:w w:val="95"/>
          <w:sz w:val="32"/>
        </w:rPr>
        <w:t xml:space="preserve">购进时未取得增值税专用发票、海关进口增值税 </w:t>
      </w:r>
      <w:r>
        <w:rPr>
          <w:color w:val="auto"/>
          <w:spacing w:val="6"/>
          <w:sz w:val="32"/>
        </w:rPr>
        <w:t>专用缴款书但其他相关单证齐全的已使用过的设备。</w:t>
      </w:r>
    </w:p>
    <w:p>
      <w:pPr>
        <w:pStyle w:val="12"/>
        <w:keepNext w:val="0"/>
        <w:keepLines w:val="0"/>
        <w:pageBreakBefore w:val="0"/>
        <w:widowControl w:val="0"/>
        <w:numPr>
          <w:ilvl w:val="1"/>
          <w:numId w:val="7"/>
        </w:numPr>
        <w:tabs>
          <w:tab w:val="left" w:pos="1761"/>
        </w:tabs>
        <w:kinsoku/>
        <w:wordWrap/>
        <w:overflowPunct/>
        <w:topLinePunct w:val="0"/>
        <w:autoSpaceDE w:val="0"/>
        <w:autoSpaceDN w:val="0"/>
        <w:bidi w:val="0"/>
        <w:adjustRightInd/>
        <w:snapToGrid/>
        <w:spacing w:before="2" w:after="0" w:line="240" w:lineRule="auto"/>
        <w:ind w:left="1760" w:right="0" w:hanging="801"/>
        <w:jc w:val="both"/>
        <w:textAlignment w:val="auto"/>
        <w:rPr>
          <w:color w:val="auto"/>
          <w:sz w:val="32"/>
        </w:rPr>
      </w:pPr>
      <w:r>
        <w:rPr>
          <w:color w:val="auto"/>
          <w:sz w:val="32"/>
        </w:rPr>
        <w:t>非出口企业委托出口的货物。</w:t>
      </w:r>
    </w:p>
    <w:p>
      <w:pPr>
        <w:pStyle w:val="12"/>
        <w:keepNext w:val="0"/>
        <w:keepLines w:val="0"/>
        <w:pageBreakBefore w:val="0"/>
        <w:widowControl w:val="0"/>
        <w:numPr>
          <w:ilvl w:val="1"/>
          <w:numId w:val="7"/>
        </w:numPr>
        <w:tabs>
          <w:tab w:val="left" w:pos="1761"/>
        </w:tabs>
        <w:kinsoku/>
        <w:wordWrap/>
        <w:overflowPunct/>
        <w:topLinePunct w:val="0"/>
        <w:autoSpaceDE w:val="0"/>
        <w:autoSpaceDN w:val="0"/>
        <w:bidi w:val="0"/>
        <w:adjustRightInd/>
        <w:snapToGrid/>
        <w:spacing w:before="214" w:after="0" w:line="240" w:lineRule="auto"/>
        <w:ind w:left="1760" w:right="0" w:hanging="801"/>
        <w:jc w:val="both"/>
        <w:textAlignment w:val="auto"/>
        <w:rPr>
          <w:color w:val="auto"/>
          <w:sz w:val="32"/>
        </w:rPr>
      </w:pPr>
      <w:r>
        <w:rPr>
          <w:color w:val="auto"/>
          <w:sz w:val="32"/>
        </w:rPr>
        <w:t>非列名生产企业出口的非视同自产货物。</w:t>
      </w:r>
    </w:p>
    <w:p>
      <w:pPr>
        <w:pStyle w:val="12"/>
        <w:keepNext w:val="0"/>
        <w:keepLines w:val="0"/>
        <w:pageBreakBefore w:val="0"/>
        <w:widowControl w:val="0"/>
        <w:numPr>
          <w:ilvl w:val="1"/>
          <w:numId w:val="7"/>
        </w:numPr>
        <w:tabs>
          <w:tab w:val="left" w:pos="1761"/>
        </w:tabs>
        <w:kinsoku/>
        <w:wordWrap/>
        <w:overflowPunct/>
        <w:topLinePunct w:val="0"/>
        <w:autoSpaceDE w:val="0"/>
        <w:autoSpaceDN w:val="0"/>
        <w:bidi w:val="0"/>
        <w:adjustRightInd/>
        <w:snapToGrid/>
        <w:spacing w:before="214" w:after="0" w:line="240" w:lineRule="auto"/>
        <w:ind w:left="1760" w:right="0" w:hanging="801"/>
        <w:jc w:val="both"/>
        <w:textAlignment w:val="auto"/>
        <w:rPr>
          <w:color w:val="auto"/>
          <w:sz w:val="32"/>
        </w:rPr>
      </w:pPr>
      <w:r>
        <w:rPr>
          <w:color w:val="auto"/>
          <w:sz w:val="32"/>
        </w:rPr>
        <w:t>符合条件的农业生产者自产农产品。</w:t>
      </w:r>
    </w:p>
    <w:p>
      <w:pPr>
        <w:pStyle w:val="12"/>
        <w:keepNext w:val="0"/>
        <w:keepLines w:val="0"/>
        <w:pageBreakBefore w:val="0"/>
        <w:widowControl w:val="0"/>
        <w:numPr>
          <w:ilvl w:val="1"/>
          <w:numId w:val="7"/>
        </w:numPr>
        <w:tabs>
          <w:tab w:val="left" w:pos="1920"/>
        </w:tabs>
        <w:kinsoku/>
        <w:wordWrap/>
        <w:overflowPunct/>
        <w:topLinePunct w:val="0"/>
        <w:autoSpaceDE w:val="0"/>
        <w:autoSpaceDN w:val="0"/>
        <w:bidi w:val="0"/>
        <w:adjustRightInd/>
        <w:snapToGrid/>
        <w:spacing w:before="214" w:after="0" w:line="364" w:lineRule="auto"/>
        <w:ind w:left="320" w:right="540" w:firstLine="640"/>
        <w:jc w:val="both"/>
        <w:textAlignment w:val="auto"/>
        <w:rPr>
          <w:color w:val="auto"/>
          <w:sz w:val="32"/>
        </w:rPr>
      </w:pPr>
      <w:r>
        <w:rPr>
          <w:color w:val="auto"/>
          <w:spacing w:val="-3"/>
          <w:w w:val="95"/>
          <w:sz w:val="32"/>
        </w:rPr>
        <w:t xml:space="preserve">油画、花生果仁、黑大豆等财政部和国家税务总 </w:t>
      </w:r>
      <w:r>
        <w:rPr>
          <w:color w:val="auto"/>
          <w:spacing w:val="-3"/>
          <w:sz w:val="32"/>
        </w:rPr>
        <w:t>局规定的出口免税的货物。</w:t>
      </w:r>
    </w:p>
    <w:p>
      <w:pPr>
        <w:pStyle w:val="12"/>
        <w:keepNext w:val="0"/>
        <w:keepLines w:val="0"/>
        <w:pageBreakBefore w:val="0"/>
        <w:widowControl w:val="0"/>
        <w:numPr>
          <w:ilvl w:val="1"/>
          <w:numId w:val="7"/>
        </w:numPr>
        <w:tabs>
          <w:tab w:val="left" w:pos="1920"/>
        </w:tabs>
        <w:kinsoku/>
        <w:wordWrap/>
        <w:overflowPunct/>
        <w:topLinePunct w:val="0"/>
        <w:autoSpaceDE w:val="0"/>
        <w:autoSpaceDN w:val="0"/>
        <w:bidi w:val="0"/>
        <w:adjustRightInd/>
        <w:snapToGrid/>
        <w:spacing w:before="2" w:after="0" w:line="364" w:lineRule="auto"/>
        <w:ind w:left="320" w:right="537" w:firstLine="640"/>
        <w:jc w:val="both"/>
        <w:textAlignment w:val="auto"/>
        <w:rPr>
          <w:color w:val="auto"/>
          <w:sz w:val="32"/>
        </w:rPr>
      </w:pPr>
      <w:r>
        <w:rPr>
          <w:color w:val="auto"/>
          <w:spacing w:val="-2"/>
          <w:w w:val="95"/>
          <w:sz w:val="32"/>
        </w:rPr>
        <w:t xml:space="preserve">外贸企业取得普通发票、废旧物资收购凭证、农 </w:t>
      </w:r>
      <w:r>
        <w:rPr>
          <w:color w:val="auto"/>
          <w:spacing w:val="-2"/>
          <w:sz w:val="32"/>
        </w:rPr>
        <w:t>产品收购发票、政府非税收入票据的货物。</w:t>
      </w:r>
    </w:p>
    <w:p>
      <w:pPr>
        <w:pStyle w:val="12"/>
        <w:keepNext w:val="0"/>
        <w:keepLines w:val="0"/>
        <w:pageBreakBefore w:val="0"/>
        <w:widowControl w:val="0"/>
        <w:numPr>
          <w:ilvl w:val="1"/>
          <w:numId w:val="7"/>
        </w:numPr>
        <w:tabs>
          <w:tab w:val="left" w:pos="1920"/>
        </w:tabs>
        <w:kinsoku/>
        <w:wordWrap/>
        <w:overflowPunct/>
        <w:topLinePunct w:val="0"/>
        <w:autoSpaceDE w:val="0"/>
        <w:autoSpaceDN w:val="0"/>
        <w:bidi w:val="0"/>
        <w:adjustRightInd/>
        <w:snapToGrid/>
        <w:spacing w:before="1" w:after="0" w:line="240" w:lineRule="auto"/>
        <w:ind w:left="1919" w:right="0" w:hanging="960"/>
        <w:jc w:val="both"/>
        <w:textAlignment w:val="auto"/>
        <w:rPr>
          <w:color w:val="auto"/>
          <w:sz w:val="32"/>
        </w:rPr>
      </w:pPr>
      <w:r>
        <w:rPr>
          <w:color w:val="auto"/>
          <w:sz w:val="32"/>
        </w:rPr>
        <w:t>来料加工复出口的货物。</w:t>
      </w:r>
    </w:p>
    <w:p>
      <w:pPr>
        <w:pStyle w:val="12"/>
        <w:keepNext w:val="0"/>
        <w:keepLines w:val="0"/>
        <w:pageBreakBefore w:val="0"/>
        <w:widowControl w:val="0"/>
        <w:numPr>
          <w:ilvl w:val="1"/>
          <w:numId w:val="7"/>
        </w:numPr>
        <w:tabs>
          <w:tab w:val="left" w:pos="1920"/>
        </w:tabs>
        <w:kinsoku/>
        <w:wordWrap/>
        <w:overflowPunct/>
        <w:topLinePunct w:val="0"/>
        <w:autoSpaceDE w:val="0"/>
        <w:autoSpaceDN w:val="0"/>
        <w:bidi w:val="0"/>
        <w:adjustRightInd/>
        <w:snapToGrid/>
        <w:spacing w:before="214" w:after="0" w:line="240" w:lineRule="auto"/>
        <w:ind w:left="1919" w:right="0" w:hanging="960"/>
        <w:jc w:val="both"/>
        <w:textAlignment w:val="auto"/>
        <w:rPr>
          <w:color w:val="auto"/>
          <w:sz w:val="32"/>
        </w:rPr>
      </w:pPr>
      <w:r>
        <w:rPr>
          <w:color w:val="auto"/>
          <w:sz w:val="32"/>
        </w:rPr>
        <w:t>特殊区域内的企业出口的特殊区域内的货物。</w:t>
      </w:r>
    </w:p>
    <w:p>
      <w:pPr>
        <w:pStyle w:val="12"/>
        <w:keepNext w:val="0"/>
        <w:keepLines w:val="0"/>
        <w:pageBreakBefore w:val="0"/>
        <w:widowControl w:val="0"/>
        <w:numPr>
          <w:ilvl w:val="1"/>
          <w:numId w:val="7"/>
        </w:numPr>
        <w:tabs>
          <w:tab w:val="left" w:pos="1920"/>
        </w:tabs>
        <w:kinsoku/>
        <w:wordWrap/>
        <w:overflowPunct/>
        <w:topLinePunct w:val="0"/>
        <w:autoSpaceDE w:val="0"/>
        <w:autoSpaceDN w:val="0"/>
        <w:bidi w:val="0"/>
        <w:adjustRightInd/>
        <w:snapToGrid/>
        <w:spacing w:before="214" w:after="0" w:line="364" w:lineRule="auto"/>
        <w:ind w:left="320" w:right="539" w:firstLine="640"/>
        <w:jc w:val="both"/>
        <w:textAlignment w:val="auto"/>
        <w:rPr>
          <w:color w:val="auto"/>
          <w:sz w:val="32"/>
        </w:rPr>
      </w:pPr>
      <w:r>
        <w:rPr>
          <w:color w:val="auto"/>
          <w:spacing w:val="-1"/>
          <w:w w:val="95"/>
          <w:sz w:val="32"/>
        </w:rPr>
        <w:t xml:space="preserve">以人民币现金作为结算方式的边境地区出口企业 </w:t>
      </w:r>
      <w:r>
        <w:rPr>
          <w:color w:val="auto"/>
          <w:spacing w:val="-2"/>
          <w:sz w:val="32"/>
        </w:rPr>
        <w:t>从所在省</w:t>
      </w:r>
      <w:r>
        <w:rPr>
          <w:color w:val="auto"/>
          <w:sz w:val="32"/>
        </w:rPr>
        <w:t>（自治区</w:t>
      </w:r>
      <w:r>
        <w:rPr>
          <w:color w:val="auto"/>
          <w:spacing w:val="-7"/>
          <w:sz w:val="32"/>
        </w:rPr>
        <w:t>）</w:t>
      </w:r>
      <w:r>
        <w:rPr>
          <w:color w:val="auto"/>
          <w:sz w:val="32"/>
        </w:rPr>
        <w:t>的边境口岸出口到接壤国家的一般贸易和边境小额贸易出口货物。</w:t>
      </w:r>
    </w:p>
    <w:p>
      <w:pPr>
        <w:pStyle w:val="12"/>
        <w:keepNext w:val="0"/>
        <w:keepLines w:val="0"/>
        <w:pageBreakBefore w:val="0"/>
        <w:widowControl w:val="0"/>
        <w:numPr>
          <w:ilvl w:val="1"/>
          <w:numId w:val="7"/>
        </w:numPr>
        <w:tabs>
          <w:tab w:val="left" w:pos="1920"/>
        </w:tabs>
        <w:kinsoku/>
        <w:wordWrap/>
        <w:overflowPunct/>
        <w:topLinePunct w:val="0"/>
        <w:autoSpaceDE w:val="0"/>
        <w:autoSpaceDN w:val="0"/>
        <w:bidi w:val="0"/>
        <w:adjustRightInd/>
        <w:snapToGrid/>
        <w:spacing w:before="30" w:after="0" w:line="364" w:lineRule="auto"/>
        <w:ind w:left="960" w:right="1805" w:firstLine="0"/>
        <w:jc w:val="both"/>
        <w:textAlignment w:val="auto"/>
        <w:rPr>
          <w:color w:val="auto"/>
          <w:sz w:val="32"/>
        </w:rPr>
      </w:pPr>
      <w:r>
        <w:rPr>
          <w:color w:val="auto"/>
          <w:spacing w:val="-1"/>
          <w:sz w:val="32"/>
        </w:rPr>
        <w:t>以旅游购物贸易方式报关出口的货物。</w:t>
      </w:r>
      <w:r>
        <w:rPr>
          <w:color w:val="auto"/>
          <w:sz w:val="32"/>
        </w:rPr>
        <w:t>2</w:t>
      </w:r>
      <w:r>
        <w:rPr>
          <w:color w:val="auto"/>
          <w:spacing w:val="-1"/>
          <w:sz w:val="32"/>
        </w:rPr>
        <w:t>.出口企业或其他单位视同出口的货物劳务：</w:t>
      </w:r>
    </w:p>
    <w:p>
      <w:pPr>
        <w:pStyle w:val="12"/>
        <w:keepNext w:val="0"/>
        <w:keepLines w:val="0"/>
        <w:pageBreakBefore w:val="0"/>
        <w:widowControl w:val="0"/>
        <w:numPr>
          <w:ilvl w:val="0"/>
          <w:numId w:val="8"/>
        </w:numPr>
        <w:tabs>
          <w:tab w:val="left" w:pos="1761"/>
        </w:tabs>
        <w:kinsoku/>
        <w:wordWrap/>
        <w:overflowPunct/>
        <w:topLinePunct w:val="0"/>
        <w:autoSpaceDE w:val="0"/>
        <w:autoSpaceDN w:val="0"/>
        <w:bidi w:val="0"/>
        <w:adjustRightInd/>
        <w:snapToGrid/>
        <w:spacing w:before="1" w:after="0" w:line="364" w:lineRule="auto"/>
        <w:ind w:left="320" w:right="540" w:firstLine="640"/>
        <w:jc w:val="both"/>
        <w:textAlignment w:val="auto"/>
        <w:rPr>
          <w:color w:val="auto"/>
          <w:sz w:val="32"/>
        </w:rPr>
      </w:pPr>
      <w:r>
        <w:rPr>
          <w:color w:val="auto"/>
          <w:sz w:val="32"/>
        </w:rPr>
        <w:t>国家批准设立的免税店销售的免税货物[包括进口免税货物和已实现退（免）税的货物]。</w:t>
      </w:r>
    </w:p>
    <w:p>
      <w:pPr>
        <w:pStyle w:val="12"/>
        <w:keepNext w:val="0"/>
        <w:keepLines w:val="0"/>
        <w:pageBreakBefore w:val="0"/>
        <w:widowControl w:val="0"/>
        <w:numPr>
          <w:ilvl w:val="0"/>
          <w:numId w:val="8"/>
        </w:numPr>
        <w:tabs>
          <w:tab w:val="left" w:pos="1780"/>
        </w:tabs>
        <w:kinsoku/>
        <w:wordWrap/>
        <w:overflowPunct/>
        <w:topLinePunct w:val="0"/>
        <w:autoSpaceDE w:val="0"/>
        <w:autoSpaceDN w:val="0"/>
        <w:bidi w:val="0"/>
        <w:adjustRightInd/>
        <w:snapToGrid/>
        <w:spacing w:before="2" w:after="0" w:line="364" w:lineRule="auto"/>
        <w:ind w:left="320" w:right="537" w:firstLine="640"/>
        <w:jc w:val="both"/>
        <w:textAlignment w:val="auto"/>
        <w:rPr>
          <w:color w:val="auto"/>
          <w:sz w:val="32"/>
        </w:rPr>
      </w:pPr>
      <w:r>
        <w:rPr>
          <w:color w:val="auto"/>
          <w:spacing w:val="6"/>
          <w:w w:val="95"/>
          <w:sz w:val="32"/>
        </w:rPr>
        <w:t xml:space="preserve">特殊区域内的企业为境外的单位或个人提供加工 </w:t>
      </w:r>
      <w:r>
        <w:rPr>
          <w:color w:val="auto"/>
          <w:spacing w:val="6"/>
          <w:sz w:val="32"/>
        </w:rPr>
        <w:t>修理修配劳务。</w:t>
      </w:r>
    </w:p>
    <w:p>
      <w:pPr>
        <w:pStyle w:val="12"/>
        <w:keepNext w:val="0"/>
        <w:keepLines w:val="0"/>
        <w:pageBreakBefore w:val="0"/>
        <w:widowControl w:val="0"/>
        <w:numPr>
          <w:ilvl w:val="0"/>
          <w:numId w:val="8"/>
        </w:numPr>
        <w:tabs>
          <w:tab w:val="left" w:pos="1780"/>
        </w:tabs>
        <w:kinsoku/>
        <w:wordWrap/>
        <w:overflowPunct/>
        <w:topLinePunct w:val="0"/>
        <w:autoSpaceDE w:val="0"/>
        <w:autoSpaceDN w:val="0"/>
        <w:bidi w:val="0"/>
        <w:adjustRightInd/>
        <w:snapToGrid/>
        <w:spacing w:before="2" w:after="0" w:line="364" w:lineRule="auto"/>
        <w:ind w:left="320" w:right="537" w:firstLine="640"/>
        <w:jc w:val="both"/>
        <w:textAlignment w:val="auto"/>
        <w:rPr>
          <w:color w:val="auto"/>
          <w:sz w:val="32"/>
        </w:rPr>
      </w:pPr>
      <w:r>
        <w:rPr>
          <w:color w:val="auto"/>
          <w:spacing w:val="6"/>
          <w:w w:val="95"/>
          <w:sz w:val="32"/>
        </w:rPr>
        <w:t xml:space="preserve">同一特殊区域、不同特殊区域内的企业之间销售 </w:t>
      </w:r>
      <w:r>
        <w:rPr>
          <w:color w:val="auto"/>
          <w:spacing w:val="6"/>
          <w:sz w:val="32"/>
        </w:rPr>
        <w:t>特殊区域内的货物。</w:t>
      </w:r>
    </w:p>
    <w:p>
      <w:pPr>
        <w:keepNext w:val="0"/>
        <w:keepLines w:val="0"/>
        <w:pageBreakBefore w:val="0"/>
        <w:widowControl w:val="0"/>
        <w:kinsoku/>
        <w:wordWrap/>
        <w:overflowPunct/>
        <w:topLinePunct w:val="0"/>
        <w:autoSpaceDE w:val="0"/>
        <w:autoSpaceDN w:val="0"/>
        <w:bidi w:val="0"/>
        <w:adjustRightInd/>
        <w:snapToGrid/>
        <w:spacing w:before="1"/>
        <w:ind w:left="320" w:right="0" w:firstLine="0"/>
        <w:jc w:val="both"/>
        <w:textAlignment w:val="auto"/>
        <w:rPr>
          <w:rFonts w:hint="eastAsia" w:ascii="宋体" w:eastAsia="宋体"/>
          <w:b/>
          <w:color w:val="auto"/>
          <w:sz w:val="32"/>
        </w:rPr>
      </w:pPr>
      <w:r>
        <w:rPr>
          <w:rFonts w:hint="eastAsia" w:ascii="宋体" w:eastAsia="宋体"/>
          <w:b/>
          <w:color w:val="auto"/>
          <w:sz w:val="32"/>
        </w:rPr>
        <w:t>【政策依据】</w:t>
      </w:r>
    </w:p>
    <w:p>
      <w:pPr>
        <w:pStyle w:val="4"/>
        <w:keepNext w:val="0"/>
        <w:keepLines w:val="0"/>
        <w:pageBreakBefore w:val="0"/>
        <w:widowControl w:val="0"/>
        <w:kinsoku/>
        <w:wordWrap/>
        <w:overflowPunct/>
        <w:topLinePunct w:val="0"/>
        <w:autoSpaceDE w:val="0"/>
        <w:autoSpaceDN w:val="0"/>
        <w:bidi w:val="0"/>
        <w:adjustRightInd/>
        <w:snapToGrid/>
        <w:spacing w:before="236" w:line="326" w:lineRule="auto"/>
        <w:ind w:right="537"/>
        <w:jc w:val="both"/>
        <w:textAlignment w:val="auto"/>
        <w:rPr>
          <w:rFonts w:hint="eastAsia" w:ascii="黑体" w:eastAsia="黑体"/>
          <w:color w:val="auto"/>
        </w:rPr>
      </w:pPr>
      <w:r>
        <w:rPr>
          <w:rFonts w:hint="eastAsia" w:ascii="黑体" w:eastAsia="黑体"/>
          <w:color w:val="auto"/>
        </w:rPr>
        <w:t>《财政部 国家税务总局关于出口货物劳务增值税和消费税政策的通知》（财税〔2012〕39 号）第六条、第八条</w:t>
      </w:r>
    </w:p>
    <w:p>
      <w:pPr>
        <w:pStyle w:val="4"/>
        <w:keepNext w:val="0"/>
        <w:keepLines w:val="0"/>
        <w:pageBreakBefore w:val="0"/>
        <w:widowControl w:val="0"/>
        <w:kinsoku/>
        <w:wordWrap/>
        <w:overflowPunct/>
        <w:topLinePunct w:val="0"/>
        <w:autoSpaceDE w:val="0"/>
        <w:autoSpaceDN w:val="0"/>
        <w:bidi w:val="0"/>
        <w:adjustRightInd/>
        <w:snapToGrid/>
        <w:spacing w:before="5"/>
        <w:ind w:left="0" w:firstLine="0"/>
        <w:jc w:val="both"/>
        <w:textAlignment w:val="auto"/>
        <w:rPr>
          <w:rFonts w:ascii="黑体"/>
          <w:color w:val="auto"/>
          <w:sz w:val="42"/>
        </w:rPr>
      </w:pPr>
    </w:p>
    <w:p>
      <w:pPr>
        <w:pStyle w:val="12"/>
        <w:keepNext w:val="0"/>
        <w:keepLines w:val="0"/>
        <w:pageBreakBefore w:val="0"/>
        <w:widowControl w:val="0"/>
        <w:numPr>
          <w:ilvl w:val="0"/>
          <w:numId w:val="7"/>
        </w:numPr>
        <w:tabs>
          <w:tab w:val="left" w:pos="644"/>
        </w:tabs>
        <w:kinsoku/>
        <w:wordWrap/>
        <w:overflowPunct/>
        <w:topLinePunct w:val="0"/>
        <w:autoSpaceDE w:val="0"/>
        <w:autoSpaceDN w:val="0"/>
        <w:bidi w:val="0"/>
        <w:adjustRightInd/>
        <w:snapToGrid/>
        <w:spacing w:before="0" w:after="0" w:line="364" w:lineRule="auto"/>
        <w:ind w:left="320" w:right="533" w:firstLine="0"/>
        <w:jc w:val="both"/>
        <w:textAlignment w:val="auto"/>
        <w:rPr>
          <w:rFonts w:hint="eastAsia" w:ascii="宋体" w:eastAsia="宋体"/>
          <w:b/>
          <w:color w:val="auto"/>
          <w:sz w:val="32"/>
        </w:rPr>
      </w:pPr>
      <w:bookmarkStart w:id="4" w:name="_TOC_250045"/>
      <w:r>
        <w:rPr>
          <w:rFonts w:hint="eastAsia" w:ascii="宋体" w:eastAsia="宋体"/>
          <w:b/>
          <w:color w:val="auto"/>
          <w:spacing w:val="-4"/>
          <w:sz w:val="32"/>
        </w:rPr>
        <w:t>不适用增值税退</w:t>
      </w:r>
      <w:r>
        <w:rPr>
          <w:rFonts w:hint="eastAsia" w:ascii="宋体" w:eastAsia="宋体"/>
          <w:b/>
          <w:color w:val="auto"/>
          <w:sz w:val="32"/>
        </w:rPr>
        <w:t>（免</w:t>
      </w:r>
      <w:r>
        <w:rPr>
          <w:rFonts w:hint="eastAsia" w:ascii="宋体" w:eastAsia="宋体"/>
          <w:b/>
          <w:color w:val="auto"/>
          <w:spacing w:val="-22"/>
          <w:sz w:val="32"/>
        </w:rPr>
        <w:t>）</w:t>
      </w:r>
      <w:bookmarkEnd w:id="4"/>
      <w:r>
        <w:rPr>
          <w:rFonts w:hint="eastAsia" w:ascii="宋体" w:eastAsia="宋体"/>
          <w:b/>
          <w:color w:val="auto"/>
          <w:sz w:val="32"/>
        </w:rPr>
        <w:t>税和免税政策的出口货物劳务征税政策规定</w:t>
      </w:r>
    </w:p>
    <w:p>
      <w:pPr>
        <w:keepNext w:val="0"/>
        <w:keepLines w:val="0"/>
        <w:pageBreakBefore w:val="0"/>
        <w:widowControl w:val="0"/>
        <w:kinsoku/>
        <w:wordWrap/>
        <w:overflowPunct/>
        <w:topLinePunct w:val="0"/>
        <w:autoSpaceDE w:val="0"/>
        <w:autoSpaceDN w:val="0"/>
        <w:bidi w:val="0"/>
        <w:adjustRightInd/>
        <w:snapToGrid/>
        <w:spacing w:before="2"/>
        <w:ind w:left="320" w:right="0" w:firstLine="0"/>
        <w:jc w:val="both"/>
        <w:textAlignment w:val="auto"/>
        <w:rPr>
          <w:rFonts w:hint="eastAsia" w:ascii="宋体" w:eastAsia="宋体"/>
          <w:b/>
          <w:color w:val="auto"/>
          <w:sz w:val="32"/>
        </w:rPr>
      </w:pPr>
      <w:r>
        <w:rPr>
          <w:rFonts w:hint="eastAsia" w:ascii="宋体" w:eastAsia="宋体"/>
          <w:b/>
          <w:color w:val="auto"/>
          <w:sz w:val="32"/>
        </w:rPr>
        <w:t>【适用主体】</w:t>
      </w:r>
    </w:p>
    <w:p>
      <w:pPr>
        <w:pStyle w:val="4"/>
        <w:keepNext w:val="0"/>
        <w:keepLines w:val="0"/>
        <w:pageBreakBefore w:val="0"/>
        <w:widowControl w:val="0"/>
        <w:kinsoku/>
        <w:wordWrap/>
        <w:overflowPunct/>
        <w:topLinePunct w:val="0"/>
        <w:autoSpaceDE w:val="0"/>
        <w:autoSpaceDN w:val="0"/>
        <w:bidi w:val="0"/>
        <w:adjustRightInd/>
        <w:snapToGrid/>
        <w:ind w:left="960" w:firstLine="0"/>
        <w:jc w:val="both"/>
        <w:textAlignment w:val="auto"/>
        <w:rPr>
          <w:color w:val="auto"/>
        </w:rPr>
      </w:pPr>
      <w:r>
        <w:rPr>
          <w:color w:val="auto"/>
        </w:rPr>
        <w:t>出口企业或其他单位</w:t>
      </w:r>
    </w:p>
    <w:p>
      <w:pPr>
        <w:keepNext w:val="0"/>
        <w:keepLines w:val="0"/>
        <w:pageBreakBefore w:val="0"/>
        <w:widowControl w:val="0"/>
        <w:kinsoku/>
        <w:wordWrap/>
        <w:overflowPunct/>
        <w:topLinePunct w:val="0"/>
        <w:autoSpaceDE w:val="0"/>
        <w:autoSpaceDN w:val="0"/>
        <w:bidi w:val="0"/>
        <w:adjustRightInd/>
        <w:snapToGrid/>
        <w:spacing w:before="214"/>
        <w:ind w:left="320" w:right="0" w:firstLine="0"/>
        <w:jc w:val="both"/>
        <w:textAlignment w:val="auto"/>
        <w:rPr>
          <w:rFonts w:hint="eastAsia" w:ascii="宋体" w:eastAsia="宋体"/>
          <w:b/>
          <w:color w:val="auto"/>
          <w:sz w:val="32"/>
        </w:rPr>
      </w:pPr>
      <w:r>
        <w:rPr>
          <w:rFonts w:hint="eastAsia" w:ascii="宋体" w:eastAsia="宋体"/>
          <w:b/>
          <w:color w:val="auto"/>
          <w:sz w:val="32"/>
        </w:rPr>
        <w:t>【政策内容】</w:t>
      </w:r>
    </w:p>
    <w:p>
      <w:pPr>
        <w:pStyle w:val="4"/>
        <w:keepNext w:val="0"/>
        <w:keepLines w:val="0"/>
        <w:pageBreakBefore w:val="0"/>
        <w:widowControl w:val="0"/>
        <w:kinsoku/>
        <w:wordWrap/>
        <w:overflowPunct/>
        <w:topLinePunct w:val="0"/>
        <w:autoSpaceDE w:val="0"/>
        <w:autoSpaceDN w:val="0"/>
        <w:bidi w:val="0"/>
        <w:adjustRightInd/>
        <w:snapToGrid/>
        <w:spacing w:line="364" w:lineRule="auto"/>
        <w:ind w:right="525"/>
        <w:jc w:val="both"/>
        <w:textAlignment w:val="auto"/>
        <w:rPr>
          <w:color w:val="auto"/>
        </w:rPr>
      </w:pPr>
      <w:r>
        <w:rPr>
          <w:color w:val="auto"/>
          <w:spacing w:val="-2"/>
          <w:w w:val="95"/>
        </w:rPr>
        <w:t>对部分出口货物劳务，不适用增值税退</w:t>
      </w:r>
      <w:r>
        <w:rPr>
          <w:color w:val="auto"/>
          <w:w w:val="95"/>
        </w:rPr>
        <w:t>（免</w:t>
      </w:r>
      <w:r>
        <w:rPr>
          <w:color w:val="auto"/>
          <w:spacing w:val="-5"/>
          <w:w w:val="95"/>
        </w:rPr>
        <w:t>）</w:t>
      </w:r>
      <w:r>
        <w:rPr>
          <w:color w:val="auto"/>
          <w:w w:val="95"/>
        </w:rPr>
        <w:t>税和免税 政策，按规定及视同内销货物征税的其他规定征收增值税。 出口企业出口或视同出口适用增值税征税政策的货物，</w:t>
      </w:r>
    </w:p>
    <w:p>
      <w:pPr>
        <w:pStyle w:val="4"/>
        <w:keepNext w:val="0"/>
        <w:keepLines w:val="0"/>
        <w:pageBreakBefore w:val="0"/>
        <w:widowControl w:val="0"/>
        <w:kinsoku/>
        <w:wordWrap/>
        <w:overflowPunct/>
        <w:topLinePunct w:val="0"/>
        <w:autoSpaceDE w:val="0"/>
        <w:autoSpaceDN w:val="0"/>
        <w:bidi w:val="0"/>
        <w:adjustRightInd/>
        <w:snapToGrid/>
        <w:spacing w:before="2" w:line="364" w:lineRule="auto"/>
        <w:ind w:right="537" w:firstLine="0"/>
        <w:jc w:val="both"/>
        <w:textAlignment w:val="auto"/>
        <w:rPr>
          <w:color w:val="auto"/>
        </w:rPr>
      </w:pPr>
      <w:r>
        <w:rPr>
          <w:color w:val="auto"/>
          <w:spacing w:val="-2"/>
          <w:w w:val="95"/>
        </w:rPr>
        <w:t xml:space="preserve">如果属于消费税应税消费品，应按规定缴纳消费税，不退还 </w:t>
      </w:r>
      <w:r>
        <w:rPr>
          <w:color w:val="auto"/>
          <w:spacing w:val="-4"/>
          <w:w w:val="95"/>
        </w:rPr>
        <w:t>其以前环节已征的消费税，且不允许在内销应税消费品应纳</w:t>
      </w:r>
      <w:r>
        <w:rPr>
          <w:color w:val="auto"/>
        </w:rPr>
        <w:t>消费税款中抵扣。</w:t>
      </w:r>
    </w:p>
    <w:p>
      <w:pPr>
        <w:keepNext w:val="0"/>
        <w:keepLines w:val="0"/>
        <w:pageBreakBefore w:val="0"/>
        <w:widowControl w:val="0"/>
        <w:kinsoku/>
        <w:wordWrap/>
        <w:overflowPunct/>
        <w:topLinePunct w:val="0"/>
        <w:autoSpaceDE w:val="0"/>
        <w:autoSpaceDN w:val="0"/>
        <w:bidi w:val="0"/>
        <w:adjustRightInd/>
        <w:snapToGrid/>
        <w:spacing w:before="214"/>
        <w:ind w:left="320" w:right="0" w:firstLine="0"/>
        <w:jc w:val="both"/>
        <w:textAlignment w:val="auto"/>
        <w:rPr>
          <w:rFonts w:hint="eastAsia" w:ascii="宋体" w:eastAsia="宋体"/>
          <w:b/>
          <w:color w:val="auto"/>
          <w:sz w:val="32"/>
        </w:rPr>
      </w:pPr>
      <w:r>
        <w:rPr>
          <w:rFonts w:hint="eastAsia" w:ascii="宋体" w:eastAsia="宋体"/>
          <w:b/>
          <w:color w:val="auto"/>
          <w:sz w:val="32"/>
        </w:rPr>
        <w:t>【适用条件】</w:t>
      </w:r>
    </w:p>
    <w:p>
      <w:pPr>
        <w:pStyle w:val="4"/>
        <w:keepNext w:val="0"/>
        <w:keepLines w:val="0"/>
        <w:pageBreakBefore w:val="0"/>
        <w:widowControl w:val="0"/>
        <w:kinsoku/>
        <w:wordWrap/>
        <w:overflowPunct/>
        <w:topLinePunct w:val="0"/>
        <w:autoSpaceDE w:val="0"/>
        <w:autoSpaceDN w:val="0"/>
        <w:bidi w:val="0"/>
        <w:adjustRightInd/>
        <w:snapToGrid/>
        <w:ind w:left="960" w:firstLine="0"/>
        <w:jc w:val="both"/>
        <w:textAlignment w:val="auto"/>
        <w:rPr>
          <w:color w:val="auto"/>
        </w:rPr>
      </w:pPr>
      <w:r>
        <w:rPr>
          <w:color w:val="auto"/>
        </w:rPr>
        <w:t>适用增值税征税政策的出口货物劳务，是指：</w:t>
      </w:r>
    </w:p>
    <w:p>
      <w:pPr>
        <w:pStyle w:val="12"/>
        <w:keepNext w:val="0"/>
        <w:keepLines w:val="0"/>
        <w:pageBreakBefore w:val="0"/>
        <w:widowControl w:val="0"/>
        <w:numPr>
          <w:ilvl w:val="0"/>
          <w:numId w:val="9"/>
        </w:numPr>
        <w:tabs>
          <w:tab w:val="left" w:pos="1292"/>
        </w:tabs>
        <w:kinsoku/>
        <w:wordWrap/>
        <w:overflowPunct/>
        <w:topLinePunct w:val="0"/>
        <w:autoSpaceDE w:val="0"/>
        <w:autoSpaceDN w:val="0"/>
        <w:bidi w:val="0"/>
        <w:adjustRightInd/>
        <w:snapToGrid/>
        <w:spacing w:before="214" w:after="0" w:line="364" w:lineRule="auto"/>
        <w:ind w:left="320" w:right="540" w:firstLine="640"/>
        <w:jc w:val="both"/>
        <w:textAlignment w:val="auto"/>
        <w:rPr>
          <w:color w:val="auto"/>
          <w:sz w:val="32"/>
        </w:rPr>
      </w:pPr>
      <w:r>
        <w:rPr>
          <w:color w:val="auto"/>
          <w:spacing w:val="13"/>
          <w:w w:val="95"/>
          <w:sz w:val="32"/>
        </w:rPr>
        <w:t xml:space="preserve">出口企业出口或视同出口财政部和国家税务总局根 </w:t>
      </w:r>
      <w:r>
        <w:rPr>
          <w:color w:val="auto"/>
          <w:spacing w:val="11"/>
          <w:w w:val="95"/>
          <w:sz w:val="32"/>
        </w:rPr>
        <w:t>据国务院决定明确的取消出口退</w:t>
      </w:r>
      <w:r>
        <w:rPr>
          <w:color w:val="auto"/>
          <w:w w:val="95"/>
          <w:sz w:val="32"/>
        </w:rPr>
        <w:t>（免</w:t>
      </w:r>
      <w:r>
        <w:rPr>
          <w:color w:val="auto"/>
          <w:spacing w:val="-3"/>
          <w:w w:val="95"/>
          <w:sz w:val="32"/>
        </w:rPr>
        <w:t>）</w:t>
      </w:r>
      <w:r>
        <w:rPr>
          <w:color w:val="auto"/>
          <w:spacing w:val="-1"/>
          <w:w w:val="95"/>
          <w:sz w:val="32"/>
        </w:rPr>
        <w:t>税的货物</w:t>
      </w:r>
      <w:r>
        <w:rPr>
          <w:color w:val="auto"/>
          <w:spacing w:val="-3"/>
          <w:w w:val="95"/>
          <w:sz w:val="32"/>
        </w:rPr>
        <w:t>（</w:t>
      </w:r>
      <w:r>
        <w:rPr>
          <w:color w:val="auto"/>
          <w:w w:val="95"/>
          <w:sz w:val="32"/>
        </w:rPr>
        <w:t xml:space="preserve">不包括来 </w:t>
      </w:r>
      <w:r>
        <w:rPr>
          <w:color w:val="auto"/>
          <w:spacing w:val="-3"/>
          <w:w w:val="95"/>
          <w:sz w:val="32"/>
        </w:rPr>
        <w:t xml:space="preserve">料加工复出口货物、中标机电产品、列名原材料、输入特殊 </w:t>
      </w:r>
      <w:r>
        <w:rPr>
          <w:color w:val="auto"/>
          <w:spacing w:val="-3"/>
          <w:sz w:val="32"/>
        </w:rPr>
        <w:t>区域的水电气、海洋工程结构物）。</w:t>
      </w:r>
    </w:p>
    <w:p>
      <w:pPr>
        <w:pStyle w:val="12"/>
        <w:keepNext w:val="0"/>
        <w:keepLines w:val="0"/>
        <w:pageBreakBefore w:val="0"/>
        <w:widowControl w:val="0"/>
        <w:numPr>
          <w:ilvl w:val="0"/>
          <w:numId w:val="9"/>
        </w:numPr>
        <w:tabs>
          <w:tab w:val="left" w:pos="1319"/>
        </w:tabs>
        <w:kinsoku/>
        <w:wordWrap/>
        <w:overflowPunct/>
        <w:topLinePunct w:val="0"/>
        <w:autoSpaceDE w:val="0"/>
        <w:autoSpaceDN w:val="0"/>
        <w:bidi w:val="0"/>
        <w:adjustRightInd/>
        <w:snapToGrid/>
        <w:spacing w:before="3" w:after="0" w:line="364" w:lineRule="auto"/>
        <w:ind w:left="320" w:right="537" w:firstLine="664"/>
        <w:jc w:val="both"/>
        <w:textAlignment w:val="auto"/>
        <w:rPr>
          <w:color w:val="auto"/>
          <w:sz w:val="32"/>
        </w:rPr>
      </w:pPr>
      <w:r>
        <w:rPr>
          <w:color w:val="auto"/>
          <w:spacing w:val="11"/>
          <w:w w:val="95"/>
          <w:sz w:val="32"/>
        </w:rPr>
        <w:t xml:space="preserve">出口企业或其他单位销售给特殊区域内的生活消费 </w:t>
      </w:r>
      <w:r>
        <w:rPr>
          <w:color w:val="auto"/>
          <w:spacing w:val="11"/>
          <w:sz w:val="32"/>
        </w:rPr>
        <w:t>用品和交通运输工具。</w:t>
      </w:r>
    </w:p>
    <w:p>
      <w:pPr>
        <w:pStyle w:val="12"/>
        <w:keepNext w:val="0"/>
        <w:keepLines w:val="0"/>
        <w:pageBreakBefore w:val="0"/>
        <w:widowControl w:val="0"/>
        <w:numPr>
          <w:ilvl w:val="0"/>
          <w:numId w:val="9"/>
        </w:numPr>
        <w:tabs>
          <w:tab w:val="left" w:pos="1319"/>
        </w:tabs>
        <w:kinsoku/>
        <w:wordWrap/>
        <w:overflowPunct/>
        <w:topLinePunct w:val="0"/>
        <w:autoSpaceDE w:val="0"/>
        <w:autoSpaceDN w:val="0"/>
        <w:bidi w:val="0"/>
        <w:adjustRightInd/>
        <w:snapToGrid/>
        <w:spacing w:before="2" w:after="0" w:line="364" w:lineRule="auto"/>
        <w:ind w:left="320" w:right="537" w:firstLine="664"/>
        <w:jc w:val="both"/>
        <w:textAlignment w:val="auto"/>
        <w:rPr>
          <w:color w:val="auto"/>
          <w:sz w:val="32"/>
        </w:rPr>
      </w:pPr>
      <w:r>
        <w:rPr>
          <w:color w:val="auto"/>
          <w:spacing w:val="11"/>
          <w:w w:val="95"/>
          <w:sz w:val="32"/>
        </w:rPr>
        <w:t xml:space="preserve">出口企业或其他单位因骗取出口退税被税务机关停 </w:t>
      </w:r>
      <w:r>
        <w:rPr>
          <w:color w:val="auto"/>
          <w:spacing w:val="11"/>
          <w:sz w:val="32"/>
        </w:rPr>
        <w:t>止办理增值税退（免）税期间出口的货物。</w:t>
      </w:r>
    </w:p>
    <w:p>
      <w:pPr>
        <w:pStyle w:val="12"/>
        <w:keepNext w:val="0"/>
        <w:keepLines w:val="0"/>
        <w:pageBreakBefore w:val="0"/>
        <w:widowControl w:val="0"/>
        <w:numPr>
          <w:ilvl w:val="0"/>
          <w:numId w:val="9"/>
        </w:numPr>
        <w:tabs>
          <w:tab w:val="left" w:pos="1283"/>
        </w:tabs>
        <w:kinsoku/>
        <w:wordWrap/>
        <w:overflowPunct/>
        <w:topLinePunct w:val="0"/>
        <w:autoSpaceDE w:val="0"/>
        <w:autoSpaceDN w:val="0"/>
        <w:bidi w:val="0"/>
        <w:adjustRightInd/>
        <w:snapToGrid/>
        <w:spacing w:before="1" w:after="0" w:line="240" w:lineRule="auto"/>
        <w:ind w:left="1282" w:right="0" w:hanging="323"/>
        <w:jc w:val="both"/>
        <w:textAlignment w:val="auto"/>
        <w:rPr>
          <w:color w:val="auto"/>
          <w:sz w:val="32"/>
        </w:rPr>
      </w:pPr>
      <w:r>
        <w:rPr>
          <w:color w:val="auto"/>
          <w:sz w:val="32"/>
        </w:rPr>
        <w:t>出口企业或其他单位提供虚假备案单证的货物。</w:t>
      </w:r>
    </w:p>
    <w:p>
      <w:pPr>
        <w:pStyle w:val="12"/>
        <w:keepNext w:val="0"/>
        <w:keepLines w:val="0"/>
        <w:pageBreakBefore w:val="0"/>
        <w:widowControl w:val="0"/>
        <w:numPr>
          <w:ilvl w:val="0"/>
          <w:numId w:val="9"/>
        </w:numPr>
        <w:tabs>
          <w:tab w:val="left" w:pos="1283"/>
        </w:tabs>
        <w:kinsoku/>
        <w:wordWrap/>
        <w:overflowPunct/>
        <w:topLinePunct w:val="0"/>
        <w:autoSpaceDE w:val="0"/>
        <w:autoSpaceDN w:val="0"/>
        <w:bidi w:val="0"/>
        <w:adjustRightInd/>
        <w:snapToGrid/>
        <w:spacing w:before="214" w:after="0" w:line="364" w:lineRule="auto"/>
        <w:ind w:left="320" w:right="540" w:firstLine="640"/>
        <w:jc w:val="both"/>
        <w:textAlignment w:val="auto"/>
        <w:rPr>
          <w:color w:val="auto"/>
          <w:sz w:val="32"/>
        </w:rPr>
      </w:pPr>
      <w:r>
        <w:rPr>
          <w:color w:val="auto"/>
          <w:spacing w:val="-1"/>
          <w:w w:val="95"/>
          <w:sz w:val="32"/>
        </w:rPr>
        <w:t>出口企业或其他单位增值税退</w:t>
      </w:r>
      <w:r>
        <w:rPr>
          <w:color w:val="auto"/>
          <w:w w:val="95"/>
          <w:sz w:val="32"/>
        </w:rPr>
        <w:t>（免</w:t>
      </w:r>
      <w:r>
        <w:rPr>
          <w:color w:val="auto"/>
          <w:spacing w:val="-7"/>
          <w:w w:val="95"/>
          <w:sz w:val="32"/>
        </w:rPr>
        <w:t>）</w:t>
      </w:r>
      <w:r>
        <w:rPr>
          <w:color w:val="auto"/>
          <w:w w:val="95"/>
          <w:sz w:val="32"/>
        </w:rPr>
        <w:t xml:space="preserve">税凭证有伪造或 </w:t>
      </w:r>
      <w:r>
        <w:rPr>
          <w:color w:val="auto"/>
          <w:sz w:val="32"/>
        </w:rPr>
        <w:t>内容不实的货物。</w:t>
      </w:r>
    </w:p>
    <w:p>
      <w:pPr>
        <w:pStyle w:val="12"/>
        <w:keepNext w:val="0"/>
        <w:keepLines w:val="0"/>
        <w:pageBreakBefore w:val="0"/>
        <w:widowControl w:val="0"/>
        <w:numPr>
          <w:ilvl w:val="0"/>
          <w:numId w:val="9"/>
        </w:numPr>
        <w:tabs>
          <w:tab w:val="left" w:pos="1283"/>
        </w:tabs>
        <w:kinsoku/>
        <w:wordWrap/>
        <w:overflowPunct/>
        <w:topLinePunct w:val="0"/>
        <w:autoSpaceDE w:val="0"/>
        <w:autoSpaceDN w:val="0"/>
        <w:bidi w:val="0"/>
        <w:adjustRightInd/>
        <w:snapToGrid/>
        <w:spacing w:before="2" w:after="0" w:line="240" w:lineRule="auto"/>
        <w:ind w:left="1282" w:right="0" w:hanging="323"/>
        <w:jc w:val="both"/>
        <w:textAlignment w:val="auto"/>
        <w:rPr>
          <w:color w:val="auto"/>
          <w:sz w:val="32"/>
        </w:rPr>
      </w:pPr>
      <w:r>
        <w:rPr>
          <w:color w:val="auto"/>
          <w:sz w:val="32"/>
        </w:rPr>
        <w:t>经主管税务机关审核不予免税核销的出口卷烟。</w:t>
      </w:r>
    </w:p>
    <w:p>
      <w:pPr>
        <w:pStyle w:val="12"/>
        <w:keepNext w:val="0"/>
        <w:keepLines w:val="0"/>
        <w:pageBreakBefore w:val="0"/>
        <w:widowControl w:val="0"/>
        <w:numPr>
          <w:ilvl w:val="0"/>
          <w:numId w:val="9"/>
        </w:numPr>
        <w:tabs>
          <w:tab w:val="left" w:pos="1319"/>
        </w:tabs>
        <w:kinsoku/>
        <w:wordWrap/>
        <w:overflowPunct/>
        <w:topLinePunct w:val="0"/>
        <w:autoSpaceDE w:val="0"/>
        <w:autoSpaceDN w:val="0"/>
        <w:bidi w:val="0"/>
        <w:adjustRightInd/>
        <w:snapToGrid/>
        <w:spacing w:before="214" w:after="0" w:line="364" w:lineRule="auto"/>
        <w:ind w:left="320" w:right="537" w:firstLine="664"/>
        <w:jc w:val="both"/>
        <w:textAlignment w:val="auto"/>
        <w:rPr>
          <w:color w:val="auto"/>
          <w:sz w:val="32"/>
        </w:rPr>
      </w:pPr>
      <w:r>
        <w:rPr>
          <w:color w:val="auto"/>
          <w:spacing w:val="11"/>
          <w:w w:val="95"/>
          <w:sz w:val="32"/>
        </w:rPr>
        <w:t xml:space="preserve">出口企业或其他单位具有以下情形之一的出口货物 </w:t>
      </w:r>
      <w:r>
        <w:rPr>
          <w:color w:val="auto"/>
          <w:spacing w:val="11"/>
          <w:sz w:val="32"/>
        </w:rPr>
        <w:t>劳务：</w:t>
      </w:r>
    </w:p>
    <w:p>
      <w:pPr>
        <w:pStyle w:val="12"/>
        <w:keepNext w:val="0"/>
        <w:keepLines w:val="0"/>
        <w:pageBreakBefore w:val="0"/>
        <w:widowControl w:val="0"/>
        <w:numPr>
          <w:ilvl w:val="0"/>
          <w:numId w:val="10"/>
        </w:numPr>
        <w:tabs>
          <w:tab w:val="left" w:pos="1789"/>
        </w:tabs>
        <w:kinsoku/>
        <w:wordWrap/>
        <w:overflowPunct/>
        <w:topLinePunct w:val="0"/>
        <w:autoSpaceDE w:val="0"/>
        <w:autoSpaceDN w:val="0"/>
        <w:bidi w:val="0"/>
        <w:adjustRightInd/>
        <w:snapToGrid/>
        <w:spacing w:before="1" w:after="0" w:line="240" w:lineRule="auto"/>
        <w:ind w:left="1788" w:right="0" w:hanging="819"/>
        <w:jc w:val="both"/>
        <w:textAlignment w:val="auto"/>
        <w:rPr>
          <w:color w:val="auto"/>
          <w:sz w:val="32"/>
        </w:rPr>
      </w:pPr>
      <w:r>
        <w:rPr>
          <w:color w:val="auto"/>
          <w:spacing w:val="4"/>
          <w:sz w:val="32"/>
        </w:rPr>
        <w:t>将空白的出口货物报关单、出口收汇核销单等退</w:t>
      </w:r>
    </w:p>
    <w:p>
      <w:pPr>
        <w:pStyle w:val="4"/>
        <w:keepNext w:val="0"/>
        <w:keepLines w:val="0"/>
        <w:pageBreakBefore w:val="0"/>
        <w:widowControl w:val="0"/>
        <w:kinsoku/>
        <w:wordWrap/>
        <w:overflowPunct/>
        <w:topLinePunct w:val="0"/>
        <w:autoSpaceDE w:val="0"/>
        <w:autoSpaceDN w:val="0"/>
        <w:bidi w:val="0"/>
        <w:adjustRightInd/>
        <w:snapToGrid/>
        <w:spacing w:line="364" w:lineRule="auto"/>
        <w:ind w:right="537" w:firstLine="0"/>
        <w:jc w:val="both"/>
        <w:textAlignment w:val="auto"/>
        <w:rPr>
          <w:color w:val="auto"/>
        </w:rPr>
      </w:pPr>
      <w:r>
        <w:rPr>
          <w:color w:val="auto"/>
        </w:rPr>
        <w:t>（免</w:t>
      </w:r>
      <w:r>
        <w:rPr>
          <w:color w:val="auto"/>
          <w:spacing w:val="-5"/>
        </w:rPr>
        <w:t>）</w:t>
      </w:r>
      <w:r>
        <w:rPr>
          <w:color w:val="auto"/>
          <w:spacing w:val="-2"/>
        </w:rPr>
        <w:t>税凭证交由除签有委托合同的货代公司、报关行，或</w:t>
      </w:r>
      <w:r>
        <w:rPr>
          <w:color w:val="auto"/>
          <w:spacing w:val="4"/>
          <w:w w:val="95"/>
        </w:rPr>
        <w:t xml:space="preserve">由境外进口方指定的货代公司(提供合同约定或者其他相关 </w:t>
      </w:r>
      <w:r>
        <w:rPr>
          <w:color w:val="auto"/>
          <w:spacing w:val="4"/>
        </w:rPr>
        <w:t>证明)以外的其他单位或个人使用的。</w:t>
      </w:r>
    </w:p>
    <w:p>
      <w:pPr>
        <w:pStyle w:val="12"/>
        <w:keepNext w:val="0"/>
        <w:keepLines w:val="0"/>
        <w:pageBreakBefore w:val="0"/>
        <w:widowControl w:val="0"/>
        <w:numPr>
          <w:ilvl w:val="0"/>
          <w:numId w:val="10"/>
        </w:numPr>
        <w:tabs>
          <w:tab w:val="left" w:pos="1789"/>
        </w:tabs>
        <w:kinsoku/>
        <w:wordWrap/>
        <w:overflowPunct/>
        <w:topLinePunct w:val="0"/>
        <w:autoSpaceDE w:val="0"/>
        <w:autoSpaceDN w:val="0"/>
        <w:bidi w:val="0"/>
        <w:adjustRightInd/>
        <w:snapToGrid/>
        <w:spacing w:before="0" w:after="0" w:line="240" w:lineRule="auto"/>
        <w:ind w:left="0" w:right="0" w:firstLine="656" w:firstLineChars="200"/>
        <w:jc w:val="both"/>
        <w:textAlignment w:val="auto"/>
        <w:rPr>
          <w:color w:val="auto"/>
        </w:rPr>
      </w:pPr>
      <w:r>
        <w:rPr>
          <w:color w:val="auto"/>
          <w:spacing w:val="4"/>
          <w:sz w:val="32"/>
        </w:rPr>
        <w:t>以自营名义出口，其出口业务实质上是由本企业及其投资的企业以外的单位或个人借该出口企业名义操作 完成的。</w:t>
      </w:r>
    </w:p>
    <w:p>
      <w:pPr>
        <w:pStyle w:val="12"/>
        <w:keepNext w:val="0"/>
        <w:keepLines w:val="0"/>
        <w:pageBreakBefore w:val="0"/>
        <w:widowControl w:val="0"/>
        <w:numPr>
          <w:ilvl w:val="0"/>
          <w:numId w:val="10"/>
        </w:numPr>
        <w:tabs>
          <w:tab w:val="left" w:pos="1789"/>
        </w:tabs>
        <w:kinsoku/>
        <w:wordWrap/>
        <w:overflowPunct/>
        <w:topLinePunct w:val="0"/>
        <w:autoSpaceDE w:val="0"/>
        <w:autoSpaceDN w:val="0"/>
        <w:bidi w:val="0"/>
        <w:adjustRightInd/>
        <w:snapToGrid/>
        <w:spacing w:before="1" w:after="0" w:line="364" w:lineRule="auto"/>
        <w:ind w:left="320" w:right="540" w:firstLine="650"/>
        <w:jc w:val="both"/>
        <w:textAlignment w:val="auto"/>
        <w:rPr>
          <w:color w:val="auto"/>
          <w:sz w:val="32"/>
        </w:rPr>
      </w:pPr>
      <w:r>
        <w:rPr>
          <w:color w:val="auto"/>
          <w:spacing w:val="4"/>
          <w:w w:val="95"/>
          <w:sz w:val="32"/>
        </w:rPr>
        <w:t xml:space="preserve">以自营名义出口，其出口的同一批货物既签订购 </w:t>
      </w:r>
      <w:r>
        <w:rPr>
          <w:color w:val="auto"/>
          <w:sz w:val="32"/>
        </w:rPr>
        <w:t>货合同，又签订代理出口合同（或协议）的。</w:t>
      </w:r>
    </w:p>
    <w:p>
      <w:pPr>
        <w:pStyle w:val="12"/>
        <w:keepNext w:val="0"/>
        <w:keepLines w:val="0"/>
        <w:pageBreakBefore w:val="0"/>
        <w:widowControl w:val="0"/>
        <w:numPr>
          <w:ilvl w:val="0"/>
          <w:numId w:val="10"/>
        </w:numPr>
        <w:tabs>
          <w:tab w:val="left" w:pos="1789"/>
        </w:tabs>
        <w:kinsoku/>
        <w:wordWrap/>
        <w:overflowPunct/>
        <w:topLinePunct w:val="0"/>
        <w:autoSpaceDE w:val="0"/>
        <w:autoSpaceDN w:val="0"/>
        <w:bidi w:val="0"/>
        <w:adjustRightInd/>
        <w:snapToGrid/>
        <w:spacing w:before="2" w:after="0" w:line="364" w:lineRule="auto"/>
        <w:ind w:left="320" w:right="537" w:firstLine="650"/>
        <w:jc w:val="both"/>
        <w:textAlignment w:val="auto"/>
        <w:rPr>
          <w:color w:val="auto"/>
          <w:sz w:val="32"/>
        </w:rPr>
      </w:pPr>
      <w:r>
        <w:rPr>
          <w:color w:val="auto"/>
          <w:spacing w:val="4"/>
          <w:w w:val="95"/>
          <w:sz w:val="32"/>
        </w:rPr>
        <w:t xml:space="preserve">出口货物在海关验放后，自己或委托货代承运人 </w:t>
      </w:r>
      <w:r>
        <w:rPr>
          <w:color w:val="auto"/>
          <w:sz w:val="32"/>
        </w:rPr>
        <w:t>对该笔货物的海运提单或其他运输单据等上的品名、规格等</w:t>
      </w:r>
      <w:r>
        <w:rPr>
          <w:color w:val="auto"/>
          <w:spacing w:val="-3"/>
          <w:sz w:val="32"/>
        </w:rPr>
        <w:t>进行修改，造成出口货物报关单与海运提单或其他运输单据有关内容不符的。</w:t>
      </w:r>
    </w:p>
    <w:p>
      <w:pPr>
        <w:pStyle w:val="12"/>
        <w:keepNext w:val="0"/>
        <w:keepLines w:val="0"/>
        <w:pageBreakBefore w:val="0"/>
        <w:widowControl w:val="0"/>
        <w:numPr>
          <w:ilvl w:val="0"/>
          <w:numId w:val="10"/>
        </w:numPr>
        <w:tabs>
          <w:tab w:val="left" w:pos="1789"/>
        </w:tabs>
        <w:kinsoku/>
        <w:wordWrap/>
        <w:overflowPunct/>
        <w:topLinePunct w:val="0"/>
        <w:autoSpaceDE w:val="0"/>
        <w:autoSpaceDN w:val="0"/>
        <w:bidi w:val="0"/>
        <w:adjustRightInd/>
        <w:snapToGrid/>
        <w:spacing w:before="3" w:after="0" w:line="364" w:lineRule="auto"/>
        <w:ind w:left="320" w:right="537" w:firstLine="650"/>
        <w:jc w:val="both"/>
        <w:textAlignment w:val="auto"/>
        <w:rPr>
          <w:color w:val="auto"/>
          <w:sz w:val="32"/>
        </w:rPr>
      </w:pPr>
      <w:r>
        <w:rPr>
          <w:color w:val="auto"/>
          <w:spacing w:val="4"/>
          <w:w w:val="95"/>
          <w:sz w:val="32"/>
        </w:rPr>
        <w:t xml:space="preserve">以自营名义出口，但不承担出口货物的质量、收 </w:t>
      </w:r>
      <w:r>
        <w:rPr>
          <w:color w:val="auto"/>
          <w:sz w:val="32"/>
        </w:rPr>
        <w:t>款或退税风险之一的，即出口货物发生质量问题不承担购买</w:t>
      </w:r>
      <w:r>
        <w:rPr>
          <w:color w:val="auto"/>
          <w:spacing w:val="-2"/>
          <w:sz w:val="32"/>
        </w:rPr>
        <w:t>方的索赔责任(合同中有约定质量责任承担者除外)；不承担</w:t>
      </w:r>
      <w:r>
        <w:rPr>
          <w:color w:val="auto"/>
          <w:spacing w:val="4"/>
          <w:w w:val="95"/>
          <w:sz w:val="32"/>
        </w:rPr>
        <w:t xml:space="preserve">未按期收款导致不能核销的责任(合同中有约定收款责任承 </w:t>
      </w:r>
      <w:r>
        <w:rPr>
          <w:color w:val="auto"/>
          <w:spacing w:val="5"/>
          <w:w w:val="95"/>
          <w:sz w:val="32"/>
        </w:rPr>
        <w:t>担者除外)；不承担因申报出口退</w:t>
      </w:r>
      <w:r>
        <w:rPr>
          <w:color w:val="auto"/>
          <w:spacing w:val="7"/>
          <w:w w:val="95"/>
          <w:sz w:val="32"/>
        </w:rPr>
        <w:t>（</w:t>
      </w:r>
      <w:r>
        <w:rPr>
          <w:color w:val="auto"/>
          <w:spacing w:val="5"/>
          <w:w w:val="95"/>
          <w:sz w:val="32"/>
        </w:rPr>
        <w:t>免</w:t>
      </w:r>
      <w:r>
        <w:rPr>
          <w:color w:val="auto"/>
          <w:spacing w:val="7"/>
          <w:w w:val="95"/>
          <w:sz w:val="32"/>
        </w:rPr>
        <w:t>）</w:t>
      </w:r>
      <w:r>
        <w:rPr>
          <w:color w:val="auto"/>
          <w:spacing w:val="5"/>
          <w:w w:val="95"/>
          <w:sz w:val="32"/>
        </w:rPr>
        <w:t xml:space="preserve">税的资料、单证等 </w:t>
      </w:r>
      <w:r>
        <w:rPr>
          <w:color w:val="auto"/>
          <w:spacing w:val="5"/>
          <w:sz w:val="32"/>
        </w:rPr>
        <w:t>出现问题造成不退税责任的。</w:t>
      </w:r>
    </w:p>
    <w:p>
      <w:pPr>
        <w:pStyle w:val="12"/>
        <w:keepNext w:val="0"/>
        <w:keepLines w:val="0"/>
        <w:pageBreakBefore w:val="0"/>
        <w:widowControl w:val="0"/>
        <w:numPr>
          <w:ilvl w:val="0"/>
          <w:numId w:val="10"/>
        </w:numPr>
        <w:tabs>
          <w:tab w:val="left" w:pos="1789"/>
        </w:tabs>
        <w:kinsoku/>
        <w:wordWrap/>
        <w:overflowPunct/>
        <w:topLinePunct w:val="0"/>
        <w:autoSpaceDE w:val="0"/>
        <w:autoSpaceDN w:val="0"/>
        <w:bidi w:val="0"/>
        <w:adjustRightInd/>
        <w:snapToGrid/>
        <w:spacing w:before="5" w:after="0" w:line="364" w:lineRule="auto"/>
        <w:ind w:left="320" w:right="540" w:firstLine="650"/>
        <w:jc w:val="both"/>
        <w:textAlignment w:val="auto"/>
        <w:rPr>
          <w:color w:val="auto"/>
          <w:sz w:val="32"/>
        </w:rPr>
      </w:pPr>
      <w:r>
        <w:rPr>
          <w:color w:val="auto"/>
          <w:spacing w:val="4"/>
          <w:w w:val="95"/>
          <w:sz w:val="32"/>
        </w:rPr>
        <w:t xml:space="preserve">未实质参与出口经营活动、接受并从事由中间人 </w:t>
      </w:r>
      <w:r>
        <w:rPr>
          <w:color w:val="auto"/>
          <w:sz w:val="32"/>
        </w:rPr>
        <w:t>介绍的其他出口业务，但仍以自营名义出口的。</w:t>
      </w:r>
    </w:p>
    <w:p>
      <w:pPr>
        <w:keepNext w:val="0"/>
        <w:keepLines w:val="0"/>
        <w:pageBreakBefore w:val="0"/>
        <w:widowControl w:val="0"/>
        <w:kinsoku/>
        <w:wordWrap/>
        <w:overflowPunct/>
        <w:topLinePunct w:val="0"/>
        <w:autoSpaceDE w:val="0"/>
        <w:autoSpaceDN w:val="0"/>
        <w:bidi w:val="0"/>
        <w:adjustRightInd/>
        <w:snapToGrid/>
        <w:spacing w:before="2"/>
        <w:ind w:left="320" w:right="0" w:firstLine="0"/>
        <w:jc w:val="both"/>
        <w:textAlignment w:val="auto"/>
        <w:rPr>
          <w:rFonts w:hint="eastAsia" w:ascii="宋体" w:eastAsia="宋体"/>
          <w:b/>
          <w:color w:val="auto"/>
          <w:sz w:val="32"/>
        </w:rPr>
      </w:pPr>
      <w:r>
        <w:rPr>
          <w:rFonts w:hint="eastAsia" w:ascii="宋体" w:eastAsia="宋体"/>
          <w:b/>
          <w:color w:val="auto"/>
          <w:sz w:val="32"/>
        </w:rPr>
        <w:t>【政策依据】</w:t>
      </w:r>
    </w:p>
    <w:p>
      <w:pPr>
        <w:pStyle w:val="4"/>
        <w:keepNext w:val="0"/>
        <w:keepLines w:val="0"/>
        <w:pageBreakBefore w:val="0"/>
        <w:widowControl w:val="0"/>
        <w:kinsoku/>
        <w:wordWrap/>
        <w:overflowPunct/>
        <w:topLinePunct w:val="0"/>
        <w:autoSpaceDE w:val="0"/>
        <w:autoSpaceDN w:val="0"/>
        <w:bidi w:val="0"/>
        <w:adjustRightInd/>
        <w:snapToGrid/>
        <w:spacing w:before="235" w:line="326" w:lineRule="auto"/>
        <w:ind w:right="537"/>
        <w:jc w:val="both"/>
        <w:textAlignment w:val="auto"/>
        <w:rPr>
          <w:rFonts w:hint="eastAsia" w:ascii="黑体" w:eastAsia="黑体"/>
          <w:color w:val="auto"/>
        </w:rPr>
      </w:pPr>
      <w:r>
        <w:rPr>
          <w:rFonts w:hint="eastAsia" w:ascii="黑体" w:eastAsia="黑体"/>
          <w:color w:val="auto"/>
        </w:rPr>
        <w:t>《财政部 国家税务总局关于出口货物劳务增值税和消费税政策的通知》（财税〔2012〕39 号）第七、八条</w:t>
      </w:r>
    </w:p>
    <w:p>
      <w:pPr>
        <w:pStyle w:val="4"/>
        <w:keepNext w:val="0"/>
        <w:keepLines w:val="0"/>
        <w:pageBreakBefore w:val="0"/>
        <w:widowControl w:val="0"/>
        <w:kinsoku/>
        <w:wordWrap/>
        <w:overflowPunct/>
        <w:topLinePunct w:val="0"/>
        <w:autoSpaceDE w:val="0"/>
        <w:autoSpaceDN w:val="0"/>
        <w:bidi w:val="0"/>
        <w:adjustRightInd/>
        <w:snapToGrid/>
        <w:spacing w:before="5"/>
        <w:ind w:left="0" w:firstLine="0"/>
        <w:jc w:val="both"/>
        <w:textAlignment w:val="auto"/>
        <w:rPr>
          <w:rFonts w:ascii="黑体"/>
          <w:color w:val="auto"/>
          <w:sz w:val="42"/>
        </w:rPr>
      </w:pPr>
    </w:p>
    <w:p>
      <w:pPr>
        <w:pStyle w:val="12"/>
        <w:keepNext w:val="0"/>
        <w:keepLines w:val="0"/>
        <w:pageBreakBefore w:val="0"/>
        <w:widowControl w:val="0"/>
        <w:numPr>
          <w:ilvl w:val="0"/>
          <w:numId w:val="11"/>
        </w:numPr>
        <w:tabs>
          <w:tab w:val="left" w:pos="644"/>
        </w:tabs>
        <w:kinsoku/>
        <w:wordWrap/>
        <w:overflowPunct/>
        <w:topLinePunct w:val="0"/>
        <w:autoSpaceDE w:val="0"/>
        <w:autoSpaceDN w:val="0"/>
        <w:bidi w:val="0"/>
        <w:adjustRightInd/>
        <w:snapToGrid/>
        <w:spacing w:before="0" w:after="0" w:line="240" w:lineRule="auto"/>
        <w:ind w:left="643" w:right="0" w:hanging="324"/>
        <w:jc w:val="both"/>
        <w:textAlignment w:val="auto"/>
        <w:rPr>
          <w:rFonts w:hint="eastAsia" w:ascii="宋体" w:eastAsia="宋体"/>
          <w:b/>
          <w:color w:val="auto"/>
          <w:sz w:val="32"/>
        </w:rPr>
      </w:pPr>
      <w:bookmarkStart w:id="5" w:name="_TOC_250044"/>
      <w:bookmarkEnd w:id="5"/>
      <w:r>
        <w:rPr>
          <w:rFonts w:hint="eastAsia" w:ascii="宋体" w:eastAsia="宋体"/>
          <w:b/>
          <w:color w:val="auto"/>
          <w:sz w:val="32"/>
        </w:rPr>
        <w:t>海关特殊监管区域增值税一般纳税人试点政策</w:t>
      </w:r>
    </w:p>
    <w:p>
      <w:pPr>
        <w:keepNext w:val="0"/>
        <w:keepLines w:val="0"/>
        <w:pageBreakBefore w:val="0"/>
        <w:widowControl w:val="0"/>
        <w:kinsoku/>
        <w:wordWrap/>
        <w:overflowPunct/>
        <w:topLinePunct w:val="0"/>
        <w:autoSpaceDE w:val="0"/>
        <w:autoSpaceDN w:val="0"/>
        <w:bidi w:val="0"/>
        <w:adjustRightInd/>
        <w:snapToGrid/>
        <w:spacing w:before="214"/>
        <w:ind w:left="320" w:right="0" w:firstLine="0"/>
        <w:jc w:val="both"/>
        <w:textAlignment w:val="auto"/>
        <w:rPr>
          <w:rFonts w:hint="eastAsia" w:ascii="宋体" w:eastAsia="宋体"/>
          <w:b/>
          <w:color w:val="auto"/>
          <w:sz w:val="32"/>
        </w:rPr>
      </w:pPr>
      <w:r>
        <w:rPr>
          <w:rFonts w:hint="eastAsia" w:ascii="宋体" w:eastAsia="宋体"/>
          <w:b/>
          <w:color w:val="auto"/>
          <w:sz w:val="32"/>
        </w:rPr>
        <w:t>【适用主体】</w:t>
      </w:r>
    </w:p>
    <w:p>
      <w:pPr>
        <w:pStyle w:val="4"/>
        <w:keepNext w:val="0"/>
        <w:keepLines w:val="0"/>
        <w:pageBreakBefore w:val="0"/>
        <w:widowControl w:val="0"/>
        <w:kinsoku/>
        <w:wordWrap/>
        <w:overflowPunct/>
        <w:topLinePunct w:val="0"/>
        <w:autoSpaceDE w:val="0"/>
        <w:autoSpaceDN w:val="0"/>
        <w:bidi w:val="0"/>
        <w:adjustRightInd/>
        <w:snapToGrid/>
        <w:spacing w:before="30" w:line="364" w:lineRule="auto"/>
        <w:ind w:right="537"/>
        <w:jc w:val="both"/>
        <w:textAlignment w:val="auto"/>
        <w:rPr>
          <w:color w:val="auto"/>
        </w:rPr>
      </w:pPr>
      <w:r>
        <w:rPr>
          <w:color w:val="auto"/>
          <w:spacing w:val="13"/>
          <w:w w:val="95"/>
        </w:rPr>
        <w:t xml:space="preserve">在符合条件完成一般纳税人资格试点备案的综合保税 </w:t>
      </w:r>
      <w:r>
        <w:rPr>
          <w:color w:val="auto"/>
        </w:rPr>
        <w:t>区内，已按规定向主管税务机关办理增值税一般纳税人资格登记的试点企业。</w:t>
      </w:r>
    </w:p>
    <w:p>
      <w:pPr>
        <w:keepNext w:val="0"/>
        <w:keepLines w:val="0"/>
        <w:pageBreakBefore w:val="0"/>
        <w:widowControl w:val="0"/>
        <w:kinsoku/>
        <w:wordWrap/>
        <w:overflowPunct/>
        <w:topLinePunct w:val="0"/>
        <w:autoSpaceDE w:val="0"/>
        <w:autoSpaceDN w:val="0"/>
        <w:bidi w:val="0"/>
        <w:adjustRightInd/>
        <w:snapToGrid/>
        <w:spacing w:before="2"/>
        <w:ind w:left="320" w:right="0" w:firstLine="0"/>
        <w:jc w:val="both"/>
        <w:textAlignment w:val="auto"/>
        <w:rPr>
          <w:rFonts w:hint="eastAsia" w:ascii="宋体" w:eastAsia="宋体"/>
          <w:b/>
          <w:color w:val="auto"/>
          <w:sz w:val="32"/>
        </w:rPr>
      </w:pPr>
      <w:r>
        <w:rPr>
          <w:rFonts w:hint="eastAsia" w:ascii="宋体" w:eastAsia="宋体"/>
          <w:b/>
          <w:color w:val="auto"/>
          <w:w w:val="95"/>
          <w:sz w:val="32"/>
        </w:rPr>
        <w:t>【政策内容】</w:t>
      </w:r>
    </w:p>
    <w:p>
      <w:pPr>
        <w:pStyle w:val="4"/>
        <w:keepNext w:val="0"/>
        <w:keepLines w:val="0"/>
        <w:pageBreakBefore w:val="0"/>
        <w:widowControl w:val="0"/>
        <w:kinsoku/>
        <w:wordWrap/>
        <w:overflowPunct/>
        <w:topLinePunct w:val="0"/>
        <w:autoSpaceDE w:val="0"/>
        <w:autoSpaceDN w:val="0"/>
        <w:bidi w:val="0"/>
        <w:adjustRightInd/>
        <w:snapToGrid/>
        <w:spacing w:line="364" w:lineRule="auto"/>
        <w:ind w:right="537"/>
        <w:jc w:val="both"/>
        <w:textAlignment w:val="auto"/>
        <w:rPr>
          <w:color w:val="auto"/>
        </w:rPr>
      </w:pPr>
      <w:r>
        <w:rPr>
          <w:color w:val="auto"/>
          <w:spacing w:val="-1"/>
        </w:rPr>
        <w:t>试点企业自增值税一般纳税人资格生效之日起，适用下列税收政策：</w:t>
      </w:r>
    </w:p>
    <w:p>
      <w:pPr>
        <w:pStyle w:val="12"/>
        <w:keepNext w:val="0"/>
        <w:keepLines w:val="0"/>
        <w:pageBreakBefore w:val="0"/>
        <w:widowControl w:val="0"/>
        <w:numPr>
          <w:ilvl w:val="1"/>
          <w:numId w:val="11"/>
        </w:numPr>
        <w:tabs>
          <w:tab w:val="left" w:pos="1283"/>
        </w:tabs>
        <w:kinsoku/>
        <w:wordWrap/>
        <w:overflowPunct/>
        <w:topLinePunct w:val="0"/>
        <w:autoSpaceDE w:val="0"/>
        <w:autoSpaceDN w:val="0"/>
        <w:bidi w:val="0"/>
        <w:adjustRightInd/>
        <w:snapToGrid/>
        <w:spacing w:before="2" w:after="0" w:line="364" w:lineRule="auto"/>
        <w:ind w:left="320" w:right="540" w:firstLine="640"/>
        <w:jc w:val="both"/>
        <w:textAlignment w:val="auto"/>
        <w:rPr>
          <w:color w:val="auto"/>
          <w:sz w:val="32"/>
        </w:rPr>
      </w:pPr>
      <w:r>
        <w:rPr>
          <w:color w:val="auto"/>
          <w:spacing w:val="-1"/>
          <w:w w:val="95"/>
          <w:sz w:val="32"/>
        </w:rPr>
        <w:t>试点企业进口自用设备</w:t>
      </w:r>
      <w:r>
        <w:rPr>
          <w:color w:val="auto"/>
          <w:w w:val="95"/>
          <w:sz w:val="32"/>
        </w:rPr>
        <w:t>（</w:t>
      </w:r>
      <w:r>
        <w:rPr>
          <w:color w:val="auto"/>
          <w:spacing w:val="-1"/>
          <w:w w:val="95"/>
          <w:sz w:val="32"/>
        </w:rPr>
        <w:t>包括机器设备、基建物资和 办公用品</w:t>
      </w:r>
      <w:r>
        <w:rPr>
          <w:color w:val="auto"/>
          <w:spacing w:val="-3"/>
          <w:w w:val="95"/>
          <w:sz w:val="32"/>
        </w:rPr>
        <w:t xml:space="preserve">）时，暂免征收进口关税和进口环节增值税、消费 </w:t>
      </w:r>
      <w:r>
        <w:rPr>
          <w:color w:val="auto"/>
          <w:spacing w:val="-3"/>
          <w:sz w:val="32"/>
        </w:rPr>
        <w:t>税（以下简称进口税收）。</w:t>
      </w:r>
    </w:p>
    <w:p>
      <w:pPr>
        <w:pStyle w:val="4"/>
        <w:keepNext w:val="0"/>
        <w:keepLines w:val="0"/>
        <w:pageBreakBefore w:val="0"/>
        <w:widowControl w:val="0"/>
        <w:kinsoku/>
        <w:wordWrap/>
        <w:overflowPunct/>
        <w:topLinePunct w:val="0"/>
        <w:autoSpaceDE w:val="0"/>
        <w:autoSpaceDN w:val="0"/>
        <w:bidi w:val="0"/>
        <w:adjustRightInd/>
        <w:snapToGrid/>
        <w:spacing w:before="2" w:line="364" w:lineRule="auto"/>
        <w:ind w:right="525"/>
        <w:jc w:val="both"/>
        <w:textAlignment w:val="auto"/>
        <w:rPr>
          <w:color w:val="auto"/>
        </w:rPr>
      </w:pPr>
      <w:r>
        <w:rPr>
          <w:color w:val="auto"/>
        </w:rPr>
        <w:t xml:space="preserve">上述暂免进口税收按照该进口自用设备海关监管年限 </w:t>
      </w:r>
      <w:r>
        <w:rPr>
          <w:color w:val="auto"/>
          <w:spacing w:val="-2"/>
        </w:rPr>
        <w:t>平均分摊到各个年度，每年年终对本年暂免的进口税收按照</w:t>
      </w:r>
      <w:r>
        <w:rPr>
          <w:color w:val="auto"/>
          <w:spacing w:val="-4"/>
        </w:rPr>
        <w:t>当年内外销比例进行划分，对外销比例部分执行试点企业所</w:t>
      </w:r>
      <w:r>
        <w:rPr>
          <w:color w:val="auto"/>
          <w:spacing w:val="-5"/>
        </w:rPr>
        <w:t>在海关特殊监管区域的税收政策，对内销比例部分比照执行海关特殊监管区域外（以下简称区外）税收政策补征税款。</w:t>
      </w:r>
    </w:p>
    <w:p>
      <w:pPr>
        <w:pStyle w:val="12"/>
        <w:keepNext w:val="0"/>
        <w:keepLines w:val="0"/>
        <w:pageBreakBefore w:val="0"/>
        <w:widowControl w:val="0"/>
        <w:numPr>
          <w:ilvl w:val="1"/>
          <w:numId w:val="11"/>
        </w:numPr>
        <w:tabs>
          <w:tab w:val="left" w:pos="1283"/>
        </w:tabs>
        <w:kinsoku/>
        <w:wordWrap/>
        <w:overflowPunct/>
        <w:topLinePunct w:val="0"/>
        <w:autoSpaceDE w:val="0"/>
        <w:autoSpaceDN w:val="0"/>
        <w:bidi w:val="0"/>
        <w:adjustRightInd/>
        <w:snapToGrid/>
        <w:spacing w:before="4" w:after="0" w:line="240" w:lineRule="auto"/>
        <w:ind w:left="1282" w:right="0" w:hanging="323"/>
        <w:jc w:val="both"/>
        <w:textAlignment w:val="auto"/>
        <w:rPr>
          <w:color w:val="auto"/>
          <w:sz w:val="32"/>
        </w:rPr>
      </w:pPr>
      <w:r>
        <w:rPr>
          <w:color w:val="auto"/>
          <w:sz w:val="32"/>
        </w:rPr>
        <w:t>除进口自用设备外，购买的下列货物适用保税政策：</w:t>
      </w:r>
    </w:p>
    <w:p>
      <w:pPr>
        <w:pStyle w:val="12"/>
        <w:keepNext w:val="0"/>
        <w:keepLines w:val="0"/>
        <w:pageBreakBefore w:val="0"/>
        <w:widowControl w:val="0"/>
        <w:numPr>
          <w:ilvl w:val="0"/>
          <w:numId w:val="12"/>
        </w:numPr>
        <w:tabs>
          <w:tab w:val="left" w:pos="1761"/>
        </w:tabs>
        <w:kinsoku/>
        <w:wordWrap/>
        <w:overflowPunct/>
        <w:topLinePunct w:val="0"/>
        <w:autoSpaceDE w:val="0"/>
        <w:autoSpaceDN w:val="0"/>
        <w:bidi w:val="0"/>
        <w:adjustRightInd/>
        <w:snapToGrid/>
        <w:spacing w:before="214" w:after="0" w:line="240" w:lineRule="auto"/>
        <w:ind w:left="1760" w:right="0" w:hanging="801"/>
        <w:jc w:val="both"/>
        <w:textAlignment w:val="auto"/>
        <w:rPr>
          <w:color w:val="auto"/>
          <w:sz w:val="32"/>
        </w:rPr>
      </w:pPr>
      <w:r>
        <w:rPr>
          <w:color w:val="auto"/>
          <w:sz w:val="32"/>
        </w:rPr>
        <w:t>从境外购买并进入试点区域的货物；</w:t>
      </w:r>
    </w:p>
    <w:p>
      <w:pPr>
        <w:pStyle w:val="12"/>
        <w:keepNext w:val="0"/>
        <w:keepLines w:val="0"/>
        <w:pageBreakBefore w:val="0"/>
        <w:widowControl w:val="0"/>
        <w:numPr>
          <w:ilvl w:val="0"/>
          <w:numId w:val="12"/>
        </w:numPr>
        <w:tabs>
          <w:tab w:val="left" w:pos="1761"/>
        </w:tabs>
        <w:kinsoku/>
        <w:wordWrap/>
        <w:overflowPunct/>
        <w:topLinePunct w:val="0"/>
        <w:autoSpaceDE w:val="0"/>
        <w:autoSpaceDN w:val="0"/>
        <w:bidi w:val="0"/>
        <w:adjustRightInd/>
        <w:snapToGrid/>
        <w:spacing w:before="214" w:after="0" w:line="364" w:lineRule="auto"/>
        <w:ind w:left="320" w:right="684" w:firstLine="640"/>
        <w:jc w:val="both"/>
        <w:textAlignment w:val="auto"/>
        <w:rPr>
          <w:color w:val="auto"/>
          <w:sz w:val="32"/>
        </w:rPr>
      </w:pPr>
      <w:r>
        <w:rPr>
          <w:color w:val="auto"/>
          <w:sz w:val="32"/>
        </w:rPr>
        <w:t>从海关特殊监管区域（试点区域除外）或海关保税监管场所购买并进入试点区域的保税货物；</w:t>
      </w:r>
    </w:p>
    <w:p>
      <w:pPr>
        <w:pStyle w:val="12"/>
        <w:keepNext w:val="0"/>
        <w:keepLines w:val="0"/>
        <w:pageBreakBefore w:val="0"/>
        <w:widowControl w:val="0"/>
        <w:numPr>
          <w:ilvl w:val="0"/>
          <w:numId w:val="12"/>
        </w:numPr>
        <w:tabs>
          <w:tab w:val="left" w:pos="1761"/>
        </w:tabs>
        <w:kinsoku/>
        <w:wordWrap/>
        <w:overflowPunct/>
        <w:topLinePunct w:val="0"/>
        <w:autoSpaceDE w:val="0"/>
        <w:autoSpaceDN w:val="0"/>
        <w:bidi w:val="0"/>
        <w:adjustRightInd/>
        <w:snapToGrid/>
        <w:spacing w:before="2" w:after="0" w:line="240" w:lineRule="auto"/>
        <w:ind w:left="1760" w:right="0" w:hanging="801"/>
        <w:jc w:val="both"/>
        <w:textAlignment w:val="auto"/>
        <w:rPr>
          <w:color w:val="auto"/>
          <w:sz w:val="32"/>
        </w:rPr>
      </w:pPr>
      <w:r>
        <w:rPr>
          <w:color w:val="auto"/>
          <w:sz w:val="32"/>
        </w:rPr>
        <w:t>从试点区域内非试点企业购买的保税货物；</w:t>
      </w:r>
    </w:p>
    <w:p>
      <w:pPr>
        <w:pStyle w:val="12"/>
        <w:keepNext w:val="0"/>
        <w:keepLines w:val="0"/>
        <w:pageBreakBefore w:val="0"/>
        <w:widowControl w:val="0"/>
        <w:numPr>
          <w:ilvl w:val="0"/>
          <w:numId w:val="12"/>
        </w:numPr>
        <w:tabs>
          <w:tab w:val="left" w:pos="1761"/>
        </w:tabs>
        <w:kinsoku/>
        <w:wordWrap/>
        <w:overflowPunct/>
        <w:topLinePunct w:val="0"/>
        <w:autoSpaceDE w:val="0"/>
        <w:autoSpaceDN w:val="0"/>
        <w:bidi w:val="0"/>
        <w:adjustRightInd/>
        <w:snapToGrid/>
        <w:spacing w:before="214" w:after="0" w:line="364" w:lineRule="auto"/>
        <w:ind w:left="320" w:right="684" w:firstLine="640"/>
        <w:jc w:val="both"/>
        <w:textAlignment w:val="auto"/>
        <w:rPr>
          <w:color w:val="auto"/>
          <w:sz w:val="32"/>
        </w:rPr>
      </w:pPr>
      <w:r>
        <w:rPr>
          <w:color w:val="auto"/>
          <w:sz w:val="32"/>
        </w:rPr>
        <w:t>从试点区域内其他试点企业购买的未经加工的保税货物。</w:t>
      </w:r>
    </w:p>
    <w:p>
      <w:pPr>
        <w:pStyle w:val="12"/>
        <w:keepNext w:val="0"/>
        <w:keepLines w:val="0"/>
        <w:pageBreakBefore w:val="0"/>
        <w:widowControl w:val="0"/>
        <w:numPr>
          <w:ilvl w:val="1"/>
          <w:numId w:val="11"/>
        </w:numPr>
        <w:tabs>
          <w:tab w:val="left" w:pos="1283"/>
        </w:tabs>
        <w:kinsoku/>
        <w:wordWrap/>
        <w:overflowPunct/>
        <w:topLinePunct w:val="0"/>
        <w:autoSpaceDE w:val="0"/>
        <w:autoSpaceDN w:val="0"/>
        <w:bidi w:val="0"/>
        <w:adjustRightInd/>
        <w:snapToGrid/>
        <w:spacing w:before="1" w:after="0" w:line="240" w:lineRule="auto"/>
        <w:ind w:left="1282" w:right="0" w:hanging="323"/>
        <w:jc w:val="both"/>
        <w:textAlignment w:val="auto"/>
        <w:rPr>
          <w:color w:val="auto"/>
          <w:sz w:val="32"/>
        </w:rPr>
      </w:pPr>
      <w:r>
        <w:rPr>
          <w:color w:val="auto"/>
          <w:sz w:val="32"/>
        </w:rPr>
        <w:t>销售的下列货物，向主管税务机关申报缴纳增值税、</w:t>
      </w:r>
    </w:p>
    <w:p>
      <w:pPr>
        <w:pStyle w:val="4"/>
        <w:keepNext w:val="0"/>
        <w:keepLines w:val="0"/>
        <w:pageBreakBefore w:val="0"/>
        <w:widowControl w:val="0"/>
        <w:kinsoku/>
        <w:wordWrap/>
        <w:overflowPunct/>
        <w:topLinePunct w:val="0"/>
        <w:autoSpaceDE w:val="0"/>
        <w:autoSpaceDN w:val="0"/>
        <w:bidi w:val="0"/>
        <w:adjustRightInd/>
        <w:snapToGrid/>
        <w:spacing w:before="30"/>
        <w:ind w:firstLine="0"/>
        <w:jc w:val="both"/>
        <w:textAlignment w:val="auto"/>
        <w:rPr>
          <w:color w:val="auto"/>
        </w:rPr>
      </w:pPr>
      <w:r>
        <w:rPr>
          <w:color w:val="auto"/>
        </w:rPr>
        <w:t>消费税：</w:t>
      </w:r>
    </w:p>
    <w:p>
      <w:pPr>
        <w:pStyle w:val="12"/>
        <w:keepNext w:val="0"/>
        <w:keepLines w:val="0"/>
        <w:pageBreakBefore w:val="0"/>
        <w:widowControl w:val="0"/>
        <w:numPr>
          <w:ilvl w:val="0"/>
          <w:numId w:val="13"/>
        </w:numPr>
        <w:tabs>
          <w:tab w:val="left" w:pos="1761"/>
        </w:tabs>
        <w:kinsoku/>
        <w:wordWrap/>
        <w:overflowPunct/>
        <w:topLinePunct w:val="0"/>
        <w:autoSpaceDE w:val="0"/>
        <w:autoSpaceDN w:val="0"/>
        <w:bidi w:val="0"/>
        <w:adjustRightInd/>
        <w:snapToGrid/>
        <w:spacing w:before="214" w:after="0" w:line="240" w:lineRule="auto"/>
        <w:ind w:left="1760" w:right="0" w:hanging="801"/>
        <w:jc w:val="both"/>
        <w:textAlignment w:val="auto"/>
        <w:rPr>
          <w:color w:val="auto"/>
          <w:sz w:val="32"/>
        </w:rPr>
      </w:pPr>
      <w:r>
        <w:rPr>
          <w:color w:val="auto"/>
          <w:sz w:val="32"/>
        </w:rPr>
        <w:t>向境内区外销售的货物；</w:t>
      </w:r>
    </w:p>
    <w:p>
      <w:pPr>
        <w:pStyle w:val="12"/>
        <w:keepNext w:val="0"/>
        <w:keepLines w:val="0"/>
        <w:pageBreakBefore w:val="0"/>
        <w:widowControl w:val="0"/>
        <w:numPr>
          <w:ilvl w:val="0"/>
          <w:numId w:val="13"/>
        </w:numPr>
        <w:tabs>
          <w:tab w:val="left" w:pos="1761"/>
        </w:tabs>
        <w:kinsoku/>
        <w:wordWrap/>
        <w:overflowPunct/>
        <w:topLinePunct w:val="0"/>
        <w:autoSpaceDE w:val="0"/>
        <w:autoSpaceDN w:val="0"/>
        <w:bidi w:val="0"/>
        <w:adjustRightInd/>
        <w:snapToGrid/>
        <w:spacing w:before="214" w:after="0" w:line="364" w:lineRule="auto"/>
        <w:ind w:left="320" w:right="684" w:firstLine="640"/>
        <w:jc w:val="both"/>
        <w:textAlignment w:val="auto"/>
        <w:rPr>
          <w:color w:val="auto"/>
          <w:sz w:val="32"/>
        </w:rPr>
      </w:pPr>
      <w:r>
        <w:rPr>
          <w:color w:val="auto"/>
          <w:sz w:val="32"/>
        </w:rPr>
        <w:t>向保税区、不具备退税功能的保税监管场所销售的货物（未经加工的保税货物除外）；</w:t>
      </w:r>
    </w:p>
    <w:p>
      <w:pPr>
        <w:pStyle w:val="12"/>
        <w:keepNext w:val="0"/>
        <w:keepLines w:val="0"/>
        <w:pageBreakBefore w:val="0"/>
        <w:widowControl w:val="0"/>
        <w:numPr>
          <w:ilvl w:val="0"/>
          <w:numId w:val="13"/>
        </w:numPr>
        <w:tabs>
          <w:tab w:val="left" w:pos="1761"/>
        </w:tabs>
        <w:kinsoku/>
        <w:wordWrap/>
        <w:overflowPunct/>
        <w:topLinePunct w:val="0"/>
        <w:autoSpaceDE w:val="0"/>
        <w:autoSpaceDN w:val="0"/>
        <w:bidi w:val="0"/>
        <w:adjustRightInd/>
        <w:snapToGrid/>
        <w:spacing w:before="1" w:after="0" w:line="364" w:lineRule="auto"/>
        <w:ind w:left="320" w:right="684" w:firstLine="640"/>
        <w:jc w:val="both"/>
        <w:textAlignment w:val="auto"/>
        <w:rPr>
          <w:color w:val="auto"/>
          <w:sz w:val="32"/>
        </w:rPr>
      </w:pPr>
      <w:r>
        <w:rPr>
          <w:color w:val="auto"/>
          <w:sz w:val="32"/>
        </w:rPr>
        <w:t>向试点区域内其他试点企业销售的货物（未经加工的保税货物除外）。</w:t>
      </w:r>
    </w:p>
    <w:p>
      <w:pPr>
        <w:pStyle w:val="4"/>
        <w:keepNext w:val="0"/>
        <w:keepLines w:val="0"/>
        <w:pageBreakBefore w:val="0"/>
        <w:widowControl w:val="0"/>
        <w:kinsoku/>
        <w:wordWrap/>
        <w:overflowPunct/>
        <w:topLinePunct w:val="0"/>
        <w:autoSpaceDE w:val="0"/>
        <w:autoSpaceDN w:val="0"/>
        <w:bidi w:val="0"/>
        <w:adjustRightInd/>
        <w:snapToGrid/>
        <w:spacing w:before="2" w:line="364" w:lineRule="auto"/>
        <w:ind w:right="540"/>
        <w:jc w:val="both"/>
        <w:textAlignment w:val="auto"/>
        <w:rPr>
          <w:color w:val="auto"/>
        </w:rPr>
      </w:pPr>
      <w:r>
        <w:rPr>
          <w:color w:val="auto"/>
          <w:spacing w:val="-1"/>
        </w:rPr>
        <w:t>试点企业销售上述货物中含有保税货物的，按照保税货物进入海关特殊监管区域时的状态向海关申报缴纳进口税收，并按照规定补缴缓税利息。</w:t>
      </w:r>
    </w:p>
    <w:p>
      <w:pPr>
        <w:pStyle w:val="12"/>
        <w:keepNext w:val="0"/>
        <w:keepLines w:val="0"/>
        <w:pageBreakBefore w:val="0"/>
        <w:widowControl w:val="0"/>
        <w:numPr>
          <w:ilvl w:val="1"/>
          <w:numId w:val="11"/>
        </w:numPr>
        <w:tabs>
          <w:tab w:val="left" w:pos="1283"/>
        </w:tabs>
        <w:kinsoku/>
        <w:wordWrap/>
        <w:overflowPunct/>
        <w:topLinePunct w:val="0"/>
        <w:autoSpaceDE w:val="0"/>
        <w:autoSpaceDN w:val="0"/>
        <w:bidi w:val="0"/>
        <w:adjustRightInd/>
        <w:snapToGrid/>
        <w:spacing w:before="2" w:after="0" w:line="364" w:lineRule="auto"/>
        <w:ind w:left="320" w:right="845" w:firstLine="640"/>
        <w:jc w:val="both"/>
        <w:textAlignment w:val="auto"/>
        <w:rPr>
          <w:color w:val="auto"/>
          <w:sz w:val="32"/>
        </w:rPr>
      </w:pPr>
      <w:r>
        <w:rPr>
          <w:color w:val="auto"/>
          <w:w w:val="95"/>
          <w:sz w:val="32"/>
        </w:rPr>
        <w:t xml:space="preserve">向海关特殊监管区域或者海关保税监管场所销售的 </w:t>
      </w:r>
      <w:r>
        <w:rPr>
          <w:color w:val="auto"/>
          <w:sz w:val="32"/>
        </w:rPr>
        <w:t>未经加工的保税货物，继续适用保税政策。</w:t>
      </w:r>
    </w:p>
    <w:p>
      <w:pPr>
        <w:pStyle w:val="12"/>
        <w:keepNext w:val="0"/>
        <w:keepLines w:val="0"/>
        <w:pageBreakBefore w:val="0"/>
        <w:widowControl w:val="0"/>
        <w:numPr>
          <w:ilvl w:val="1"/>
          <w:numId w:val="11"/>
        </w:numPr>
        <w:tabs>
          <w:tab w:val="left" w:pos="1283"/>
        </w:tabs>
        <w:kinsoku/>
        <w:wordWrap/>
        <w:overflowPunct/>
        <w:topLinePunct w:val="0"/>
        <w:autoSpaceDE w:val="0"/>
        <w:autoSpaceDN w:val="0"/>
        <w:bidi w:val="0"/>
        <w:adjustRightInd/>
        <w:snapToGrid/>
        <w:spacing w:before="2" w:after="0" w:line="364" w:lineRule="auto"/>
        <w:ind w:left="320" w:right="540" w:firstLine="640"/>
        <w:jc w:val="both"/>
        <w:textAlignment w:val="auto"/>
        <w:rPr>
          <w:color w:val="auto"/>
          <w:sz w:val="32"/>
        </w:rPr>
      </w:pPr>
      <w:r>
        <w:rPr>
          <w:color w:val="auto"/>
          <w:spacing w:val="-1"/>
          <w:w w:val="95"/>
          <w:sz w:val="32"/>
        </w:rPr>
        <w:t>销售的下列货物</w:t>
      </w:r>
      <w:r>
        <w:rPr>
          <w:color w:val="auto"/>
          <w:w w:val="95"/>
          <w:sz w:val="32"/>
        </w:rPr>
        <w:t>（未经加工的保税货物除外</w:t>
      </w:r>
      <w:r>
        <w:rPr>
          <w:color w:val="auto"/>
          <w:spacing w:val="-4"/>
          <w:w w:val="95"/>
          <w:sz w:val="32"/>
        </w:rPr>
        <w:t>）</w:t>
      </w:r>
      <w:r>
        <w:rPr>
          <w:color w:val="auto"/>
          <w:spacing w:val="-2"/>
          <w:w w:val="95"/>
          <w:sz w:val="32"/>
        </w:rPr>
        <w:t xml:space="preserve">，适用 </w:t>
      </w:r>
      <w:r>
        <w:rPr>
          <w:color w:val="auto"/>
          <w:spacing w:val="-4"/>
          <w:sz w:val="32"/>
        </w:rPr>
        <w:t>出口退</w:t>
      </w:r>
      <w:r>
        <w:rPr>
          <w:color w:val="auto"/>
          <w:sz w:val="32"/>
        </w:rPr>
        <w:t>（免</w:t>
      </w:r>
      <w:r>
        <w:rPr>
          <w:color w:val="auto"/>
          <w:spacing w:val="-5"/>
          <w:sz w:val="32"/>
        </w:rPr>
        <w:t>）</w:t>
      </w:r>
      <w:r>
        <w:rPr>
          <w:color w:val="auto"/>
          <w:spacing w:val="-2"/>
          <w:sz w:val="32"/>
        </w:rPr>
        <w:t>税政策，主管税务机关凭海关提供的与之对应的出口货物报关单电子数据审核办理试点企业申报的出口退（免）税。</w:t>
      </w:r>
    </w:p>
    <w:p>
      <w:pPr>
        <w:pStyle w:val="12"/>
        <w:keepNext w:val="0"/>
        <w:keepLines w:val="0"/>
        <w:pageBreakBefore w:val="0"/>
        <w:widowControl w:val="0"/>
        <w:numPr>
          <w:ilvl w:val="0"/>
          <w:numId w:val="14"/>
        </w:numPr>
        <w:tabs>
          <w:tab w:val="left" w:pos="1761"/>
        </w:tabs>
        <w:kinsoku/>
        <w:wordWrap/>
        <w:overflowPunct/>
        <w:topLinePunct w:val="0"/>
        <w:autoSpaceDE w:val="0"/>
        <w:autoSpaceDN w:val="0"/>
        <w:bidi w:val="0"/>
        <w:adjustRightInd/>
        <w:snapToGrid/>
        <w:spacing w:before="3" w:after="0" w:line="240" w:lineRule="auto"/>
        <w:ind w:left="1760" w:right="0" w:hanging="801"/>
        <w:jc w:val="both"/>
        <w:textAlignment w:val="auto"/>
        <w:rPr>
          <w:color w:val="auto"/>
          <w:sz w:val="32"/>
        </w:rPr>
      </w:pPr>
      <w:r>
        <w:rPr>
          <w:color w:val="auto"/>
          <w:sz w:val="32"/>
        </w:rPr>
        <w:t>离境出口的货物；</w:t>
      </w:r>
    </w:p>
    <w:p>
      <w:pPr>
        <w:pStyle w:val="12"/>
        <w:keepNext w:val="0"/>
        <w:keepLines w:val="0"/>
        <w:pageBreakBefore w:val="0"/>
        <w:widowControl w:val="0"/>
        <w:numPr>
          <w:ilvl w:val="0"/>
          <w:numId w:val="14"/>
        </w:numPr>
        <w:tabs>
          <w:tab w:val="left" w:pos="1761"/>
        </w:tabs>
        <w:kinsoku/>
        <w:wordWrap/>
        <w:overflowPunct/>
        <w:topLinePunct w:val="0"/>
        <w:autoSpaceDE w:val="0"/>
        <w:autoSpaceDN w:val="0"/>
        <w:bidi w:val="0"/>
        <w:adjustRightInd/>
        <w:snapToGrid/>
        <w:spacing w:before="214" w:after="0" w:line="364" w:lineRule="auto"/>
        <w:ind w:left="320" w:right="684" w:firstLine="640"/>
        <w:jc w:val="both"/>
        <w:textAlignment w:val="auto"/>
        <w:rPr>
          <w:color w:val="auto"/>
          <w:sz w:val="32"/>
        </w:rPr>
      </w:pPr>
      <w:r>
        <w:rPr>
          <w:color w:val="auto"/>
          <w:sz w:val="32"/>
        </w:rPr>
        <w:t>向海关特殊监管区域（试点区域、保税区除外） 或海关保税监管场所（不具备退税功能的保税监管场所除外）销售的货物；</w:t>
      </w:r>
    </w:p>
    <w:p>
      <w:pPr>
        <w:pStyle w:val="12"/>
        <w:keepNext w:val="0"/>
        <w:keepLines w:val="0"/>
        <w:pageBreakBefore w:val="0"/>
        <w:widowControl w:val="0"/>
        <w:numPr>
          <w:ilvl w:val="0"/>
          <w:numId w:val="14"/>
        </w:numPr>
        <w:tabs>
          <w:tab w:val="left" w:pos="1761"/>
        </w:tabs>
        <w:kinsoku/>
        <w:wordWrap/>
        <w:overflowPunct/>
        <w:topLinePunct w:val="0"/>
        <w:autoSpaceDE w:val="0"/>
        <w:autoSpaceDN w:val="0"/>
        <w:bidi w:val="0"/>
        <w:adjustRightInd/>
        <w:snapToGrid/>
        <w:spacing w:before="3" w:after="0" w:line="240" w:lineRule="auto"/>
        <w:ind w:left="1760" w:right="0" w:hanging="801"/>
        <w:jc w:val="both"/>
        <w:textAlignment w:val="auto"/>
        <w:rPr>
          <w:color w:val="auto"/>
          <w:sz w:val="32"/>
        </w:rPr>
      </w:pPr>
      <w:r>
        <w:rPr>
          <w:color w:val="auto"/>
          <w:sz w:val="32"/>
        </w:rPr>
        <w:t>向试点区域内非试点企业销售的货物。</w:t>
      </w:r>
    </w:p>
    <w:p>
      <w:pPr>
        <w:pStyle w:val="12"/>
        <w:keepNext w:val="0"/>
        <w:keepLines w:val="0"/>
        <w:pageBreakBefore w:val="0"/>
        <w:widowControl w:val="0"/>
        <w:numPr>
          <w:ilvl w:val="1"/>
          <w:numId w:val="11"/>
        </w:numPr>
        <w:tabs>
          <w:tab w:val="left" w:pos="1283"/>
        </w:tabs>
        <w:kinsoku/>
        <w:wordWrap/>
        <w:overflowPunct/>
        <w:topLinePunct w:val="0"/>
        <w:autoSpaceDE w:val="0"/>
        <w:autoSpaceDN w:val="0"/>
        <w:bidi w:val="0"/>
        <w:adjustRightInd/>
        <w:snapToGrid/>
        <w:spacing w:before="214" w:after="0" w:line="364" w:lineRule="auto"/>
        <w:ind w:left="320" w:right="540" w:firstLine="640"/>
        <w:jc w:val="both"/>
        <w:textAlignment w:val="auto"/>
        <w:rPr>
          <w:color w:val="auto"/>
          <w:sz w:val="32"/>
        </w:rPr>
      </w:pPr>
      <w:r>
        <w:rPr>
          <w:color w:val="auto"/>
          <w:spacing w:val="-1"/>
          <w:w w:val="95"/>
          <w:sz w:val="32"/>
        </w:rPr>
        <w:t xml:space="preserve">未经加工的保税货物离境出口实行增值税、消费税免 </w:t>
      </w:r>
      <w:r>
        <w:rPr>
          <w:color w:val="auto"/>
          <w:spacing w:val="-1"/>
          <w:sz w:val="32"/>
        </w:rPr>
        <w:t>税政策。</w:t>
      </w:r>
    </w:p>
    <w:p>
      <w:pPr>
        <w:pStyle w:val="12"/>
        <w:keepNext w:val="0"/>
        <w:keepLines w:val="0"/>
        <w:pageBreakBefore w:val="0"/>
        <w:widowControl w:val="0"/>
        <w:numPr>
          <w:ilvl w:val="1"/>
          <w:numId w:val="11"/>
        </w:numPr>
        <w:tabs>
          <w:tab w:val="left" w:pos="1283"/>
        </w:tabs>
        <w:kinsoku/>
        <w:wordWrap/>
        <w:overflowPunct/>
        <w:topLinePunct w:val="0"/>
        <w:autoSpaceDE w:val="0"/>
        <w:autoSpaceDN w:val="0"/>
        <w:bidi w:val="0"/>
        <w:adjustRightInd/>
        <w:snapToGrid/>
        <w:spacing w:before="30" w:after="0" w:line="364" w:lineRule="auto"/>
        <w:ind w:left="320" w:right="540" w:firstLine="640"/>
        <w:jc w:val="both"/>
        <w:textAlignment w:val="auto"/>
        <w:rPr>
          <w:color w:val="auto"/>
          <w:sz w:val="32"/>
        </w:rPr>
      </w:pPr>
      <w:r>
        <w:rPr>
          <w:color w:val="auto"/>
          <w:spacing w:val="-3"/>
          <w:w w:val="95"/>
          <w:sz w:val="32"/>
        </w:rPr>
        <w:t xml:space="preserve">除财政部、海关总署、国家税务总局另有规定外，试 </w:t>
      </w:r>
      <w:r>
        <w:rPr>
          <w:color w:val="auto"/>
          <w:spacing w:val="-5"/>
          <w:w w:val="95"/>
          <w:sz w:val="32"/>
        </w:rPr>
        <w:t xml:space="preserve">点企业适用区外关税、增值税、消费税的法律、法规等现行 </w:t>
      </w:r>
      <w:r>
        <w:rPr>
          <w:color w:val="auto"/>
          <w:spacing w:val="-5"/>
          <w:sz w:val="32"/>
        </w:rPr>
        <w:t>规定。</w:t>
      </w:r>
    </w:p>
    <w:p>
      <w:pPr>
        <w:pStyle w:val="12"/>
        <w:keepNext w:val="0"/>
        <w:keepLines w:val="0"/>
        <w:pageBreakBefore w:val="0"/>
        <w:widowControl w:val="0"/>
        <w:numPr>
          <w:ilvl w:val="1"/>
          <w:numId w:val="11"/>
        </w:numPr>
        <w:tabs>
          <w:tab w:val="left" w:pos="1283"/>
        </w:tabs>
        <w:kinsoku/>
        <w:wordWrap/>
        <w:overflowPunct/>
        <w:topLinePunct w:val="0"/>
        <w:autoSpaceDE w:val="0"/>
        <w:autoSpaceDN w:val="0"/>
        <w:bidi w:val="0"/>
        <w:adjustRightInd/>
        <w:snapToGrid/>
        <w:spacing w:before="2" w:after="0" w:line="364" w:lineRule="auto"/>
        <w:ind w:left="320" w:right="379" w:firstLine="640"/>
        <w:jc w:val="both"/>
        <w:textAlignment w:val="auto"/>
        <w:rPr>
          <w:color w:val="auto"/>
          <w:sz w:val="32"/>
        </w:rPr>
      </w:pPr>
      <w:r>
        <w:rPr>
          <w:color w:val="auto"/>
          <w:spacing w:val="-1"/>
          <w:sz w:val="32"/>
        </w:rPr>
        <w:t>区外销售给试点企业的加工贸易货物，继续按现行税</w:t>
      </w:r>
      <w:r>
        <w:rPr>
          <w:color w:val="auto"/>
          <w:spacing w:val="5"/>
          <w:sz w:val="32"/>
        </w:rPr>
        <w:t>收政策执行;销售给试点企业的其他货物</w:t>
      </w:r>
      <w:r>
        <w:rPr>
          <w:color w:val="auto"/>
          <w:spacing w:val="7"/>
          <w:sz w:val="32"/>
        </w:rPr>
        <w:t>（</w:t>
      </w:r>
      <w:r>
        <w:rPr>
          <w:color w:val="auto"/>
          <w:spacing w:val="5"/>
          <w:sz w:val="32"/>
        </w:rPr>
        <w:t>包括水、蒸汽、</w:t>
      </w:r>
      <w:r>
        <w:rPr>
          <w:color w:val="auto"/>
          <w:spacing w:val="-10"/>
          <w:w w:val="95"/>
          <w:sz w:val="32"/>
        </w:rPr>
        <w:t>电力、燃气</w:t>
      </w:r>
      <w:r>
        <w:rPr>
          <w:color w:val="auto"/>
          <w:spacing w:val="-55"/>
          <w:w w:val="95"/>
          <w:sz w:val="32"/>
        </w:rPr>
        <w:t>）</w:t>
      </w:r>
      <w:r>
        <w:rPr>
          <w:color w:val="auto"/>
          <w:spacing w:val="-6"/>
          <w:w w:val="95"/>
          <w:sz w:val="32"/>
        </w:rPr>
        <w:t xml:space="preserve">不再适用出口退税政策，按照规定缴纳增值税、 </w:t>
      </w:r>
      <w:r>
        <w:rPr>
          <w:color w:val="auto"/>
          <w:spacing w:val="-6"/>
          <w:sz w:val="32"/>
        </w:rPr>
        <w:t>消费税。</w:t>
      </w:r>
    </w:p>
    <w:p>
      <w:pPr>
        <w:keepNext w:val="0"/>
        <w:keepLines w:val="0"/>
        <w:pageBreakBefore w:val="0"/>
        <w:widowControl w:val="0"/>
        <w:kinsoku/>
        <w:wordWrap/>
        <w:overflowPunct/>
        <w:topLinePunct w:val="0"/>
        <w:autoSpaceDE w:val="0"/>
        <w:autoSpaceDN w:val="0"/>
        <w:bidi w:val="0"/>
        <w:adjustRightInd/>
        <w:snapToGrid/>
        <w:spacing w:before="3"/>
        <w:ind w:left="320" w:right="0" w:firstLine="0"/>
        <w:jc w:val="both"/>
        <w:textAlignment w:val="auto"/>
        <w:rPr>
          <w:rFonts w:hint="eastAsia" w:ascii="宋体" w:eastAsia="宋体"/>
          <w:b/>
          <w:color w:val="auto"/>
          <w:sz w:val="32"/>
        </w:rPr>
      </w:pPr>
      <w:r>
        <w:rPr>
          <w:rFonts w:hint="eastAsia" w:ascii="宋体" w:eastAsia="宋体"/>
          <w:b/>
          <w:color w:val="auto"/>
          <w:sz w:val="32"/>
        </w:rPr>
        <w:t>【适用条件】</w:t>
      </w:r>
    </w:p>
    <w:p>
      <w:pPr>
        <w:pStyle w:val="12"/>
        <w:keepNext w:val="0"/>
        <w:keepLines w:val="0"/>
        <w:pageBreakBefore w:val="0"/>
        <w:widowControl w:val="0"/>
        <w:numPr>
          <w:ilvl w:val="0"/>
          <w:numId w:val="15"/>
        </w:numPr>
        <w:tabs>
          <w:tab w:val="left" w:pos="1283"/>
        </w:tabs>
        <w:kinsoku/>
        <w:wordWrap/>
        <w:overflowPunct/>
        <w:topLinePunct w:val="0"/>
        <w:autoSpaceDE w:val="0"/>
        <w:autoSpaceDN w:val="0"/>
        <w:bidi w:val="0"/>
        <w:adjustRightInd/>
        <w:snapToGrid/>
        <w:spacing w:before="214" w:after="0" w:line="364" w:lineRule="auto"/>
        <w:ind w:left="320" w:right="540" w:firstLine="640"/>
        <w:jc w:val="both"/>
        <w:textAlignment w:val="auto"/>
        <w:rPr>
          <w:color w:val="auto"/>
          <w:sz w:val="32"/>
        </w:rPr>
      </w:pPr>
      <w:r>
        <w:rPr>
          <w:color w:val="auto"/>
          <w:spacing w:val="-1"/>
          <w:w w:val="95"/>
          <w:sz w:val="32"/>
        </w:rPr>
        <w:t xml:space="preserve">在完成一般纳税人资格试点备案的综合保税区内，符 </w:t>
      </w:r>
      <w:r>
        <w:rPr>
          <w:color w:val="auto"/>
          <w:spacing w:val="-2"/>
          <w:sz w:val="32"/>
        </w:rPr>
        <w:t>合增值税一般纳税人登记管理有关规定，且已向综合保税区</w:t>
      </w:r>
      <w:r>
        <w:rPr>
          <w:color w:val="auto"/>
          <w:spacing w:val="-5"/>
          <w:sz w:val="32"/>
        </w:rPr>
        <w:t>所在地主管税务机关、海关申请成为试点企业，并按规定向</w:t>
      </w:r>
      <w:r>
        <w:rPr>
          <w:color w:val="auto"/>
          <w:sz w:val="32"/>
        </w:rPr>
        <w:t>主管税务机关办理增值税一般纳税人资格登记。</w:t>
      </w:r>
    </w:p>
    <w:p>
      <w:pPr>
        <w:pStyle w:val="12"/>
        <w:keepNext w:val="0"/>
        <w:keepLines w:val="0"/>
        <w:pageBreakBefore w:val="0"/>
        <w:widowControl w:val="0"/>
        <w:numPr>
          <w:ilvl w:val="0"/>
          <w:numId w:val="15"/>
        </w:numPr>
        <w:tabs>
          <w:tab w:val="left" w:pos="1283"/>
        </w:tabs>
        <w:kinsoku/>
        <w:wordWrap/>
        <w:overflowPunct/>
        <w:topLinePunct w:val="0"/>
        <w:autoSpaceDE w:val="0"/>
        <w:autoSpaceDN w:val="0"/>
        <w:bidi w:val="0"/>
        <w:adjustRightInd/>
        <w:snapToGrid/>
        <w:spacing w:before="4" w:after="0" w:line="364" w:lineRule="auto"/>
        <w:ind w:left="320" w:right="525" w:firstLine="640"/>
        <w:jc w:val="both"/>
        <w:textAlignment w:val="auto"/>
        <w:rPr>
          <w:color w:val="auto"/>
          <w:sz w:val="32"/>
        </w:rPr>
      </w:pPr>
      <w:r>
        <w:rPr>
          <w:color w:val="auto"/>
          <w:spacing w:val="-1"/>
          <w:w w:val="95"/>
          <w:sz w:val="32"/>
        </w:rPr>
        <w:t xml:space="preserve">一般纳税人资格试点推广实行备案管理。符合下列条 </w:t>
      </w:r>
      <w:r>
        <w:rPr>
          <w:color w:val="auto"/>
          <w:spacing w:val="-3"/>
          <w:w w:val="95"/>
          <w:sz w:val="32"/>
        </w:rPr>
        <w:t xml:space="preserve">件的综合保税区，由所在地省级税务、财政部门和直属海关 </w:t>
      </w:r>
      <w:r>
        <w:rPr>
          <w:color w:val="auto"/>
          <w:spacing w:val="-4"/>
          <w:w w:val="95"/>
          <w:sz w:val="32"/>
        </w:rPr>
        <w:t>将一般纳税人资格试点实施方案</w:t>
      </w:r>
      <w:r>
        <w:rPr>
          <w:color w:val="auto"/>
          <w:w w:val="95"/>
          <w:sz w:val="32"/>
        </w:rPr>
        <w:t>（</w:t>
      </w:r>
      <w:r>
        <w:rPr>
          <w:color w:val="auto"/>
          <w:spacing w:val="-1"/>
          <w:w w:val="95"/>
          <w:sz w:val="32"/>
        </w:rPr>
        <w:t xml:space="preserve">包括综合保税区名称、企 业申请需求、政策实施准备条件等情况）向国家税务总局、 财政部和海关总署备案后，可以开展一般纳税人资格试点： </w:t>
      </w:r>
      <w:r>
        <w:rPr>
          <w:color w:val="auto"/>
          <w:spacing w:val="13"/>
          <w:w w:val="95"/>
          <w:sz w:val="32"/>
        </w:rPr>
        <w:t>一是综合保税区内企业确有开展一般纳税人资格试点</w:t>
      </w:r>
    </w:p>
    <w:p>
      <w:pPr>
        <w:pStyle w:val="4"/>
        <w:keepNext w:val="0"/>
        <w:keepLines w:val="0"/>
        <w:pageBreakBefore w:val="0"/>
        <w:widowControl w:val="0"/>
        <w:kinsoku/>
        <w:wordWrap/>
        <w:overflowPunct/>
        <w:topLinePunct w:val="0"/>
        <w:autoSpaceDE w:val="0"/>
        <w:autoSpaceDN w:val="0"/>
        <w:bidi w:val="0"/>
        <w:adjustRightInd/>
        <w:snapToGrid/>
        <w:spacing w:before="4"/>
        <w:ind w:firstLine="0"/>
        <w:jc w:val="both"/>
        <w:textAlignment w:val="auto"/>
        <w:rPr>
          <w:color w:val="auto"/>
        </w:rPr>
      </w:pPr>
      <w:r>
        <w:rPr>
          <w:color w:val="auto"/>
        </w:rPr>
        <w:t>的需求。</w:t>
      </w:r>
    </w:p>
    <w:p>
      <w:pPr>
        <w:pStyle w:val="4"/>
        <w:keepNext w:val="0"/>
        <w:keepLines w:val="0"/>
        <w:pageBreakBefore w:val="0"/>
        <w:widowControl w:val="0"/>
        <w:kinsoku/>
        <w:wordWrap/>
        <w:overflowPunct/>
        <w:topLinePunct w:val="0"/>
        <w:autoSpaceDE w:val="0"/>
        <w:autoSpaceDN w:val="0"/>
        <w:bidi w:val="0"/>
        <w:adjustRightInd/>
        <w:snapToGrid/>
        <w:spacing w:line="364" w:lineRule="auto"/>
        <w:ind w:right="379"/>
        <w:jc w:val="both"/>
        <w:textAlignment w:val="auto"/>
        <w:rPr>
          <w:color w:val="auto"/>
        </w:rPr>
      </w:pPr>
      <w:r>
        <w:rPr>
          <w:color w:val="auto"/>
        </w:rPr>
        <w:t>二是所在地市（地）级人民政府牵头建立了综合保税区</w:t>
      </w:r>
      <w:r>
        <w:rPr>
          <w:color w:val="auto"/>
          <w:w w:val="95"/>
        </w:rPr>
        <w:t>行政管理机构、税务、海关等部门协同推进试点的工作机制。</w:t>
      </w:r>
    </w:p>
    <w:p>
      <w:pPr>
        <w:pStyle w:val="4"/>
        <w:keepNext w:val="0"/>
        <w:keepLines w:val="0"/>
        <w:pageBreakBefore w:val="0"/>
        <w:widowControl w:val="0"/>
        <w:kinsoku/>
        <w:wordWrap/>
        <w:overflowPunct/>
        <w:topLinePunct w:val="0"/>
        <w:autoSpaceDE w:val="0"/>
        <w:autoSpaceDN w:val="0"/>
        <w:bidi w:val="0"/>
        <w:adjustRightInd/>
        <w:snapToGrid/>
        <w:spacing w:before="2"/>
        <w:ind w:left="960" w:firstLine="0"/>
        <w:jc w:val="both"/>
        <w:textAlignment w:val="auto"/>
        <w:rPr>
          <w:color w:val="auto"/>
        </w:rPr>
      </w:pPr>
      <w:r>
        <w:rPr>
          <w:color w:val="auto"/>
        </w:rPr>
        <w:t>三是综合保税区主管税务机关和海关建立了一般纳税</w:t>
      </w:r>
    </w:p>
    <w:p>
      <w:pPr>
        <w:pStyle w:val="4"/>
        <w:keepNext w:val="0"/>
        <w:keepLines w:val="0"/>
        <w:pageBreakBefore w:val="0"/>
        <w:widowControl w:val="0"/>
        <w:kinsoku/>
        <w:wordWrap/>
        <w:overflowPunct/>
        <w:topLinePunct w:val="0"/>
        <w:autoSpaceDE w:val="0"/>
        <w:autoSpaceDN w:val="0"/>
        <w:bidi w:val="0"/>
        <w:adjustRightInd/>
        <w:snapToGrid/>
        <w:spacing w:before="30"/>
        <w:ind w:firstLine="0"/>
        <w:jc w:val="both"/>
        <w:textAlignment w:val="auto"/>
        <w:rPr>
          <w:color w:val="auto"/>
        </w:rPr>
      </w:pPr>
      <w:r>
        <w:rPr>
          <w:color w:val="auto"/>
        </w:rPr>
        <w:t>人资格试点工作相关的联合监管和信息共享机制。</w:t>
      </w:r>
    </w:p>
    <w:p>
      <w:pPr>
        <w:pStyle w:val="4"/>
        <w:keepNext w:val="0"/>
        <w:keepLines w:val="0"/>
        <w:pageBreakBefore w:val="0"/>
        <w:widowControl w:val="0"/>
        <w:kinsoku/>
        <w:wordWrap/>
        <w:overflowPunct/>
        <w:topLinePunct w:val="0"/>
        <w:autoSpaceDE w:val="0"/>
        <w:autoSpaceDN w:val="0"/>
        <w:bidi w:val="0"/>
        <w:adjustRightInd/>
        <w:snapToGrid/>
        <w:spacing w:line="364" w:lineRule="auto"/>
        <w:ind w:right="537"/>
        <w:jc w:val="both"/>
        <w:textAlignment w:val="auto"/>
        <w:rPr>
          <w:color w:val="auto"/>
        </w:rPr>
      </w:pPr>
      <w:r>
        <w:rPr>
          <w:color w:val="auto"/>
          <w:spacing w:val="13"/>
          <w:w w:val="95"/>
        </w:rPr>
        <w:t xml:space="preserve">四是综合保税区主管税务机关具备开展业务的工作条 </w:t>
      </w:r>
      <w:r>
        <w:rPr>
          <w:color w:val="auto"/>
          <w:spacing w:val="-1"/>
          <w:w w:val="95"/>
        </w:rPr>
        <w:t xml:space="preserve">件，明确专门机构或人员负责纳税服务、税收征管等相关工 </w:t>
      </w:r>
      <w:r>
        <w:rPr>
          <w:color w:val="auto"/>
          <w:spacing w:val="-1"/>
        </w:rPr>
        <w:t>作。</w:t>
      </w:r>
    </w:p>
    <w:p>
      <w:pPr>
        <w:keepNext w:val="0"/>
        <w:keepLines w:val="0"/>
        <w:pageBreakBefore w:val="0"/>
        <w:widowControl w:val="0"/>
        <w:kinsoku/>
        <w:wordWrap/>
        <w:overflowPunct/>
        <w:topLinePunct w:val="0"/>
        <w:autoSpaceDE w:val="0"/>
        <w:autoSpaceDN w:val="0"/>
        <w:bidi w:val="0"/>
        <w:adjustRightInd/>
        <w:snapToGrid/>
        <w:spacing w:before="2"/>
        <w:ind w:left="320" w:right="0" w:firstLine="0"/>
        <w:jc w:val="both"/>
        <w:textAlignment w:val="auto"/>
        <w:rPr>
          <w:rFonts w:hint="eastAsia" w:ascii="宋体" w:eastAsia="宋体"/>
          <w:b/>
          <w:color w:val="auto"/>
          <w:sz w:val="32"/>
        </w:rPr>
      </w:pPr>
      <w:r>
        <w:rPr>
          <w:rFonts w:hint="eastAsia" w:ascii="宋体" w:eastAsia="宋体"/>
          <w:b/>
          <w:color w:val="auto"/>
          <w:sz w:val="32"/>
        </w:rPr>
        <w:t>【政策依据】</w:t>
      </w:r>
    </w:p>
    <w:p>
      <w:pPr>
        <w:pStyle w:val="4"/>
        <w:keepNext w:val="0"/>
        <w:keepLines w:val="0"/>
        <w:pageBreakBefore w:val="0"/>
        <w:widowControl w:val="0"/>
        <w:kinsoku/>
        <w:wordWrap/>
        <w:overflowPunct/>
        <w:topLinePunct w:val="0"/>
        <w:autoSpaceDE w:val="0"/>
        <w:autoSpaceDN w:val="0"/>
        <w:bidi w:val="0"/>
        <w:adjustRightInd/>
        <w:snapToGrid/>
        <w:spacing w:before="236" w:line="326" w:lineRule="auto"/>
        <w:ind w:right="379"/>
        <w:jc w:val="both"/>
        <w:textAlignment w:val="auto"/>
        <w:rPr>
          <w:rFonts w:hint="eastAsia" w:ascii="黑体" w:eastAsia="黑体"/>
          <w:color w:val="auto"/>
        </w:rPr>
      </w:pPr>
      <w:r>
        <w:rPr>
          <w:rFonts w:hint="eastAsia" w:ascii="黑体" w:eastAsia="黑体"/>
          <w:color w:val="auto"/>
          <w:spacing w:val="9"/>
        </w:rPr>
        <w:t>《国家税务总局 财政部 海关总署关于在综合保税区</w:t>
      </w:r>
      <w:r>
        <w:rPr>
          <w:rFonts w:hint="eastAsia" w:ascii="黑体" w:eastAsia="黑体"/>
          <w:color w:val="auto"/>
          <w:spacing w:val="3"/>
        </w:rPr>
        <w:t>推广增值税一般纳税人资格试点的公告》</w:t>
      </w:r>
      <w:r>
        <w:rPr>
          <w:rFonts w:hint="eastAsia" w:ascii="黑体" w:eastAsia="黑体"/>
          <w:color w:val="auto"/>
        </w:rPr>
        <w:t>（2019</w:t>
      </w:r>
      <w:r>
        <w:rPr>
          <w:rFonts w:hint="eastAsia" w:ascii="黑体" w:eastAsia="黑体"/>
          <w:color w:val="auto"/>
          <w:spacing w:val="-43"/>
        </w:rPr>
        <w:t xml:space="preserve"> 年第 </w:t>
      </w:r>
      <w:r>
        <w:rPr>
          <w:rFonts w:hint="eastAsia" w:ascii="黑体" w:eastAsia="黑体"/>
          <w:color w:val="auto"/>
        </w:rPr>
        <w:t>29</w:t>
      </w:r>
      <w:r>
        <w:rPr>
          <w:rFonts w:hint="eastAsia" w:ascii="黑体" w:eastAsia="黑体"/>
          <w:color w:val="auto"/>
          <w:spacing w:val="-42"/>
        </w:rPr>
        <w:t xml:space="preserve"> 号</w:t>
      </w:r>
      <w:r>
        <w:rPr>
          <w:rFonts w:hint="eastAsia" w:ascii="黑体" w:eastAsia="黑体"/>
          <w:color w:val="auto"/>
        </w:rPr>
        <w:t>）</w:t>
      </w:r>
    </w:p>
    <w:p>
      <w:pPr>
        <w:pStyle w:val="12"/>
        <w:keepNext w:val="0"/>
        <w:keepLines w:val="0"/>
        <w:pageBreakBefore w:val="0"/>
        <w:widowControl w:val="0"/>
        <w:numPr>
          <w:ilvl w:val="0"/>
          <w:numId w:val="11"/>
        </w:numPr>
        <w:tabs>
          <w:tab w:val="left" w:pos="644"/>
        </w:tabs>
        <w:kinsoku/>
        <w:wordWrap/>
        <w:overflowPunct/>
        <w:topLinePunct w:val="0"/>
        <w:autoSpaceDE w:val="0"/>
        <w:autoSpaceDN w:val="0"/>
        <w:bidi w:val="0"/>
        <w:adjustRightInd/>
        <w:snapToGrid/>
        <w:spacing w:before="0" w:after="0" w:line="240" w:lineRule="auto"/>
        <w:ind w:left="643" w:right="0" w:hanging="324"/>
        <w:jc w:val="both"/>
        <w:textAlignment w:val="auto"/>
        <w:rPr>
          <w:rFonts w:hint="eastAsia" w:ascii="宋体" w:eastAsia="宋体"/>
          <w:b/>
          <w:color w:val="auto"/>
          <w:sz w:val="32"/>
        </w:rPr>
      </w:pPr>
      <w:bookmarkStart w:id="6" w:name="_TOC_250043"/>
      <w:bookmarkEnd w:id="6"/>
      <w:r>
        <w:rPr>
          <w:rFonts w:hint="eastAsia" w:ascii="宋体" w:eastAsia="宋体"/>
          <w:b/>
          <w:color w:val="auto"/>
          <w:sz w:val="32"/>
        </w:rPr>
        <w:t>融资租赁货物出口退税政策</w:t>
      </w:r>
    </w:p>
    <w:p>
      <w:pPr>
        <w:keepNext w:val="0"/>
        <w:keepLines w:val="0"/>
        <w:pageBreakBefore w:val="0"/>
        <w:widowControl w:val="0"/>
        <w:kinsoku/>
        <w:wordWrap/>
        <w:overflowPunct/>
        <w:topLinePunct w:val="0"/>
        <w:autoSpaceDE w:val="0"/>
        <w:autoSpaceDN w:val="0"/>
        <w:bidi w:val="0"/>
        <w:adjustRightInd/>
        <w:snapToGrid/>
        <w:spacing w:before="214"/>
        <w:ind w:left="320" w:right="0" w:firstLine="0"/>
        <w:jc w:val="both"/>
        <w:textAlignment w:val="auto"/>
        <w:rPr>
          <w:rFonts w:hint="eastAsia" w:ascii="宋体" w:eastAsia="宋体"/>
          <w:b/>
          <w:color w:val="auto"/>
          <w:sz w:val="32"/>
        </w:rPr>
      </w:pPr>
      <w:r>
        <w:rPr>
          <w:rFonts w:hint="eastAsia" w:ascii="宋体" w:eastAsia="宋体"/>
          <w:b/>
          <w:color w:val="auto"/>
          <w:sz w:val="32"/>
        </w:rPr>
        <w:t>【适用主体】</w:t>
      </w:r>
    </w:p>
    <w:p>
      <w:pPr>
        <w:pStyle w:val="4"/>
        <w:keepNext w:val="0"/>
        <w:keepLines w:val="0"/>
        <w:pageBreakBefore w:val="0"/>
        <w:widowControl w:val="0"/>
        <w:kinsoku/>
        <w:wordWrap/>
        <w:overflowPunct/>
        <w:topLinePunct w:val="0"/>
        <w:autoSpaceDE w:val="0"/>
        <w:autoSpaceDN w:val="0"/>
        <w:bidi w:val="0"/>
        <w:adjustRightInd/>
        <w:snapToGrid/>
        <w:spacing w:line="364" w:lineRule="auto"/>
        <w:ind w:right="493"/>
        <w:jc w:val="both"/>
        <w:textAlignment w:val="auto"/>
        <w:rPr>
          <w:color w:val="auto"/>
        </w:rPr>
      </w:pPr>
      <w:r>
        <w:rPr>
          <w:color w:val="auto"/>
        </w:rPr>
        <w:t>符合条件的融资租赁企业、金融租赁公司及其设立的项目子公司（以下统称融资租赁出租方）</w:t>
      </w:r>
    </w:p>
    <w:p>
      <w:pPr>
        <w:keepNext w:val="0"/>
        <w:keepLines w:val="0"/>
        <w:pageBreakBefore w:val="0"/>
        <w:widowControl w:val="0"/>
        <w:kinsoku/>
        <w:wordWrap/>
        <w:overflowPunct/>
        <w:topLinePunct w:val="0"/>
        <w:autoSpaceDE w:val="0"/>
        <w:autoSpaceDN w:val="0"/>
        <w:bidi w:val="0"/>
        <w:adjustRightInd/>
        <w:snapToGrid/>
        <w:spacing w:before="2"/>
        <w:ind w:left="320" w:right="0" w:firstLine="0"/>
        <w:jc w:val="both"/>
        <w:textAlignment w:val="auto"/>
        <w:rPr>
          <w:rFonts w:hint="eastAsia" w:ascii="宋体" w:eastAsia="宋体"/>
          <w:b/>
          <w:color w:val="auto"/>
          <w:sz w:val="32"/>
        </w:rPr>
      </w:pPr>
      <w:r>
        <w:rPr>
          <w:rFonts w:hint="eastAsia" w:ascii="宋体" w:eastAsia="宋体"/>
          <w:b/>
          <w:color w:val="auto"/>
          <w:sz w:val="32"/>
        </w:rPr>
        <w:t>【政策内容】</w:t>
      </w:r>
    </w:p>
    <w:p>
      <w:pPr>
        <w:pStyle w:val="4"/>
        <w:keepNext w:val="0"/>
        <w:keepLines w:val="0"/>
        <w:pageBreakBefore w:val="0"/>
        <w:widowControl w:val="0"/>
        <w:kinsoku/>
        <w:wordWrap/>
        <w:overflowPunct/>
        <w:topLinePunct w:val="0"/>
        <w:autoSpaceDE w:val="0"/>
        <w:autoSpaceDN w:val="0"/>
        <w:bidi w:val="0"/>
        <w:adjustRightInd/>
        <w:snapToGrid/>
        <w:ind w:left="960" w:firstLine="0"/>
        <w:jc w:val="both"/>
        <w:textAlignment w:val="auto"/>
        <w:rPr>
          <w:color w:val="auto"/>
        </w:rPr>
      </w:pPr>
      <w:r>
        <w:rPr>
          <w:color w:val="auto"/>
          <w:spacing w:val="-41"/>
        </w:rPr>
        <w:t xml:space="preserve">自 </w:t>
      </w:r>
      <w:r>
        <w:rPr>
          <w:color w:val="auto"/>
        </w:rPr>
        <w:t>2014</w:t>
      </w:r>
      <w:r>
        <w:rPr>
          <w:color w:val="auto"/>
          <w:spacing w:val="-54"/>
        </w:rPr>
        <w:t xml:space="preserve"> 年 </w:t>
      </w:r>
      <w:r>
        <w:rPr>
          <w:color w:val="auto"/>
        </w:rPr>
        <w:t>10</w:t>
      </w:r>
      <w:r>
        <w:rPr>
          <w:color w:val="auto"/>
          <w:spacing w:val="-55"/>
        </w:rPr>
        <w:t xml:space="preserve"> 月 </w:t>
      </w:r>
      <w:r>
        <w:rPr>
          <w:color w:val="auto"/>
        </w:rPr>
        <w:t>1</w:t>
      </w:r>
      <w:r>
        <w:rPr>
          <w:color w:val="auto"/>
          <w:spacing w:val="-11"/>
        </w:rPr>
        <w:t xml:space="preserve"> 日起，对融资租赁出租方以融资租赁</w:t>
      </w:r>
    </w:p>
    <w:p>
      <w:pPr>
        <w:pStyle w:val="4"/>
        <w:keepNext w:val="0"/>
        <w:keepLines w:val="0"/>
        <w:pageBreakBefore w:val="0"/>
        <w:widowControl w:val="0"/>
        <w:kinsoku/>
        <w:wordWrap/>
        <w:overflowPunct/>
        <w:topLinePunct w:val="0"/>
        <w:autoSpaceDE w:val="0"/>
        <w:autoSpaceDN w:val="0"/>
        <w:bidi w:val="0"/>
        <w:adjustRightInd/>
        <w:snapToGrid/>
        <w:spacing w:line="364" w:lineRule="auto"/>
        <w:ind w:right="525" w:firstLine="0"/>
        <w:jc w:val="both"/>
        <w:textAlignment w:val="auto"/>
        <w:rPr>
          <w:color w:val="auto"/>
        </w:rPr>
      </w:pPr>
      <w:r>
        <w:rPr>
          <w:color w:val="auto"/>
          <w:spacing w:val="-5"/>
        </w:rPr>
        <w:t xml:space="preserve">方式租赁给境外承租人且租赁期限在 </w:t>
      </w:r>
      <w:r>
        <w:rPr>
          <w:color w:val="auto"/>
        </w:rPr>
        <w:t>5</w:t>
      </w:r>
      <w:r>
        <w:rPr>
          <w:color w:val="auto"/>
          <w:spacing w:val="-45"/>
        </w:rPr>
        <w:t xml:space="preserve"> 年</w:t>
      </w:r>
      <w:r>
        <w:rPr>
          <w:color w:val="auto"/>
        </w:rPr>
        <w:t>（含</w:t>
      </w:r>
      <w:r>
        <w:rPr>
          <w:color w:val="auto"/>
          <w:spacing w:val="-5"/>
        </w:rPr>
        <w:t>）</w:t>
      </w:r>
      <w:r>
        <w:rPr>
          <w:color w:val="auto"/>
          <w:spacing w:val="-2"/>
        </w:rPr>
        <w:t>以上，并向海关报关后实际离境的符合相关规定的货物，试行增值税、消费税出口退税政策。</w:t>
      </w:r>
    </w:p>
    <w:p>
      <w:pPr>
        <w:pStyle w:val="4"/>
        <w:keepNext w:val="0"/>
        <w:keepLines w:val="0"/>
        <w:pageBreakBefore w:val="0"/>
        <w:widowControl w:val="0"/>
        <w:kinsoku/>
        <w:wordWrap/>
        <w:overflowPunct/>
        <w:topLinePunct w:val="0"/>
        <w:autoSpaceDE w:val="0"/>
        <w:autoSpaceDN w:val="0"/>
        <w:bidi w:val="0"/>
        <w:adjustRightInd/>
        <w:snapToGrid/>
        <w:spacing w:before="2" w:line="364" w:lineRule="auto"/>
        <w:ind w:right="537"/>
        <w:jc w:val="both"/>
        <w:textAlignment w:val="auto"/>
        <w:rPr>
          <w:color w:val="auto"/>
        </w:rPr>
      </w:pPr>
      <w:r>
        <w:rPr>
          <w:color w:val="auto"/>
          <w:spacing w:val="-1"/>
        </w:rPr>
        <w:t>对融资租赁出租方购买的，并以融资租赁方式租赁给境</w:t>
      </w:r>
      <w:r>
        <w:rPr>
          <w:color w:val="auto"/>
          <w:spacing w:val="-5"/>
        </w:rPr>
        <w:t xml:space="preserve">内列名海上石油天然气开采企业且租赁期限在 </w:t>
      </w:r>
      <w:r>
        <w:rPr>
          <w:color w:val="auto"/>
        </w:rPr>
        <w:t>5</w:t>
      </w:r>
      <w:r>
        <w:rPr>
          <w:color w:val="auto"/>
          <w:spacing w:val="-46"/>
        </w:rPr>
        <w:t xml:space="preserve"> 年</w:t>
      </w:r>
      <w:r>
        <w:rPr>
          <w:color w:val="auto"/>
        </w:rPr>
        <w:t>（含</w:t>
      </w:r>
      <w:r>
        <w:rPr>
          <w:color w:val="auto"/>
          <w:spacing w:val="-7"/>
        </w:rPr>
        <w:t>）</w:t>
      </w:r>
      <w:r>
        <w:rPr>
          <w:color w:val="auto"/>
        </w:rPr>
        <w:t>以</w:t>
      </w:r>
      <w:r>
        <w:rPr>
          <w:color w:val="auto"/>
          <w:spacing w:val="-2"/>
        </w:rPr>
        <w:t>上的国内生产企业生产的海洋工程结构物，视同出口，试行增值税、消费税出口退税政策。</w:t>
      </w:r>
    </w:p>
    <w:p>
      <w:pPr>
        <w:pStyle w:val="4"/>
        <w:keepNext w:val="0"/>
        <w:keepLines w:val="0"/>
        <w:pageBreakBefore w:val="0"/>
        <w:widowControl w:val="0"/>
        <w:kinsoku/>
        <w:wordWrap/>
        <w:overflowPunct/>
        <w:topLinePunct w:val="0"/>
        <w:autoSpaceDE w:val="0"/>
        <w:autoSpaceDN w:val="0"/>
        <w:bidi w:val="0"/>
        <w:adjustRightInd/>
        <w:snapToGrid/>
        <w:spacing w:before="3"/>
        <w:ind w:left="960" w:firstLine="0"/>
        <w:jc w:val="both"/>
        <w:textAlignment w:val="auto"/>
        <w:rPr>
          <w:color w:val="auto"/>
        </w:rPr>
      </w:pPr>
      <w:r>
        <w:rPr>
          <w:color w:val="auto"/>
        </w:rPr>
        <w:t>融资租赁出租方将融资租赁出口货物租赁给境外承租</w:t>
      </w:r>
    </w:p>
    <w:p>
      <w:pPr>
        <w:pStyle w:val="4"/>
        <w:keepNext w:val="0"/>
        <w:keepLines w:val="0"/>
        <w:pageBreakBefore w:val="0"/>
        <w:widowControl w:val="0"/>
        <w:kinsoku/>
        <w:wordWrap/>
        <w:overflowPunct/>
        <w:topLinePunct w:val="0"/>
        <w:autoSpaceDE w:val="0"/>
        <w:autoSpaceDN w:val="0"/>
        <w:bidi w:val="0"/>
        <w:adjustRightInd/>
        <w:snapToGrid/>
        <w:spacing w:before="30" w:line="364" w:lineRule="auto"/>
        <w:ind w:right="525" w:firstLine="0"/>
        <w:jc w:val="both"/>
        <w:textAlignment w:val="auto"/>
        <w:rPr>
          <w:color w:val="auto"/>
        </w:rPr>
      </w:pPr>
      <w:r>
        <w:rPr>
          <w:color w:val="auto"/>
          <w:spacing w:val="-3"/>
        </w:rPr>
        <w:t>方、将融资租赁海洋工程结构物租赁给海上石油天然气开采企业，向融资租赁出租方退还其购进租赁货物所含增值税。</w:t>
      </w:r>
      <w:r>
        <w:rPr>
          <w:color w:val="auto"/>
          <w:spacing w:val="-5"/>
        </w:rPr>
        <w:t>融资租赁出口货物、融资租赁海洋工程结构物属于消费税应</w:t>
      </w:r>
      <w:r>
        <w:rPr>
          <w:color w:val="auto"/>
          <w:spacing w:val="11"/>
          <w:w w:val="95"/>
        </w:rPr>
        <w:t xml:space="preserve">税消费品的，向融资租赁出租方退还前一环节已征的消费 </w:t>
      </w:r>
      <w:r>
        <w:rPr>
          <w:color w:val="auto"/>
          <w:spacing w:val="11"/>
        </w:rPr>
        <w:t>税。</w:t>
      </w:r>
    </w:p>
    <w:p>
      <w:pPr>
        <w:keepNext w:val="0"/>
        <w:keepLines w:val="0"/>
        <w:pageBreakBefore w:val="0"/>
        <w:widowControl w:val="0"/>
        <w:kinsoku/>
        <w:wordWrap/>
        <w:overflowPunct/>
        <w:topLinePunct w:val="0"/>
        <w:autoSpaceDE w:val="0"/>
        <w:autoSpaceDN w:val="0"/>
        <w:bidi w:val="0"/>
        <w:adjustRightInd/>
        <w:snapToGrid/>
        <w:spacing w:before="4"/>
        <w:ind w:left="320" w:right="0" w:firstLine="0"/>
        <w:jc w:val="both"/>
        <w:textAlignment w:val="auto"/>
        <w:rPr>
          <w:rFonts w:hint="eastAsia" w:ascii="宋体" w:eastAsia="宋体"/>
          <w:b/>
          <w:color w:val="auto"/>
          <w:sz w:val="32"/>
        </w:rPr>
      </w:pPr>
      <w:r>
        <w:rPr>
          <w:rFonts w:hint="eastAsia" w:ascii="宋体" w:eastAsia="宋体"/>
          <w:b/>
          <w:color w:val="auto"/>
          <w:sz w:val="32"/>
        </w:rPr>
        <w:t>【适用条件】</w:t>
      </w:r>
    </w:p>
    <w:p>
      <w:pPr>
        <w:pStyle w:val="12"/>
        <w:keepNext w:val="0"/>
        <w:keepLines w:val="0"/>
        <w:pageBreakBefore w:val="0"/>
        <w:widowControl w:val="0"/>
        <w:numPr>
          <w:ilvl w:val="1"/>
          <w:numId w:val="11"/>
        </w:numPr>
        <w:tabs>
          <w:tab w:val="left" w:pos="1283"/>
        </w:tabs>
        <w:kinsoku/>
        <w:wordWrap/>
        <w:overflowPunct/>
        <w:topLinePunct w:val="0"/>
        <w:autoSpaceDE w:val="0"/>
        <w:autoSpaceDN w:val="0"/>
        <w:bidi w:val="0"/>
        <w:adjustRightInd/>
        <w:snapToGrid/>
        <w:spacing w:before="214" w:after="0" w:line="364" w:lineRule="auto"/>
        <w:ind w:left="320" w:right="540" w:firstLine="640"/>
        <w:jc w:val="both"/>
        <w:textAlignment w:val="auto"/>
        <w:rPr>
          <w:color w:val="auto"/>
          <w:sz w:val="32"/>
        </w:rPr>
      </w:pPr>
      <w:r>
        <w:rPr>
          <w:color w:val="auto"/>
          <w:spacing w:val="-3"/>
          <w:w w:val="95"/>
          <w:sz w:val="32"/>
        </w:rPr>
        <w:t xml:space="preserve">融资租赁企业，是指经商务部批准设立的外商投资融 </w:t>
      </w:r>
      <w:r>
        <w:rPr>
          <w:color w:val="auto"/>
          <w:spacing w:val="-5"/>
          <w:sz w:val="32"/>
        </w:rPr>
        <w:t>资租赁公司、经商务部和国家税务总局共同批准开展融资业</w:t>
      </w:r>
      <w:r>
        <w:rPr>
          <w:color w:val="auto"/>
          <w:spacing w:val="-6"/>
          <w:sz w:val="32"/>
        </w:rPr>
        <w:t>务试点的内资融资租赁企业、经商务部授权的省级商务主管部门和国家经济技术开发区批准的融资租赁公司。</w:t>
      </w:r>
    </w:p>
    <w:p>
      <w:pPr>
        <w:pStyle w:val="4"/>
        <w:keepNext w:val="0"/>
        <w:keepLines w:val="0"/>
        <w:pageBreakBefore w:val="0"/>
        <w:widowControl w:val="0"/>
        <w:kinsoku/>
        <w:wordWrap/>
        <w:overflowPunct/>
        <w:topLinePunct w:val="0"/>
        <w:autoSpaceDE w:val="0"/>
        <w:autoSpaceDN w:val="0"/>
        <w:bidi w:val="0"/>
        <w:adjustRightInd/>
        <w:snapToGrid/>
        <w:spacing w:before="3" w:line="364" w:lineRule="auto"/>
        <w:ind w:right="495"/>
        <w:jc w:val="both"/>
        <w:textAlignment w:val="auto"/>
        <w:rPr>
          <w:color w:val="auto"/>
        </w:rPr>
      </w:pPr>
      <w:r>
        <w:rPr>
          <w:color w:val="auto"/>
        </w:rPr>
        <w:t>金融租赁公司，是指中国银行业监督管理委员会批准设立的金融租赁公司。</w:t>
      </w:r>
    </w:p>
    <w:p>
      <w:pPr>
        <w:pStyle w:val="12"/>
        <w:keepNext w:val="0"/>
        <w:keepLines w:val="0"/>
        <w:pageBreakBefore w:val="0"/>
        <w:widowControl w:val="0"/>
        <w:numPr>
          <w:ilvl w:val="1"/>
          <w:numId w:val="11"/>
        </w:numPr>
        <w:tabs>
          <w:tab w:val="left" w:pos="1283"/>
        </w:tabs>
        <w:kinsoku/>
        <w:wordWrap/>
        <w:overflowPunct/>
        <w:topLinePunct w:val="0"/>
        <w:autoSpaceDE w:val="0"/>
        <w:autoSpaceDN w:val="0"/>
        <w:bidi w:val="0"/>
        <w:adjustRightInd/>
        <w:snapToGrid/>
        <w:spacing w:before="2" w:after="0" w:line="364" w:lineRule="auto"/>
        <w:ind w:left="320" w:right="525" w:firstLine="640"/>
        <w:jc w:val="both"/>
        <w:textAlignment w:val="auto"/>
        <w:rPr>
          <w:color w:val="auto"/>
          <w:sz w:val="32"/>
        </w:rPr>
      </w:pPr>
      <w:r>
        <w:rPr>
          <w:color w:val="auto"/>
          <w:w w:val="95"/>
          <w:sz w:val="32"/>
        </w:rPr>
        <w:t xml:space="preserve">融资租赁出口货物的范围，包括飞机、飞机发动机、 </w:t>
      </w:r>
      <w:r>
        <w:rPr>
          <w:color w:val="auto"/>
          <w:spacing w:val="-21"/>
          <w:sz w:val="32"/>
        </w:rPr>
        <w:t>铁道机车、铁道客车车厢、船舶及其他货物，具体应符合《中</w:t>
      </w:r>
      <w:r>
        <w:rPr>
          <w:color w:val="auto"/>
          <w:spacing w:val="-19"/>
          <w:sz w:val="32"/>
        </w:rPr>
        <w:t>华人民共和国增值税暂行条例实施细则》(财政部 国家税务</w:t>
      </w:r>
      <w:r>
        <w:rPr>
          <w:color w:val="auto"/>
          <w:spacing w:val="-32"/>
          <w:sz w:val="32"/>
        </w:rPr>
        <w:t xml:space="preserve">总局令第 </w:t>
      </w:r>
      <w:r>
        <w:rPr>
          <w:color w:val="auto"/>
          <w:sz w:val="32"/>
        </w:rPr>
        <w:t>50</w:t>
      </w:r>
      <w:r>
        <w:rPr>
          <w:color w:val="auto"/>
          <w:spacing w:val="-10"/>
          <w:sz w:val="32"/>
        </w:rPr>
        <w:t xml:space="preserve"> 号)第二十一条“固定资产”的相关规定。</w:t>
      </w:r>
    </w:p>
    <w:p>
      <w:pPr>
        <w:pStyle w:val="4"/>
        <w:keepNext w:val="0"/>
        <w:keepLines w:val="0"/>
        <w:pageBreakBefore w:val="0"/>
        <w:widowControl w:val="0"/>
        <w:kinsoku/>
        <w:wordWrap/>
        <w:overflowPunct/>
        <w:topLinePunct w:val="0"/>
        <w:autoSpaceDE w:val="0"/>
        <w:autoSpaceDN w:val="0"/>
        <w:bidi w:val="0"/>
        <w:adjustRightInd/>
        <w:snapToGrid/>
        <w:spacing w:before="3" w:line="364" w:lineRule="auto"/>
        <w:ind w:right="537"/>
        <w:jc w:val="both"/>
        <w:textAlignment w:val="auto"/>
        <w:rPr>
          <w:color w:val="auto"/>
        </w:rPr>
      </w:pPr>
      <w:r>
        <w:rPr>
          <w:color w:val="auto"/>
          <w:spacing w:val="-2"/>
        </w:rPr>
        <w:t>海洋工程结构物范围、退税率以及海上石油天然气开采</w:t>
      </w:r>
      <w:r>
        <w:rPr>
          <w:color w:val="auto"/>
          <w:spacing w:val="2"/>
        </w:rPr>
        <w:t>企业的具体范围按照《财政部 国家税务总局关于出口货物</w:t>
      </w:r>
      <w:r>
        <w:rPr>
          <w:color w:val="auto"/>
          <w:spacing w:val="-3"/>
        </w:rPr>
        <w:t>劳务增值税和消费税政策的通知》(财税〔</w:t>
      </w:r>
      <w:r>
        <w:rPr>
          <w:color w:val="auto"/>
        </w:rPr>
        <w:t>2012</w:t>
      </w:r>
      <w:r>
        <w:rPr>
          <w:color w:val="auto"/>
          <w:spacing w:val="-29"/>
        </w:rPr>
        <w:t>〕</w:t>
      </w:r>
      <w:r>
        <w:rPr>
          <w:color w:val="auto"/>
        </w:rPr>
        <w:t>39</w:t>
      </w:r>
      <w:r>
        <w:rPr>
          <w:color w:val="auto"/>
          <w:spacing w:val="-20"/>
        </w:rPr>
        <w:t xml:space="preserve"> 号)有关规定执行。</w:t>
      </w:r>
    </w:p>
    <w:p>
      <w:pPr>
        <w:pStyle w:val="4"/>
        <w:keepNext w:val="0"/>
        <w:keepLines w:val="0"/>
        <w:pageBreakBefore w:val="0"/>
        <w:widowControl w:val="0"/>
        <w:kinsoku/>
        <w:wordWrap/>
        <w:overflowPunct/>
        <w:topLinePunct w:val="0"/>
        <w:autoSpaceDE w:val="0"/>
        <w:autoSpaceDN w:val="0"/>
        <w:bidi w:val="0"/>
        <w:adjustRightInd/>
        <w:snapToGrid/>
        <w:spacing w:before="3" w:line="364" w:lineRule="auto"/>
        <w:ind w:right="537"/>
        <w:jc w:val="both"/>
        <w:textAlignment w:val="auto"/>
        <w:rPr>
          <w:color w:val="auto"/>
        </w:rPr>
      </w:pPr>
      <w:r>
        <w:rPr>
          <w:color w:val="auto"/>
          <w:spacing w:val="13"/>
          <w:w w:val="95"/>
        </w:rPr>
        <w:t xml:space="preserve">上述融资租赁出口货物和融资租赁海洋工程结构物不 </w:t>
      </w:r>
      <w:r>
        <w:rPr>
          <w:color w:val="auto"/>
          <w:spacing w:val="13"/>
        </w:rPr>
        <w:t>包括在海关监管年限内的进口减免税货物。</w:t>
      </w:r>
    </w:p>
    <w:p>
      <w:pPr>
        <w:keepNext w:val="0"/>
        <w:keepLines w:val="0"/>
        <w:pageBreakBefore w:val="0"/>
        <w:widowControl w:val="0"/>
        <w:kinsoku/>
        <w:wordWrap/>
        <w:overflowPunct/>
        <w:topLinePunct w:val="0"/>
        <w:autoSpaceDE w:val="0"/>
        <w:autoSpaceDN w:val="0"/>
        <w:bidi w:val="0"/>
        <w:adjustRightInd/>
        <w:snapToGrid/>
        <w:spacing w:before="30"/>
        <w:ind w:left="320" w:right="0" w:firstLine="0"/>
        <w:jc w:val="both"/>
        <w:textAlignment w:val="auto"/>
        <w:rPr>
          <w:rFonts w:hint="eastAsia" w:ascii="宋体" w:eastAsia="宋体"/>
          <w:b/>
          <w:color w:val="auto"/>
          <w:sz w:val="32"/>
        </w:rPr>
      </w:pPr>
      <w:r>
        <w:rPr>
          <w:rFonts w:hint="eastAsia" w:ascii="宋体" w:eastAsia="宋体"/>
          <w:b/>
          <w:color w:val="auto"/>
          <w:sz w:val="32"/>
        </w:rPr>
        <w:t>【政策依据】</w:t>
      </w:r>
    </w:p>
    <w:p>
      <w:pPr>
        <w:pStyle w:val="12"/>
        <w:keepNext w:val="0"/>
        <w:keepLines w:val="0"/>
        <w:pageBreakBefore w:val="0"/>
        <w:widowControl w:val="0"/>
        <w:numPr>
          <w:ilvl w:val="0"/>
          <w:numId w:val="16"/>
        </w:numPr>
        <w:tabs>
          <w:tab w:val="left" w:pos="1283"/>
        </w:tabs>
        <w:kinsoku/>
        <w:wordWrap/>
        <w:overflowPunct/>
        <w:topLinePunct w:val="0"/>
        <w:autoSpaceDE w:val="0"/>
        <w:autoSpaceDN w:val="0"/>
        <w:bidi w:val="0"/>
        <w:adjustRightInd/>
        <w:snapToGrid/>
        <w:spacing w:before="235" w:after="0" w:line="326" w:lineRule="auto"/>
        <w:ind w:left="320" w:right="379" w:firstLine="640"/>
        <w:jc w:val="both"/>
        <w:textAlignment w:val="auto"/>
        <w:rPr>
          <w:rFonts w:hint="eastAsia" w:ascii="黑体" w:eastAsia="黑体"/>
          <w:color w:val="auto"/>
          <w:sz w:val="32"/>
        </w:rPr>
      </w:pPr>
      <w:r>
        <w:rPr>
          <w:rFonts w:hint="eastAsia" w:ascii="黑体" w:eastAsia="黑体"/>
          <w:color w:val="auto"/>
          <w:spacing w:val="-2"/>
          <w:sz w:val="32"/>
        </w:rPr>
        <w:t>《财政部 海关总署 国家税务总局关于在全国开展融</w:t>
      </w:r>
      <w:r>
        <w:rPr>
          <w:rFonts w:hint="eastAsia" w:ascii="黑体" w:eastAsia="黑体"/>
          <w:color w:val="auto"/>
          <w:spacing w:val="-10"/>
          <w:sz w:val="32"/>
        </w:rPr>
        <w:t>资租赁货物出口退税政策试点的通知》</w:t>
      </w:r>
      <w:r>
        <w:rPr>
          <w:rFonts w:hint="eastAsia" w:ascii="黑体" w:eastAsia="黑体"/>
          <w:color w:val="auto"/>
          <w:sz w:val="32"/>
        </w:rPr>
        <w:t>（</w:t>
      </w:r>
      <w:r>
        <w:rPr>
          <w:rFonts w:hint="eastAsia" w:ascii="黑体" w:eastAsia="黑体"/>
          <w:color w:val="auto"/>
          <w:spacing w:val="-22"/>
          <w:sz w:val="32"/>
        </w:rPr>
        <w:t>财税〔</w:t>
      </w:r>
      <w:r>
        <w:rPr>
          <w:rFonts w:hint="eastAsia" w:ascii="黑体" w:eastAsia="黑体"/>
          <w:color w:val="auto"/>
          <w:sz w:val="32"/>
        </w:rPr>
        <w:t>2014</w:t>
      </w:r>
      <w:r>
        <w:rPr>
          <w:rFonts w:hint="eastAsia" w:ascii="黑体" w:eastAsia="黑体"/>
          <w:color w:val="auto"/>
          <w:spacing w:val="-63"/>
          <w:sz w:val="32"/>
        </w:rPr>
        <w:t>〕</w:t>
      </w:r>
      <w:r>
        <w:rPr>
          <w:rFonts w:hint="eastAsia" w:ascii="黑体" w:eastAsia="黑体"/>
          <w:color w:val="auto"/>
          <w:sz w:val="32"/>
        </w:rPr>
        <w:t>62</w:t>
      </w:r>
      <w:r>
        <w:rPr>
          <w:rFonts w:hint="eastAsia" w:ascii="黑体" w:eastAsia="黑体"/>
          <w:color w:val="auto"/>
          <w:spacing w:val="-47"/>
          <w:sz w:val="32"/>
        </w:rPr>
        <w:t xml:space="preserve"> 号</w:t>
      </w:r>
      <w:r>
        <w:rPr>
          <w:rFonts w:hint="eastAsia" w:ascii="黑体" w:eastAsia="黑体"/>
          <w:color w:val="auto"/>
          <w:sz w:val="32"/>
        </w:rPr>
        <w:t>）</w:t>
      </w:r>
    </w:p>
    <w:p>
      <w:pPr>
        <w:pStyle w:val="12"/>
        <w:keepNext w:val="0"/>
        <w:keepLines w:val="0"/>
        <w:pageBreakBefore w:val="0"/>
        <w:widowControl w:val="0"/>
        <w:numPr>
          <w:ilvl w:val="0"/>
          <w:numId w:val="16"/>
        </w:numPr>
        <w:tabs>
          <w:tab w:val="left" w:pos="1283"/>
        </w:tabs>
        <w:kinsoku/>
        <w:wordWrap/>
        <w:overflowPunct/>
        <w:topLinePunct w:val="0"/>
        <w:autoSpaceDE w:val="0"/>
        <w:autoSpaceDN w:val="0"/>
        <w:bidi w:val="0"/>
        <w:adjustRightInd/>
        <w:snapToGrid/>
        <w:spacing w:before="4" w:after="0" w:line="328" w:lineRule="auto"/>
        <w:ind w:left="320" w:right="379" w:firstLine="640"/>
        <w:jc w:val="both"/>
        <w:textAlignment w:val="auto"/>
        <w:rPr>
          <w:rFonts w:hint="eastAsia" w:ascii="黑体" w:eastAsia="黑体"/>
          <w:color w:val="auto"/>
          <w:sz w:val="32"/>
        </w:rPr>
      </w:pPr>
      <w:r>
        <w:rPr>
          <w:rFonts w:hint="eastAsia" w:ascii="黑体" w:eastAsia="黑体"/>
          <w:color w:val="auto"/>
          <w:spacing w:val="-1"/>
          <w:sz w:val="32"/>
        </w:rPr>
        <w:t>《国家税务总局关于发布〈融资租赁货物出口退税管</w:t>
      </w:r>
      <w:r>
        <w:rPr>
          <w:rFonts w:hint="eastAsia" w:ascii="黑体" w:eastAsia="黑体"/>
          <w:color w:val="auto"/>
          <w:spacing w:val="-23"/>
          <w:sz w:val="32"/>
        </w:rPr>
        <w:t>理办法〉的公告》</w:t>
      </w:r>
      <w:r>
        <w:rPr>
          <w:rFonts w:hint="eastAsia" w:ascii="黑体" w:eastAsia="黑体"/>
          <w:color w:val="auto"/>
          <w:spacing w:val="-3"/>
          <w:sz w:val="32"/>
        </w:rPr>
        <w:t>（</w:t>
      </w:r>
      <w:r>
        <w:rPr>
          <w:rFonts w:hint="eastAsia" w:ascii="黑体" w:eastAsia="黑体"/>
          <w:color w:val="auto"/>
          <w:spacing w:val="-10"/>
          <w:sz w:val="32"/>
        </w:rPr>
        <w:t xml:space="preserve">国家税务总局公告 </w:t>
      </w:r>
      <w:r>
        <w:rPr>
          <w:rFonts w:hint="eastAsia" w:ascii="黑体" w:eastAsia="黑体"/>
          <w:color w:val="auto"/>
          <w:sz w:val="32"/>
        </w:rPr>
        <w:t>2014</w:t>
      </w:r>
      <w:r>
        <w:rPr>
          <w:rFonts w:hint="eastAsia" w:ascii="黑体" w:eastAsia="黑体"/>
          <w:color w:val="auto"/>
          <w:spacing w:val="-42"/>
          <w:sz w:val="32"/>
        </w:rPr>
        <w:t xml:space="preserve"> 年第 </w:t>
      </w:r>
      <w:r>
        <w:rPr>
          <w:rFonts w:hint="eastAsia" w:ascii="黑体" w:eastAsia="黑体"/>
          <w:color w:val="auto"/>
          <w:sz w:val="32"/>
        </w:rPr>
        <w:t>56</w:t>
      </w:r>
      <w:r>
        <w:rPr>
          <w:rFonts w:hint="eastAsia" w:ascii="黑体" w:eastAsia="黑体"/>
          <w:color w:val="auto"/>
          <w:spacing w:val="-17"/>
          <w:sz w:val="32"/>
        </w:rPr>
        <w:t xml:space="preserve"> 号发布，</w:t>
      </w:r>
    </w:p>
    <w:p>
      <w:pPr>
        <w:pStyle w:val="4"/>
        <w:keepNext w:val="0"/>
        <w:keepLines w:val="0"/>
        <w:pageBreakBefore w:val="0"/>
        <w:widowControl w:val="0"/>
        <w:kinsoku/>
        <w:wordWrap/>
        <w:overflowPunct/>
        <w:topLinePunct w:val="0"/>
        <w:autoSpaceDE w:val="0"/>
        <w:autoSpaceDN w:val="0"/>
        <w:bidi w:val="0"/>
        <w:adjustRightInd/>
        <w:snapToGrid/>
        <w:spacing w:before="0" w:line="407" w:lineRule="exact"/>
        <w:ind w:firstLine="0"/>
        <w:jc w:val="both"/>
        <w:textAlignment w:val="auto"/>
        <w:rPr>
          <w:rFonts w:hint="eastAsia" w:ascii="黑体" w:eastAsia="黑体"/>
          <w:color w:val="auto"/>
        </w:rPr>
      </w:pPr>
      <w:r>
        <w:rPr>
          <w:rFonts w:hint="eastAsia" w:ascii="黑体" w:eastAsia="黑体"/>
          <w:color w:val="auto"/>
        </w:rPr>
        <w:t>国家税务总局公告 2018 年第 31 号修改）</w:t>
      </w:r>
    </w:p>
    <w:p>
      <w:pPr>
        <w:pStyle w:val="12"/>
        <w:keepNext w:val="0"/>
        <w:keepLines w:val="0"/>
        <w:pageBreakBefore w:val="0"/>
        <w:widowControl w:val="0"/>
        <w:numPr>
          <w:ilvl w:val="0"/>
          <w:numId w:val="16"/>
        </w:numPr>
        <w:tabs>
          <w:tab w:val="left" w:pos="1283"/>
        </w:tabs>
        <w:kinsoku/>
        <w:wordWrap/>
        <w:overflowPunct/>
        <w:topLinePunct w:val="0"/>
        <w:autoSpaceDE w:val="0"/>
        <w:autoSpaceDN w:val="0"/>
        <w:bidi w:val="0"/>
        <w:adjustRightInd/>
        <w:snapToGrid/>
        <w:spacing w:before="149" w:after="0" w:line="328" w:lineRule="auto"/>
        <w:ind w:left="320" w:right="540" w:firstLine="640"/>
        <w:jc w:val="both"/>
        <w:textAlignment w:val="auto"/>
        <w:rPr>
          <w:rFonts w:hint="eastAsia" w:ascii="黑体" w:eastAsia="黑体"/>
          <w:color w:val="auto"/>
          <w:sz w:val="32"/>
        </w:rPr>
      </w:pPr>
      <w:r>
        <w:rPr>
          <w:rFonts w:hint="eastAsia" w:ascii="黑体" w:eastAsia="黑体"/>
          <w:color w:val="auto"/>
          <w:spacing w:val="-3"/>
          <w:sz w:val="32"/>
        </w:rPr>
        <w:t>《财政部 海关总署 国家税务总局关于融资租赁货物</w:t>
      </w:r>
      <w:r>
        <w:rPr>
          <w:rFonts w:hint="eastAsia" w:ascii="黑体" w:eastAsia="黑体"/>
          <w:color w:val="auto"/>
          <w:sz w:val="32"/>
        </w:rPr>
        <w:t>出口退税政策有关问题的通知》（财税〔2016〕87</w:t>
      </w:r>
      <w:r>
        <w:rPr>
          <w:rFonts w:hint="eastAsia" w:ascii="黑体" w:eastAsia="黑体"/>
          <w:color w:val="auto"/>
          <w:spacing w:val="-41"/>
          <w:sz w:val="32"/>
        </w:rPr>
        <w:t xml:space="preserve"> 号</w:t>
      </w:r>
      <w:r>
        <w:rPr>
          <w:rFonts w:hint="eastAsia" w:ascii="黑体" w:eastAsia="黑体"/>
          <w:color w:val="auto"/>
          <w:sz w:val="32"/>
        </w:rPr>
        <w:t>）</w:t>
      </w:r>
    </w:p>
    <w:p>
      <w:pPr>
        <w:pStyle w:val="12"/>
        <w:keepNext w:val="0"/>
        <w:keepLines w:val="0"/>
        <w:pageBreakBefore w:val="0"/>
        <w:widowControl w:val="0"/>
        <w:numPr>
          <w:ilvl w:val="0"/>
          <w:numId w:val="11"/>
        </w:numPr>
        <w:tabs>
          <w:tab w:val="left" w:pos="644"/>
        </w:tabs>
        <w:kinsoku/>
        <w:wordWrap/>
        <w:overflowPunct/>
        <w:topLinePunct w:val="0"/>
        <w:autoSpaceDE w:val="0"/>
        <w:autoSpaceDN w:val="0"/>
        <w:bidi w:val="0"/>
        <w:adjustRightInd/>
        <w:snapToGrid/>
        <w:spacing w:before="0" w:after="0" w:line="240" w:lineRule="auto"/>
        <w:ind w:left="643" w:right="0" w:hanging="324"/>
        <w:jc w:val="both"/>
        <w:textAlignment w:val="auto"/>
        <w:rPr>
          <w:rFonts w:hint="eastAsia" w:ascii="宋体" w:eastAsia="宋体"/>
          <w:b/>
          <w:color w:val="auto"/>
          <w:sz w:val="32"/>
        </w:rPr>
      </w:pPr>
      <w:bookmarkStart w:id="7" w:name="_TOC_250042"/>
      <w:bookmarkEnd w:id="7"/>
      <w:r>
        <w:rPr>
          <w:rFonts w:hint="eastAsia" w:ascii="宋体" w:eastAsia="宋体"/>
          <w:b/>
          <w:color w:val="auto"/>
          <w:sz w:val="32"/>
        </w:rPr>
        <w:t>启运港退税政策</w:t>
      </w:r>
    </w:p>
    <w:p>
      <w:pPr>
        <w:keepNext w:val="0"/>
        <w:keepLines w:val="0"/>
        <w:pageBreakBefore w:val="0"/>
        <w:widowControl w:val="0"/>
        <w:kinsoku/>
        <w:wordWrap/>
        <w:overflowPunct/>
        <w:topLinePunct w:val="0"/>
        <w:autoSpaceDE w:val="0"/>
        <w:autoSpaceDN w:val="0"/>
        <w:bidi w:val="0"/>
        <w:adjustRightInd/>
        <w:snapToGrid/>
        <w:spacing w:before="214"/>
        <w:ind w:left="320" w:right="0" w:firstLine="0"/>
        <w:jc w:val="both"/>
        <w:textAlignment w:val="auto"/>
        <w:rPr>
          <w:rFonts w:hint="eastAsia" w:ascii="宋体" w:eastAsia="宋体"/>
          <w:b/>
          <w:color w:val="auto"/>
          <w:sz w:val="32"/>
        </w:rPr>
      </w:pPr>
      <w:r>
        <w:rPr>
          <w:rFonts w:hint="eastAsia" w:ascii="宋体" w:eastAsia="宋体"/>
          <w:b/>
          <w:color w:val="auto"/>
          <w:sz w:val="32"/>
        </w:rPr>
        <w:t>【适用主体】</w:t>
      </w:r>
    </w:p>
    <w:p>
      <w:pPr>
        <w:pStyle w:val="4"/>
        <w:keepNext w:val="0"/>
        <w:keepLines w:val="0"/>
        <w:pageBreakBefore w:val="0"/>
        <w:widowControl w:val="0"/>
        <w:kinsoku/>
        <w:wordWrap/>
        <w:overflowPunct/>
        <w:topLinePunct w:val="0"/>
        <w:autoSpaceDE w:val="0"/>
        <w:autoSpaceDN w:val="0"/>
        <w:bidi w:val="0"/>
        <w:adjustRightInd/>
        <w:snapToGrid/>
        <w:spacing w:line="364" w:lineRule="auto"/>
        <w:ind w:right="495"/>
        <w:jc w:val="both"/>
        <w:textAlignment w:val="auto"/>
        <w:rPr>
          <w:color w:val="auto"/>
        </w:rPr>
      </w:pPr>
      <w:r>
        <w:rPr>
          <w:color w:val="auto"/>
        </w:rPr>
        <w:t>从启运地口岸启运报关出口，自离境地口岸离境出口集装箱货物的出口企业。</w:t>
      </w:r>
    </w:p>
    <w:p>
      <w:pPr>
        <w:keepNext w:val="0"/>
        <w:keepLines w:val="0"/>
        <w:pageBreakBefore w:val="0"/>
        <w:widowControl w:val="0"/>
        <w:kinsoku/>
        <w:wordWrap/>
        <w:overflowPunct/>
        <w:topLinePunct w:val="0"/>
        <w:autoSpaceDE w:val="0"/>
        <w:autoSpaceDN w:val="0"/>
        <w:bidi w:val="0"/>
        <w:adjustRightInd/>
        <w:snapToGrid/>
        <w:spacing w:before="2"/>
        <w:ind w:left="320" w:right="0" w:firstLine="0"/>
        <w:jc w:val="both"/>
        <w:textAlignment w:val="auto"/>
        <w:rPr>
          <w:rFonts w:hint="eastAsia" w:ascii="宋体" w:eastAsia="宋体"/>
          <w:b/>
          <w:color w:val="auto"/>
          <w:sz w:val="32"/>
        </w:rPr>
      </w:pPr>
      <w:r>
        <w:rPr>
          <w:rFonts w:hint="eastAsia" w:ascii="宋体" w:eastAsia="宋体"/>
          <w:b/>
          <w:color w:val="auto"/>
          <w:sz w:val="32"/>
        </w:rPr>
        <w:t>【政策内容】</w:t>
      </w:r>
    </w:p>
    <w:p>
      <w:pPr>
        <w:pStyle w:val="12"/>
        <w:keepNext w:val="0"/>
        <w:keepLines w:val="0"/>
        <w:pageBreakBefore w:val="0"/>
        <w:widowControl w:val="0"/>
        <w:numPr>
          <w:ilvl w:val="1"/>
          <w:numId w:val="11"/>
        </w:numPr>
        <w:tabs>
          <w:tab w:val="left" w:pos="1283"/>
        </w:tabs>
        <w:kinsoku/>
        <w:wordWrap/>
        <w:overflowPunct/>
        <w:topLinePunct w:val="0"/>
        <w:autoSpaceDE w:val="0"/>
        <w:autoSpaceDN w:val="0"/>
        <w:bidi w:val="0"/>
        <w:adjustRightInd/>
        <w:snapToGrid/>
        <w:spacing w:before="214" w:after="0" w:line="240" w:lineRule="auto"/>
        <w:ind w:left="1282" w:right="0" w:hanging="323"/>
        <w:jc w:val="both"/>
        <w:textAlignment w:val="auto"/>
        <w:rPr>
          <w:color w:val="auto"/>
          <w:sz w:val="32"/>
        </w:rPr>
      </w:pPr>
      <w:r>
        <w:rPr>
          <w:color w:val="auto"/>
          <w:sz w:val="32"/>
        </w:rPr>
        <w:t>水路启运港退税政策</w:t>
      </w:r>
    </w:p>
    <w:p>
      <w:pPr>
        <w:pStyle w:val="4"/>
        <w:keepNext w:val="0"/>
        <w:keepLines w:val="0"/>
        <w:pageBreakBefore w:val="0"/>
        <w:widowControl w:val="0"/>
        <w:kinsoku/>
        <w:wordWrap/>
        <w:overflowPunct/>
        <w:topLinePunct w:val="0"/>
        <w:autoSpaceDE w:val="0"/>
        <w:autoSpaceDN w:val="0"/>
        <w:bidi w:val="0"/>
        <w:adjustRightInd/>
        <w:snapToGrid/>
        <w:spacing w:line="364" w:lineRule="auto"/>
        <w:ind w:right="525"/>
        <w:jc w:val="both"/>
        <w:textAlignment w:val="auto"/>
        <w:rPr>
          <w:color w:val="auto"/>
        </w:rPr>
      </w:pPr>
      <w:r>
        <w:rPr>
          <w:color w:val="auto"/>
        </w:rPr>
        <w:t xml:space="preserve">对符合条件的出口企业从启运地口岸（以下称启运港） </w:t>
      </w:r>
      <w:r>
        <w:rPr>
          <w:color w:val="auto"/>
          <w:spacing w:val="-2"/>
        </w:rPr>
        <w:t>启运报关出口，由符合条件的运输企业承运，从水路转关直</w:t>
      </w:r>
      <w:r>
        <w:rPr>
          <w:color w:val="auto"/>
          <w:spacing w:val="-3"/>
        </w:rPr>
        <w:t>航或经停指定口岸</w:t>
      </w:r>
      <w:r>
        <w:rPr>
          <w:color w:val="auto"/>
        </w:rPr>
        <w:t>（以下称经停港</w:t>
      </w:r>
      <w:r>
        <w:rPr>
          <w:color w:val="auto"/>
          <w:spacing w:val="-4"/>
        </w:rPr>
        <w:t>）</w:t>
      </w:r>
      <w:r>
        <w:rPr>
          <w:color w:val="auto"/>
          <w:spacing w:val="-2"/>
        </w:rPr>
        <w:t>，自离境地口岸</w:t>
      </w:r>
      <w:r>
        <w:rPr>
          <w:color w:val="auto"/>
        </w:rPr>
        <w:t>（以下称离境港）离境的集装箱货物，实行启运港退税政策。</w:t>
      </w:r>
    </w:p>
    <w:p>
      <w:pPr>
        <w:pStyle w:val="4"/>
        <w:keepNext w:val="0"/>
        <w:keepLines w:val="0"/>
        <w:pageBreakBefore w:val="0"/>
        <w:widowControl w:val="0"/>
        <w:kinsoku/>
        <w:wordWrap/>
        <w:overflowPunct/>
        <w:topLinePunct w:val="0"/>
        <w:autoSpaceDE w:val="0"/>
        <w:autoSpaceDN w:val="0"/>
        <w:bidi w:val="0"/>
        <w:adjustRightInd/>
        <w:snapToGrid/>
        <w:spacing w:before="3" w:line="364" w:lineRule="auto"/>
        <w:ind w:right="379"/>
        <w:jc w:val="both"/>
        <w:textAlignment w:val="auto"/>
        <w:rPr>
          <w:color w:val="auto"/>
        </w:rPr>
      </w:pPr>
      <w:r>
        <w:rPr>
          <w:color w:val="auto"/>
          <w:spacing w:val="-2"/>
        </w:rPr>
        <w:t>对从经停港报关出口、由符合条件的运输企业途中加装</w:t>
      </w:r>
      <w:r>
        <w:rPr>
          <w:color w:val="auto"/>
          <w:spacing w:val="-15"/>
          <w:w w:val="95"/>
        </w:rPr>
        <w:t xml:space="preserve">的集装箱货物，符合上述规定的运输方式、离境地点要求的， </w:t>
      </w:r>
      <w:r>
        <w:rPr>
          <w:color w:val="auto"/>
          <w:spacing w:val="-15"/>
        </w:rPr>
        <w:t>以经停港作为货物的启运港，也实行启运港退税政策。</w:t>
      </w:r>
    </w:p>
    <w:p>
      <w:pPr>
        <w:pStyle w:val="12"/>
        <w:keepNext w:val="0"/>
        <w:keepLines w:val="0"/>
        <w:pageBreakBefore w:val="0"/>
        <w:widowControl w:val="0"/>
        <w:numPr>
          <w:ilvl w:val="1"/>
          <w:numId w:val="11"/>
        </w:numPr>
        <w:tabs>
          <w:tab w:val="left" w:pos="1283"/>
        </w:tabs>
        <w:kinsoku/>
        <w:wordWrap/>
        <w:overflowPunct/>
        <w:topLinePunct w:val="0"/>
        <w:autoSpaceDE w:val="0"/>
        <w:autoSpaceDN w:val="0"/>
        <w:bidi w:val="0"/>
        <w:adjustRightInd/>
        <w:snapToGrid/>
        <w:spacing w:before="2" w:after="0" w:line="240" w:lineRule="auto"/>
        <w:ind w:left="1282" w:right="0" w:hanging="323"/>
        <w:jc w:val="both"/>
        <w:textAlignment w:val="auto"/>
        <w:rPr>
          <w:color w:val="auto"/>
          <w:sz w:val="32"/>
        </w:rPr>
      </w:pPr>
      <w:r>
        <w:rPr>
          <w:color w:val="auto"/>
          <w:sz w:val="32"/>
        </w:rPr>
        <w:t>陆路启运港退税政策</w:t>
      </w:r>
    </w:p>
    <w:p>
      <w:pPr>
        <w:pStyle w:val="4"/>
        <w:keepNext w:val="0"/>
        <w:keepLines w:val="0"/>
        <w:pageBreakBefore w:val="0"/>
        <w:widowControl w:val="0"/>
        <w:kinsoku/>
        <w:wordWrap/>
        <w:overflowPunct/>
        <w:topLinePunct w:val="0"/>
        <w:autoSpaceDE w:val="0"/>
        <w:autoSpaceDN w:val="0"/>
        <w:bidi w:val="0"/>
        <w:adjustRightInd/>
        <w:snapToGrid/>
        <w:spacing w:before="30" w:line="364" w:lineRule="auto"/>
        <w:ind w:right="537"/>
        <w:jc w:val="both"/>
        <w:textAlignment w:val="auto"/>
        <w:rPr>
          <w:color w:val="auto"/>
        </w:rPr>
      </w:pPr>
      <w:r>
        <w:rPr>
          <w:color w:val="auto"/>
          <w:spacing w:val="-2"/>
        </w:rPr>
        <w:t>对符合条件的出口企业，从启运港启运报关出口，由中</w:t>
      </w:r>
      <w:r>
        <w:rPr>
          <w:color w:val="auto"/>
          <w:spacing w:val="-3"/>
        </w:rPr>
        <w:t>国国家铁路集团有限公司及其下属公司承运，利用火车班列</w:t>
      </w:r>
      <w:r>
        <w:rPr>
          <w:color w:val="auto"/>
          <w:spacing w:val="-5"/>
        </w:rPr>
        <w:t>或铁路货车车辆，从铁路转关运输直达离境地口岸离境的集装箱货物，实行启运港退税政策。</w:t>
      </w:r>
    </w:p>
    <w:p>
      <w:pPr>
        <w:keepNext w:val="0"/>
        <w:keepLines w:val="0"/>
        <w:pageBreakBefore w:val="0"/>
        <w:widowControl w:val="0"/>
        <w:kinsoku/>
        <w:wordWrap/>
        <w:overflowPunct/>
        <w:topLinePunct w:val="0"/>
        <w:autoSpaceDE w:val="0"/>
        <w:autoSpaceDN w:val="0"/>
        <w:bidi w:val="0"/>
        <w:adjustRightInd/>
        <w:snapToGrid/>
        <w:spacing w:before="3"/>
        <w:ind w:left="320" w:right="0" w:firstLine="0"/>
        <w:jc w:val="both"/>
        <w:textAlignment w:val="auto"/>
        <w:rPr>
          <w:rFonts w:hint="eastAsia" w:ascii="宋体" w:eastAsia="宋体"/>
          <w:b/>
          <w:color w:val="auto"/>
          <w:sz w:val="32"/>
        </w:rPr>
      </w:pPr>
      <w:r>
        <w:rPr>
          <w:rFonts w:hint="eastAsia" w:ascii="宋体" w:eastAsia="宋体"/>
          <w:b/>
          <w:color w:val="auto"/>
          <w:sz w:val="32"/>
        </w:rPr>
        <w:t>【适用条件】</w:t>
      </w:r>
    </w:p>
    <w:p>
      <w:pPr>
        <w:pStyle w:val="12"/>
        <w:keepNext w:val="0"/>
        <w:keepLines w:val="0"/>
        <w:pageBreakBefore w:val="0"/>
        <w:widowControl w:val="0"/>
        <w:numPr>
          <w:ilvl w:val="0"/>
          <w:numId w:val="17"/>
        </w:numPr>
        <w:tabs>
          <w:tab w:val="left" w:pos="1283"/>
        </w:tabs>
        <w:kinsoku/>
        <w:wordWrap/>
        <w:overflowPunct/>
        <w:topLinePunct w:val="0"/>
        <w:autoSpaceDE w:val="0"/>
        <w:autoSpaceDN w:val="0"/>
        <w:bidi w:val="0"/>
        <w:adjustRightInd/>
        <w:snapToGrid/>
        <w:spacing w:before="214" w:after="0" w:line="364" w:lineRule="auto"/>
        <w:ind w:left="320" w:right="540" w:firstLine="640"/>
        <w:jc w:val="both"/>
        <w:textAlignment w:val="auto"/>
        <w:rPr>
          <w:color w:val="auto"/>
          <w:sz w:val="32"/>
        </w:rPr>
      </w:pPr>
      <w:r>
        <w:rPr>
          <w:color w:val="auto"/>
          <w:spacing w:val="-2"/>
          <w:w w:val="95"/>
          <w:sz w:val="32"/>
        </w:rPr>
        <w:t>出口企业。出口企业的出口退</w:t>
      </w:r>
      <w:r>
        <w:rPr>
          <w:color w:val="auto"/>
          <w:w w:val="95"/>
          <w:sz w:val="32"/>
        </w:rPr>
        <w:t>（免</w:t>
      </w:r>
      <w:r>
        <w:rPr>
          <w:color w:val="auto"/>
          <w:spacing w:val="-5"/>
          <w:w w:val="95"/>
          <w:sz w:val="32"/>
        </w:rPr>
        <w:t>）</w:t>
      </w:r>
      <w:r>
        <w:rPr>
          <w:color w:val="auto"/>
          <w:w w:val="95"/>
          <w:sz w:val="32"/>
        </w:rPr>
        <w:t xml:space="preserve">税分类管理类别 </w:t>
      </w:r>
      <w:r>
        <w:rPr>
          <w:color w:val="auto"/>
          <w:spacing w:val="-3"/>
          <w:sz w:val="32"/>
        </w:rPr>
        <w:t>为一类或二类，并且在海关的信用等级为一般认证及以上企业。</w:t>
      </w:r>
    </w:p>
    <w:p>
      <w:pPr>
        <w:pStyle w:val="12"/>
        <w:keepNext w:val="0"/>
        <w:keepLines w:val="0"/>
        <w:pageBreakBefore w:val="0"/>
        <w:widowControl w:val="0"/>
        <w:numPr>
          <w:ilvl w:val="0"/>
          <w:numId w:val="17"/>
        </w:numPr>
        <w:tabs>
          <w:tab w:val="left" w:pos="1283"/>
        </w:tabs>
        <w:kinsoku/>
        <w:wordWrap/>
        <w:overflowPunct/>
        <w:topLinePunct w:val="0"/>
        <w:autoSpaceDE w:val="0"/>
        <w:autoSpaceDN w:val="0"/>
        <w:bidi w:val="0"/>
        <w:adjustRightInd/>
        <w:snapToGrid/>
        <w:spacing w:before="2" w:after="0" w:line="364" w:lineRule="auto"/>
        <w:ind w:left="320" w:right="537" w:firstLine="640"/>
        <w:jc w:val="both"/>
        <w:textAlignment w:val="auto"/>
        <w:rPr>
          <w:color w:val="auto"/>
          <w:sz w:val="32"/>
        </w:rPr>
      </w:pPr>
      <w:r>
        <w:rPr>
          <w:color w:val="auto"/>
          <w:spacing w:val="-3"/>
          <w:w w:val="95"/>
          <w:sz w:val="32"/>
        </w:rPr>
        <w:t xml:space="preserve">运输企业。运输企业为在海关的信用等级为一般信用 </w:t>
      </w:r>
      <w:r>
        <w:rPr>
          <w:color w:val="auto"/>
          <w:spacing w:val="-1"/>
          <w:sz w:val="32"/>
        </w:rPr>
        <w:t>企业或认证企业，并且纳税信用级别为</w:t>
      </w:r>
      <w:r>
        <w:rPr>
          <w:color w:val="auto"/>
          <w:sz w:val="32"/>
        </w:rPr>
        <w:t>B</w:t>
      </w:r>
      <w:r>
        <w:rPr>
          <w:color w:val="auto"/>
          <w:spacing w:val="-12"/>
          <w:sz w:val="32"/>
        </w:rPr>
        <w:t xml:space="preserve"> 级及以上的航运企</w:t>
      </w:r>
      <w:r>
        <w:rPr>
          <w:color w:val="auto"/>
          <w:spacing w:val="-5"/>
          <w:w w:val="95"/>
          <w:sz w:val="32"/>
        </w:rPr>
        <w:t xml:space="preserve">业。运输工具为配备导航定位、全程视频监控设备并且符合 </w:t>
      </w:r>
      <w:r>
        <w:rPr>
          <w:color w:val="auto"/>
          <w:spacing w:val="-6"/>
          <w:sz w:val="32"/>
        </w:rPr>
        <w:t>海关对承运海关监管货物运输工具要求的船舶，或中国国家</w:t>
      </w:r>
      <w:r>
        <w:rPr>
          <w:color w:val="auto"/>
          <w:spacing w:val="11"/>
          <w:w w:val="95"/>
          <w:sz w:val="32"/>
        </w:rPr>
        <w:t xml:space="preserve">铁路集团有限公司及其下属公司承运的火车班列或铁路货 </w:t>
      </w:r>
      <w:r>
        <w:rPr>
          <w:color w:val="auto"/>
          <w:spacing w:val="11"/>
          <w:sz w:val="32"/>
        </w:rPr>
        <w:t>车车辆。</w:t>
      </w:r>
    </w:p>
    <w:p>
      <w:pPr>
        <w:pStyle w:val="12"/>
        <w:keepNext w:val="0"/>
        <w:keepLines w:val="0"/>
        <w:pageBreakBefore w:val="0"/>
        <w:widowControl w:val="0"/>
        <w:numPr>
          <w:ilvl w:val="0"/>
          <w:numId w:val="17"/>
        </w:numPr>
        <w:tabs>
          <w:tab w:val="left" w:pos="1283"/>
        </w:tabs>
        <w:kinsoku/>
        <w:wordWrap/>
        <w:overflowPunct/>
        <w:topLinePunct w:val="0"/>
        <w:autoSpaceDE w:val="0"/>
        <w:autoSpaceDN w:val="0"/>
        <w:bidi w:val="0"/>
        <w:adjustRightInd/>
        <w:snapToGrid/>
        <w:spacing w:before="5" w:after="0" w:line="240" w:lineRule="auto"/>
        <w:ind w:left="1282" w:right="0" w:hanging="323"/>
        <w:jc w:val="both"/>
        <w:textAlignment w:val="auto"/>
        <w:rPr>
          <w:color w:val="auto"/>
          <w:sz w:val="32"/>
        </w:rPr>
      </w:pPr>
      <w:r>
        <w:rPr>
          <w:color w:val="auto"/>
          <w:sz w:val="32"/>
        </w:rPr>
        <w:t>启运港、经停港和离境港。</w:t>
      </w:r>
    </w:p>
    <w:p>
      <w:pPr>
        <w:pStyle w:val="12"/>
        <w:keepNext w:val="0"/>
        <w:keepLines w:val="0"/>
        <w:pageBreakBefore w:val="0"/>
        <w:widowControl w:val="0"/>
        <w:numPr>
          <w:ilvl w:val="0"/>
          <w:numId w:val="18"/>
        </w:numPr>
        <w:tabs>
          <w:tab w:val="left" w:pos="1761"/>
        </w:tabs>
        <w:kinsoku/>
        <w:wordWrap/>
        <w:overflowPunct/>
        <w:topLinePunct w:val="0"/>
        <w:autoSpaceDE w:val="0"/>
        <w:autoSpaceDN w:val="0"/>
        <w:bidi w:val="0"/>
        <w:adjustRightInd/>
        <w:snapToGrid/>
        <w:spacing w:before="214" w:after="0" w:line="240" w:lineRule="auto"/>
        <w:ind w:left="1760" w:right="0" w:hanging="801"/>
        <w:jc w:val="both"/>
        <w:textAlignment w:val="auto"/>
        <w:rPr>
          <w:color w:val="auto"/>
          <w:sz w:val="32"/>
        </w:rPr>
      </w:pPr>
      <w:r>
        <w:rPr>
          <w:color w:val="auto"/>
          <w:sz w:val="32"/>
        </w:rPr>
        <w:t>上海启运港退税政策</w:t>
      </w:r>
    </w:p>
    <w:p>
      <w:pPr>
        <w:pStyle w:val="4"/>
        <w:keepNext w:val="0"/>
        <w:keepLines w:val="0"/>
        <w:pageBreakBefore w:val="0"/>
        <w:widowControl w:val="0"/>
        <w:kinsoku/>
        <w:wordWrap/>
        <w:overflowPunct/>
        <w:topLinePunct w:val="0"/>
        <w:autoSpaceDE w:val="0"/>
        <w:autoSpaceDN w:val="0"/>
        <w:bidi w:val="0"/>
        <w:adjustRightInd/>
        <w:snapToGrid/>
        <w:spacing w:line="364" w:lineRule="auto"/>
        <w:ind w:right="379"/>
        <w:jc w:val="both"/>
        <w:textAlignment w:val="auto"/>
        <w:rPr>
          <w:color w:val="auto"/>
        </w:rPr>
      </w:pPr>
      <w:r>
        <w:rPr>
          <w:color w:val="auto"/>
          <w:spacing w:val="-13"/>
          <w:w w:val="95"/>
        </w:rPr>
        <w:t xml:space="preserve">启运港为武汉市阳逻港、青岛市前湾港、南京市龙潭港、 </w:t>
      </w:r>
      <w:r>
        <w:rPr>
          <w:color w:val="auto"/>
          <w:spacing w:val="-9"/>
        </w:rPr>
        <w:t>苏州市太仓港、连云港市连云港、芜湖市朱家桥港、九江市城西港、岳阳市城陵矶港、泸州市泸州港、重庆市果园港、</w:t>
      </w:r>
      <w:r>
        <w:rPr>
          <w:color w:val="auto"/>
        </w:rPr>
        <w:t>宜昌市云池港、张家港市永嘉港、南通市狼山港等 13</w:t>
      </w:r>
      <w:r>
        <w:rPr>
          <w:color w:val="auto"/>
          <w:spacing w:val="-25"/>
        </w:rPr>
        <w:t xml:space="preserve"> 个港</w:t>
      </w:r>
      <w:r>
        <w:rPr>
          <w:color w:val="auto"/>
          <w:spacing w:val="-6"/>
        </w:rPr>
        <w:t>口；离境港为上海洋山港和上海外高桥港区；上述所列启运港均可作为经停港。</w:t>
      </w:r>
    </w:p>
    <w:p>
      <w:pPr>
        <w:pStyle w:val="12"/>
        <w:keepNext w:val="0"/>
        <w:keepLines w:val="0"/>
        <w:pageBreakBefore w:val="0"/>
        <w:widowControl w:val="0"/>
        <w:numPr>
          <w:ilvl w:val="0"/>
          <w:numId w:val="18"/>
        </w:numPr>
        <w:tabs>
          <w:tab w:val="left" w:pos="1761"/>
        </w:tabs>
        <w:kinsoku/>
        <w:wordWrap/>
        <w:overflowPunct/>
        <w:topLinePunct w:val="0"/>
        <w:autoSpaceDE w:val="0"/>
        <w:autoSpaceDN w:val="0"/>
        <w:bidi w:val="0"/>
        <w:adjustRightInd/>
        <w:snapToGrid/>
        <w:spacing w:before="30" w:after="0" w:line="240" w:lineRule="auto"/>
        <w:ind w:left="1760" w:right="0" w:hanging="801"/>
        <w:jc w:val="both"/>
        <w:textAlignment w:val="auto"/>
        <w:rPr>
          <w:color w:val="auto"/>
          <w:sz w:val="32"/>
        </w:rPr>
      </w:pPr>
      <w:r>
        <w:rPr>
          <w:color w:val="auto"/>
          <w:sz w:val="32"/>
        </w:rPr>
        <w:t>粤港澳大湾区启运港退税政策</w:t>
      </w:r>
    </w:p>
    <w:p>
      <w:pPr>
        <w:pStyle w:val="4"/>
        <w:keepNext w:val="0"/>
        <w:keepLines w:val="0"/>
        <w:pageBreakBefore w:val="0"/>
        <w:widowControl w:val="0"/>
        <w:kinsoku/>
        <w:wordWrap/>
        <w:overflowPunct/>
        <w:topLinePunct w:val="0"/>
        <w:autoSpaceDE w:val="0"/>
        <w:autoSpaceDN w:val="0"/>
        <w:bidi w:val="0"/>
        <w:adjustRightInd/>
        <w:snapToGrid/>
        <w:spacing w:line="364" w:lineRule="auto"/>
        <w:ind w:right="379"/>
        <w:jc w:val="both"/>
        <w:textAlignment w:val="auto"/>
        <w:rPr>
          <w:color w:val="auto"/>
        </w:rPr>
      </w:pPr>
      <w:r>
        <w:rPr>
          <w:color w:val="auto"/>
          <w:spacing w:val="-9"/>
        </w:rPr>
        <w:t xml:space="preserve">启运港为珠三角九市 </w:t>
      </w:r>
      <w:r>
        <w:rPr>
          <w:color w:val="auto"/>
        </w:rPr>
        <w:t>37</w:t>
      </w:r>
      <w:r>
        <w:rPr>
          <w:color w:val="auto"/>
          <w:spacing w:val="-13"/>
        </w:rPr>
        <w:t xml:space="preserve"> 个港口：广州市</w:t>
      </w:r>
      <w:r>
        <w:rPr>
          <w:rFonts w:hint="eastAsia" w:ascii="宋体" w:eastAsia="宋体"/>
          <w:color w:val="auto"/>
        </w:rPr>
        <w:t>滘</w:t>
      </w:r>
      <w:r>
        <w:rPr>
          <w:color w:val="auto"/>
          <w:spacing w:val="-3"/>
        </w:rPr>
        <w:t>心港、旧港、乌冲港、嘉利港、集司港、东江口港、新沙港、深圳市盐田港、大铲湾港、佛山市九江中外运港、勒流港、北</w:t>
      </w:r>
      <w:r>
        <w:rPr>
          <w:rFonts w:hint="eastAsia" w:ascii="宋体" w:eastAsia="宋体"/>
          <w:color w:val="auto"/>
        </w:rPr>
        <w:t>滘</w:t>
      </w:r>
      <w:r>
        <w:rPr>
          <w:color w:val="auto"/>
        </w:rPr>
        <w:t>港、佛</w:t>
      </w:r>
      <w:r>
        <w:rPr>
          <w:color w:val="auto"/>
          <w:spacing w:val="-3"/>
        </w:rPr>
        <w:t>山新港、三水港、南海国际货柜港、高明珠江货运港、容奇港、顺德新港、肇庆市高要港、肇庆新港、四会港、肇庆三榕港、云浮新港、肇庆港、惠州市惠州港、东莞市虎门港、</w:t>
      </w:r>
      <w:r>
        <w:rPr>
          <w:color w:val="auto"/>
          <w:spacing w:val="-5"/>
        </w:rPr>
        <w:t>中山市中山港、中山外运港、小榄港、中山神湾港、珠海市珠海洪湾港、西域港、高栏港、珠海斗门港、江门市江门高沙港、江门外海港、天马港；离境港为广州南沙保税港区、深圳前海保税港区。</w:t>
      </w:r>
    </w:p>
    <w:p>
      <w:pPr>
        <w:pStyle w:val="12"/>
        <w:keepNext w:val="0"/>
        <w:keepLines w:val="0"/>
        <w:pageBreakBefore w:val="0"/>
        <w:widowControl w:val="0"/>
        <w:numPr>
          <w:ilvl w:val="0"/>
          <w:numId w:val="18"/>
        </w:numPr>
        <w:tabs>
          <w:tab w:val="left" w:pos="1761"/>
        </w:tabs>
        <w:kinsoku/>
        <w:wordWrap/>
        <w:overflowPunct/>
        <w:topLinePunct w:val="0"/>
        <w:autoSpaceDE w:val="0"/>
        <w:autoSpaceDN w:val="0"/>
        <w:bidi w:val="0"/>
        <w:adjustRightInd/>
        <w:snapToGrid/>
        <w:spacing w:before="8" w:after="0" w:line="240" w:lineRule="auto"/>
        <w:ind w:left="1760" w:right="0" w:hanging="801"/>
        <w:jc w:val="both"/>
        <w:textAlignment w:val="auto"/>
        <w:rPr>
          <w:color w:val="auto"/>
          <w:sz w:val="32"/>
        </w:rPr>
      </w:pPr>
      <w:r>
        <w:rPr>
          <w:color w:val="auto"/>
          <w:sz w:val="32"/>
        </w:rPr>
        <w:t>海南自贸港启运港退税政策</w:t>
      </w:r>
    </w:p>
    <w:p>
      <w:pPr>
        <w:pStyle w:val="4"/>
        <w:keepNext w:val="0"/>
        <w:keepLines w:val="0"/>
        <w:pageBreakBefore w:val="0"/>
        <w:widowControl w:val="0"/>
        <w:kinsoku/>
        <w:wordWrap/>
        <w:overflowPunct/>
        <w:topLinePunct w:val="0"/>
        <w:autoSpaceDE w:val="0"/>
        <w:autoSpaceDN w:val="0"/>
        <w:bidi w:val="0"/>
        <w:adjustRightInd/>
        <w:snapToGrid/>
        <w:spacing w:line="364" w:lineRule="auto"/>
        <w:ind w:right="379"/>
        <w:jc w:val="both"/>
        <w:textAlignment w:val="auto"/>
        <w:rPr>
          <w:color w:val="auto"/>
        </w:rPr>
      </w:pPr>
      <w:r>
        <w:rPr>
          <w:color w:val="auto"/>
          <w:spacing w:val="-13"/>
          <w:w w:val="95"/>
        </w:rPr>
        <w:t xml:space="preserve">启运港为营口市营口港、大连市大连港、锦州市锦州港、 </w:t>
      </w:r>
      <w:r>
        <w:rPr>
          <w:color w:val="auto"/>
          <w:spacing w:val="-11"/>
        </w:rPr>
        <w:t>秦皇岛市秦皇岛港、天津市天津港、烟台市烟台港、青岛市</w:t>
      </w:r>
      <w:r>
        <w:rPr>
          <w:color w:val="auto"/>
          <w:spacing w:val="-16"/>
          <w:w w:val="95"/>
        </w:rPr>
        <w:t xml:space="preserve">青岛港、日照市日照港、苏州市太仓港、连云港市连云港港、 </w:t>
      </w:r>
      <w:r>
        <w:rPr>
          <w:color w:val="auto"/>
          <w:spacing w:val="-11"/>
        </w:rPr>
        <w:t>南通市南通港、泉州市泉州港、广州市南沙港、湛江市湛江</w:t>
      </w:r>
      <w:r>
        <w:rPr>
          <w:color w:val="auto"/>
          <w:spacing w:val="-13"/>
        </w:rPr>
        <w:t xml:space="preserve">港、钦州市钦州港等 </w:t>
      </w:r>
      <w:r>
        <w:rPr>
          <w:color w:val="auto"/>
        </w:rPr>
        <w:t>15</w:t>
      </w:r>
      <w:r>
        <w:rPr>
          <w:color w:val="auto"/>
          <w:spacing w:val="-10"/>
        </w:rPr>
        <w:t xml:space="preserve"> 个港口；离境港为海南省洋浦港区； 上述所列启运港均可作为经停港。</w:t>
      </w:r>
    </w:p>
    <w:p>
      <w:pPr>
        <w:pStyle w:val="12"/>
        <w:keepNext w:val="0"/>
        <w:keepLines w:val="0"/>
        <w:pageBreakBefore w:val="0"/>
        <w:widowControl w:val="0"/>
        <w:numPr>
          <w:ilvl w:val="0"/>
          <w:numId w:val="18"/>
        </w:numPr>
        <w:tabs>
          <w:tab w:val="left" w:pos="1761"/>
        </w:tabs>
        <w:kinsoku/>
        <w:wordWrap/>
        <w:overflowPunct/>
        <w:topLinePunct w:val="0"/>
        <w:autoSpaceDE w:val="0"/>
        <w:autoSpaceDN w:val="0"/>
        <w:bidi w:val="0"/>
        <w:adjustRightInd/>
        <w:snapToGrid/>
        <w:spacing w:before="5" w:after="0" w:line="240" w:lineRule="auto"/>
        <w:ind w:left="1760" w:right="0" w:hanging="801"/>
        <w:jc w:val="both"/>
        <w:textAlignment w:val="auto"/>
        <w:rPr>
          <w:color w:val="auto"/>
          <w:sz w:val="32"/>
        </w:rPr>
      </w:pPr>
      <w:r>
        <w:rPr>
          <w:color w:val="auto"/>
          <w:w w:val="95"/>
          <w:sz w:val="32"/>
        </w:rPr>
        <w:t>陆路启运港退税政策</w:t>
      </w:r>
    </w:p>
    <w:p>
      <w:pPr>
        <w:pStyle w:val="4"/>
        <w:keepNext w:val="0"/>
        <w:keepLines w:val="0"/>
        <w:pageBreakBefore w:val="0"/>
        <w:widowControl w:val="0"/>
        <w:kinsoku/>
        <w:wordWrap/>
        <w:overflowPunct/>
        <w:topLinePunct w:val="0"/>
        <w:autoSpaceDE w:val="0"/>
        <w:autoSpaceDN w:val="0"/>
        <w:bidi w:val="0"/>
        <w:adjustRightInd/>
        <w:snapToGrid/>
        <w:spacing w:line="364" w:lineRule="auto"/>
        <w:ind w:right="540"/>
        <w:jc w:val="both"/>
        <w:textAlignment w:val="auto"/>
        <w:rPr>
          <w:color w:val="auto"/>
        </w:rPr>
      </w:pPr>
      <w:r>
        <w:rPr>
          <w:color w:val="auto"/>
          <w:spacing w:val="-1"/>
        </w:rPr>
        <w:t>启运港为陕西省西安国际港务区铁路场站；离境港为北</w:t>
      </w:r>
      <w:r>
        <w:rPr>
          <w:color w:val="auto"/>
          <w:spacing w:val="-2"/>
          <w:w w:val="95"/>
        </w:rPr>
        <w:t>部湾港</w:t>
      </w:r>
      <w:r>
        <w:rPr>
          <w:color w:val="auto"/>
          <w:w w:val="95"/>
        </w:rPr>
        <w:t>（</w:t>
      </w:r>
      <w:r>
        <w:rPr>
          <w:color w:val="auto"/>
          <w:spacing w:val="-2"/>
          <w:w w:val="95"/>
        </w:rPr>
        <w:t>包括防城港区、钦州港区、北海湾区</w:t>
      </w:r>
      <w:r>
        <w:rPr>
          <w:color w:val="auto"/>
          <w:spacing w:val="-3"/>
          <w:w w:val="95"/>
        </w:rPr>
        <w:t>），</w:t>
      </w:r>
      <w:r>
        <w:rPr>
          <w:color w:val="auto"/>
          <w:w w:val="95"/>
        </w:rPr>
        <w:t xml:space="preserve">新疆维吾 </w:t>
      </w:r>
      <w:r>
        <w:rPr>
          <w:color w:val="auto"/>
        </w:rPr>
        <w:t>尔族自治区阿拉山口、霍尔果斯铁路口岸。</w:t>
      </w:r>
    </w:p>
    <w:p>
      <w:pPr>
        <w:keepNext w:val="0"/>
        <w:keepLines w:val="0"/>
        <w:pageBreakBefore w:val="0"/>
        <w:widowControl w:val="0"/>
        <w:kinsoku/>
        <w:wordWrap/>
        <w:overflowPunct/>
        <w:topLinePunct w:val="0"/>
        <w:autoSpaceDE w:val="0"/>
        <w:autoSpaceDN w:val="0"/>
        <w:bidi w:val="0"/>
        <w:adjustRightInd/>
        <w:snapToGrid/>
        <w:spacing w:before="30"/>
        <w:ind w:left="320" w:right="0" w:firstLine="0"/>
        <w:jc w:val="both"/>
        <w:textAlignment w:val="auto"/>
        <w:rPr>
          <w:rFonts w:hint="eastAsia" w:ascii="宋体" w:eastAsia="宋体"/>
          <w:b/>
          <w:color w:val="auto"/>
          <w:sz w:val="32"/>
        </w:rPr>
      </w:pPr>
      <w:r>
        <w:rPr>
          <w:rFonts w:hint="eastAsia" w:ascii="宋体" w:eastAsia="宋体"/>
          <w:b/>
          <w:color w:val="auto"/>
          <w:sz w:val="32"/>
        </w:rPr>
        <w:t>【政策依据】</w:t>
      </w:r>
    </w:p>
    <w:p>
      <w:pPr>
        <w:pStyle w:val="12"/>
        <w:keepNext w:val="0"/>
        <w:keepLines w:val="0"/>
        <w:pageBreakBefore w:val="0"/>
        <w:widowControl w:val="0"/>
        <w:numPr>
          <w:ilvl w:val="0"/>
          <w:numId w:val="19"/>
        </w:numPr>
        <w:tabs>
          <w:tab w:val="left" w:pos="1283"/>
        </w:tabs>
        <w:kinsoku/>
        <w:wordWrap/>
        <w:overflowPunct/>
        <w:topLinePunct w:val="0"/>
        <w:autoSpaceDE w:val="0"/>
        <w:autoSpaceDN w:val="0"/>
        <w:bidi w:val="0"/>
        <w:adjustRightInd/>
        <w:snapToGrid/>
        <w:spacing w:before="235" w:after="0" w:line="326" w:lineRule="auto"/>
        <w:ind w:left="320" w:right="537" w:firstLine="640"/>
        <w:jc w:val="both"/>
        <w:textAlignment w:val="auto"/>
        <w:rPr>
          <w:rFonts w:hint="eastAsia" w:ascii="黑体" w:eastAsia="黑体"/>
          <w:color w:val="auto"/>
          <w:sz w:val="30"/>
        </w:rPr>
      </w:pPr>
      <w:r>
        <w:rPr>
          <w:rFonts w:hint="eastAsia" w:ascii="黑体" w:eastAsia="黑体"/>
          <w:color w:val="auto"/>
          <w:spacing w:val="9"/>
          <w:sz w:val="32"/>
        </w:rPr>
        <w:t>《财政部 海关总署 税务总局关于完善启运港退税政策的通知》（财税〔2018〕5</w:t>
      </w:r>
      <w:r>
        <w:rPr>
          <w:rFonts w:hint="eastAsia" w:ascii="黑体" w:eastAsia="黑体"/>
          <w:color w:val="auto"/>
          <w:spacing w:val="-41"/>
          <w:sz w:val="32"/>
        </w:rPr>
        <w:t xml:space="preserve"> 号</w:t>
      </w:r>
      <w:r>
        <w:rPr>
          <w:rFonts w:hint="eastAsia" w:ascii="黑体" w:eastAsia="黑体"/>
          <w:color w:val="auto"/>
          <w:sz w:val="32"/>
        </w:rPr>
        <w:t>）</w:t>
      </w:r>
    </w:p>
    <w:p>
      <w:pPr>
        <w:pStyle w:val="12"/>
        <w:keepNext w:val="0"/>
        <w:keepLines w:val="0"/>
        <w:pageBreakBefore w:val="0"/>
        <w:widowControl w:val="0"/>
        <w:numPr>
          <w:ilvl w:val="0"/>
          <w:numId w:val="19"/>
        </w:numPr>
        <w:tabs>
          <w:tab w:val="left" w:pos="1283"/>
        </w:tabs>
        <w:kinsoku/>
        <w:wordWrap/>
        <w:overflowPunct/>
        <w:topLinePunct w:val="0"/>
        <w:autoSpaceDE w:val="0"/>
        <w:autoSpaceDN w:val="0"/>
        <w:bidi w:val="0"/>
        <w:adjustRightInd/>
        <w:snapToGrid/>
        <w:spacing w:before="4" w:after="0" w:line="328" w:lineRule="auto"/>
        <w:ind w:left="320" w:right="379" w:firstLine="640"/>
        <w:jc w:val="both"/>
        <w:textAlignment w:val="auto"/>
        <w:rPr>
          <w:rFonts w:hint="eastAsia" w:ascii="黑体" w:eastAsia="黑体"/>
          <w:color w:val="auto"/>
          <w:sz w:val="30"/>
        </w:rPr>
      </w:pPr>
      <w:r>
        <w:rPr>
          <w:rFonts w:hint="eastAsia" w:ascii="黑体" w:eastAsia="黑体"/>
          <w:color w:val="auto"/>
          <w:spacing w:val="-1"/>
          <w:sz w:val="32"/>
        </w:rPr>
        <w:t>《国家税务总局关于发布〈启运港退</w:t>
      </w:r>
      <w:r>
        <w:rPr>
          <w:rFonts w:hint="eastAsia" w:ascii="黑体" w:eastAsia="黑体"/>
          <w:color w:val="auto"/>
          <w:sz w:val="32"/>
        </w:rPr>
        <w:t>（免</w:t>
      </w:r>
      <w:r>
        <w:rPr>
          <w:rFonts w:hint="eastAsia" w:ascii="黑体" w:eastAsia="黑体"/>
          <w:color w:val="auto"/>
          <w:spacing w:val="-3"/>
          <w:sz w:val="32"/>
        </w:rPr>
        <w:t>）</w:t>
      </w:r>
      <w:r>
        <w:rPr>
          <w:rFonts w:hint="eastAsia" w:ascii="黑体" w:eastAsia="黑体"/>
          <w:color w:val="auto"/>
          <w:sz w:val="32"/>
        </w:rPr>
        <w:t>税管理办</w:t>
      </w:r>
      <w:r>
        <w:rPr>
          <w:rFonts w:hint="eastAsia" w:ascii="黑体" w:eastAsia="黑体"/>
          <w:color w:val="auto"/>
          <w:spacing w:val="-31"/>
          <w:sz w:val="32"/>
        </w:rPr>
        <w:t>法</w:t>
      </w:r>
      <w:r>
        <w:rPr>
          <w:rFonts w:hint="eastAsia" w:ascii="黑体" w:eastAsia="黑体"/>
          <w:color w:val="auto"/>
          <w:sz w:val="32"/>
        </w:rPr>
        <w:t>（2018</w:t>
      </w:r>
      <w:r>
        <w:rPr>
          <w:rFonts w:hint="eastAsia" w:ascii="黑体" w:eastAsia="黑体"/>
          <w:color w:val="auto"/>
          <w:spacing w:val="-56"/>
          <w:sz w:val="32"/>
        </w:rPr>
        <w:t xml:space="preserve"> 年 </w:t>
      </w:r>
      <w:r>
        <w:rPr>
          <w:rFonts w:hint="eastAsia" w:ascii="黑体" w:eastAsia="黑体"/>
          <w:color w:val="auto"/>
          <w:sz w:val="32"/>
        </w:rPr>
        <w:t>12</w:t>
      </w:r>
      <w:r>
        <w:rPr>
          <w:rFonts w:hint="eastAsia" w:ascii="黑体" w:eastAsia="黑体"/>
          <w:color w:val="auto"/>
          <w:spacing w:val="-56"/>
          <w:sz w:val="32"/>
        </w:rPr>
        <w:t xml:space="preserve"> 月 </w:t>
      </w:r>
      <w:r>
        <w:rPr>
          <w:rFonts w:hint="eastAsia" w:ascii="黑体" w:eastAsia="黑体"/>
          <w:color w:val="auto"/>
          <w:sz w:val="32"/>
        </w:rPr>
        <w:t>28</w:t>
      </w:r>
      <w:r>
        <w:rPr>
          <w:rFonts w:hint="eastAsia" w:ascii="黑体" w:eastAsia="黑体"/>
          <w:color w:val="auto"/>
          <w:spacing w:val="-21"/>
          <w:sz w:val="32"/>
        </w:rPr>
        <w:t xml:space="preserve"> 日修订</w:t>
      </w:r>
      <w:r>
        <w:rPr>
          <w:rFonts w:hint="eastAsia" w:ascii="黑体" w:eastAsia="黑体"/>
          <w:color w:val="auto"/>
          <w:spacing w:val="-36"/>
          <w:sz w:val="32"/>
        </w:rPr>
        <w:t>）</w:t>
      </w:r>
      <w:r>
        <w:rPr>
          <w:rFonts w:hint="eastAsia" w:ascii="黑体" w:eastAsia="黑体"/>
          <w:color w:val="auto"/>
          <w:spacing w:val="-21"/>
          <w:sz w:val="32"/>
        </w:rPr>
        <w:t>〉的公告》</w:t>
      </w:r>
      <w:r>
        <w:rPr>
          <w:rFonts w:hint="eastAsia" w:ascii="黑体" w:eastAsia="黑体"/>
          <w:color w:val="auto"/>
          <w:sz w:val="32"/>
        </w:rPr>
        <w:t>（2018</w:t>
      </w:r>
      <w:r>
        <w:rPr>
          <w:rFonts w:hint="eastAsia" w:ascii="黑体" w:eastAsia="黑体"/>
          <w:color w:val="auto"/>
          <w:spacing w:val="-42"/>
          <w:sz w:val="32"/>
        </w:rPr>
        <w:t xml:space="preserve"> 年第 </w:t>
      </w:r>
      <w:r>
        <w:rPr>
          <w:rFonts w:hint="eastAsia" w:ascii="黑体" w:eastAsia="黑体"/>
          <w:color w:val="auto"/>
          <w:sz w:val="32"/>
        </w:rPr>
        <w:t>66</w:t>
      </w:r>
      <w:r>
        <w:rPr>
          <w:rFonts w:hint="eastAsia" w:ascii="黑体" w:eastAsia="黑体"/>
          <w:color w:val="auto"/>
          <w:spacing w:val="-42"/>
          <w:sz w:val="32"/>
        </w:rPr>
        <w:t xml:space="preserve"> 号</w:t>
      </w:r>
      <w:r>
        <w:rPr>
          <w:rFonts w:hint="eastAsia" w:ascii="黑体" w:eastAsia="黑体"/>
          <w:color w:val="auto"/>
          <w:sz w:val="32"/>
        </w:rPr>
        <w:t>）</w:t>
      </w:r>
    </w:p>
    <w:p>
      <w:pPr>
        <w:pStyle w:val="12"/>
        <w:keepNext w:val="0"/>
        <w:keepLines w:val="0"/>
        <w:pageBreakBefore w:val="0"/>
        <w:widowControl w:val="0"/>
        <w:numPr>
          <w:ilvl w:val="0"/>
          <w:numId w:val="19"/>
        </w:numPr>
        <w:tabs>
          <w:tab w:val="left" w:pos="1283"/>
        </w:tabs>
        <w:kinsoku/>
        <w:wordWrap/>
        <w:overflowPunct/>
        <w:topLinePunct w:val="0"/>
        <w:autoSpaceDE w:val="0"/>
        <w:autoSpaceDN w:val="0"/>
        <w:bidi w:val="0"/>
        <w:adjustRightInd/>
        <w:snapToGrid/>
        <w:spacing w:before="0" w:after="0" w:line="326" w:lineRule="auto"/>
        <w:ind w:left="320" w:right="540" w:firstLine="640"/>
        <w:jc w:val="both"/>
        <w:textAlignment w:val="auto"/>
        <w:rPr>
          <w:rFonts w:hint="eastAsia" w:ascii="黑体" w:eastAsia="黑体"/>
          <w:color w:val="auto"/>
          <w:sz w:val="30"/>
        </w:rPr>
      </w:pPr>
      <w:r>
        <w:rPr>
          <w:rFonts w:hint="eastAsia" w:ascii="黑体" w:eastAsia="黑体"/>
          <w:color w:val="auto"/>
          <w:spacing w:val="-3"/>
          <w:sz w:val="32"/>
        </w:rPr>
        <w:t>《财政部 海关总署 税务总局关于在粤港澳大湾区实</w:t>
      </w:r>
      <w:r>
        <w:rPr>
          <w:rFonts w:hint="eastAsia" w:ascii="黑体" w:eastAsia="黑体"/>
          <w:color w:val="auto"/>
          <w:sz w:val="32"/>
        </w:rPr>
        <w:t>行有关增值税政策的通知》（财税〔2020〕48</w:t>
      </w:r>
      <w:r>
        <w:rPr>
          <w:rFonts w:hint="eastAsia" w:ascii="黑体" w:eastAsia="黑体"/>
          <w:color w:val="auto"/>
          <w:spacing w:val="-41"/>
          <w:sz w:val="32"/>
        </w:rPr>
        <w:t xml:space="preserve"> 号</w:t>
      </w:r>
      <w:r>
        <w:rPr>
          <w:rFonts w:hint="eastAsia" w:ascii="黑体" w:eastAsia="黑体"/>
          <w:color w:val="auto"/>
          <w:sz w:val="32"/>
        </w:rPr>
        <w:t>）</w:t>
      </w:r>
    </w:p>
    <w:p>
      <w:pPr>
        <w:pStyle w:val="12"/>
        <w:keepNext w:val="0"/>
        <w:keepLines w:val="0"/>
        <w:pageBreakBefore w:val="0"/>
        <w:widowControl w:val="0"/>
        <w:numPr>
          <w:ilvl w:val="0"/>
          <w:numId w:val="19"/>
        </w:numPr>
        <w:tabs>
          <w:tab w:val="left" w:pos="1283"/>
        </w:tabs>
        <w:kinsoku/>
        <w:wordWrap/>
        <w:overflowPunct/>
        <w:topLinePunct w:val="0"/>
        <w:autoSpaceDE w:val="0"/>
        <w:autoSpaceDN w:val="0"/>
        <w:bidi w:val="0"/>
        <w:adjustRightInd/>
        <w:snapToGrid/>
        <w:spacing w:before="3" w:after="0" w:line="326" w:lineRule="auto"/>
        <w:ind w:left="320" w:right="540" w:firstLine="640"/>
        <w:jc w:val="both"/>
        <w:textAlignment w:val="auto"/>
        <w:rPr>
          <w:rFonts w:hint="eastAsia" w:ascii="黑体" w:eastAsia="黑体"/>
          <w:color w:val="auto"/>
          <w:sz w:val="30"/>
        </w:rPr>
      </w:pPr>
      <w:r>
        <w:rPr>
          <w:rFonts w:hint="eastAsia" w:ascii="黑体" w:eastAsia="黑体"/>
          <w:color w:val="auto"/>
          <w:spacing w:val="-3"/>
          <w:sz w:val="32"/>
        </w:rPr>
        <w:t>《财政部 海关总署 税务总局关于海南自由贸易港试</w:t>
      </w:r>
      <w:r>
        <w:rPr>
          <w:rFonts w:hint="eastAsia" w:ascii="黑体" w:eastAsia="黑体"/>
          <w:color w:val="auto"/>
          <w:sz w:val="32"/>
        </w:rPr>
        <w:t>行启运港退税政策的通知》（财税〔2021〕1</w:t>
      </w:r>
      <w:r>
        <w:rPr>
          <w:rFonts w:hint="eastAsia" w:ascii="黑体" w:eastAsia="黑体"/>
          <w:color w:val="auto"/>
          <w:spacing w:val="-41"/>
          <w:sz w:val="32"/>
        </w:rPr>
        <w:t xml:space="preserve"> 号</w:t>
      </w:r>
      <w:r>
        <w:rPr>
          <w:rFonts w:hint="eastAsia" w:ascii="黑体" w:eastAsia="黑体"/>
          <w:color w:val="auto"/>
          <w:sz w:val="32"/>
        </w:rPr>
        <w:t>）</w:t>
      </w:r>
    </w:p>
    <w:p>
      <w:pPr>
        <w:pStyle w:val="12"/>
        <w:keepNext w:val="0"/>
        <w:keepLines w:val="0"/>
        <w:pageBreakBefore w:val="0"/>
        <w:widowControl w:val="0"/>
        <w:numPr>
          <w:ilvl w:val="0"/>
          <w:numId w:val="19"/>
        </w:numPr>
        <w:tabs>
          <w:tab w:val="left" w:pos="1283"/>
        </w:tabs>
        <w:kinsoku/>
        <w:wordWrap/>
        <w:overflowPunct/>
        <w:topLinePunct w:val="0"/>
        <w:autoSpaceDE w:val="0"/>
        <w:autoSpaceDN w:val="0"/>
        <w:bidi w:val="0"/>
        <w:adjustRightInd/>
        <w:snapToGrid/>
        <w:spacing w:before="3" w:after="0" w:line="328" w:lineRule="auto"/>
        <w:ind w:left="320" w:right="537" w:firstLine="640"/>
        <w:jc w:val="both"/>
        <w:textAlignment w:val="auto"/>
        <w:rPr>
          <w:rFonts w:hint="eastAsia" w:ascii="黑体" w:eastAsia="黑体"/>
          <w:color w:val="auto"/>
          <w:sz w:val="30"/>
        </w:rPr>
      </w:pPr>
      <w:r>
        <w:rPr>
          <w:rFonts w:hint="eastAsia" w:ascii="黑体" w:eastAsia="黑体"/>
          <w:color w:val="auto"/>
          <w:spacing w:val="-3"/>
          <w:sz w:val="32"/>
        </w:rPr>
        <w:t>《财政部 海关总署 税务总局关于中国</w:t>
      </w:r>
      <w:r>
        <w:rPr>
          <w:rFonts w:hint="eastAsia" w:ascii="黑体" w:eastAsia="黑体"/>
          <w:color w:val="auto"/>
          <w:sz w:val="32"/>
        </w:rPr>
        <w:t>（上海</w:t>
      </w:r>
      <w:r>
        <w:rPr>
          <w:rFonts w:hint="eastAsia" w:ascii="黑体" w:eastAsia="黑体"/>
          <w:color w:val="auto"/>
          <w:spacing w:val="-5"/>
          <w:sz w:val="32"/>
        </w:rPr>
        <w:t>）</w:t>
      </w:r>
      <w:r>
        <w:rPr>
          <w:rFonts w:hint="eastAsia" w:ascii="黑体" w:eastAsia="黑体"/>
          <w:color w:val="auto"/>
          <w:sz w:val="32"/>
        </w:rPr>
        <w:t>自由</w:t>
      </w:r>
      <w:r>
        <w:rPr>
          <w:rFonts w:hint="eastAsia" w:ascii="黑体" w:eastAsia="黑体"/>
          <w:color w:val="auto"/>
          <w:spacing w:val="26"/>
          <w:sz w:val="32"/>
        </w:rPr>
        <w:t>贸易试验区临港新片区有关增值税政策的通知》</w:t>
      </w:r>
      <w:r>
        <w:rPr>
          <w:rFonts w:hint="eastAsia" w:ascii="黑体" w:eastAsia="黑体"/>
          <w:color w:val="auto"/>
          <w:sz w:val="32"/>
        </w:rPr>
        <w:t>（</w:t>
      </w:r>
      <w:r>
        <w:rPr>
          <w:rFonts w:hint="eastAsia" w:ascii="黑体" w:eastAsia="黑体"/>
          <w:color w:val="auto"/>
          <w:spacing w:val="-44"/>
          <w:sz w:val="32"/>
        </w:rPr>
        <w:t xml:space="preserve"> 财税</w:t>
      </w:r>
    </w:p>
    <w:p>
      <w:pPr>
        <w:pStyle w:val="4"/>
        <w:keepNext w:val="0"/>
        <w:keepLines w:val="0"/>
        <w:pageBreakBefore w:val="0"/>
        <w:widowControl w:val="0"/>
        <w:kinsoku/>
        <w:wordWrap/>
        <w:overflowPunct/>
        <w:topLinePunct w:val="0"/>
        <w:autoSpaceDE w:val="0"/>
        <w:autoSpaceDN w:val="0"/>
        <w:bidi w:val="0"/>
        <w:adjustRightInd/>
        <w:snapToGrid/>
        <w:spacing w:before="0" w:line="407" w:lineRule="exact"/>
        <w:ind w:firstLine="0"/>
        <w:jc w:val="both"/>
        <w:textAlignment w:val="auto"/>
        <w:rPr>
          <w:rFonts w:hint="eastAsia" w:ascii="黑体" w:eastAsia="黑体"/>
          <w:color w:val="auto"/>
        </w:rPr>
      </w:pPr>
      <w:r>
        <w:rPr>
          <w:rFonts w:hint="eastAsia" w:ascii="黑体" w:eastAsia="黑体"/>
          <w:color w:val="auto"/>
        </w:rPr>
        <w:t>〔2021〕3 号）</w:t>
      </w:r>
    </w:p>
    <w:p>
      <w:pPr>
        <w:pStyle w:val="12"/>
        <w:keepNext w:val="0"/>
        <w:keepLines w:val="0"/>
        <w:pageBreakBefore w:val="0"/>
        <w:widowControl w:val="0"/>
        <w:numPr>
          <w:ilvl w:val="0"/>
          <w:numId w:val="19"/>
        </w:numPr>
        <w:tabs>
          <w:tab w:val="left" w:pos="1283"/>
        </w:tabs>
        <w:kinsoku/>
        <w:wordWrap/>
        <w:overflowPunct/>
        <w:topLinePunct w:val="0"/>
        <w:autoSpaceDE w:val="0"/>
        <w:autoSpaceDN w:val="0"/>
        <w:bidi w:val="0"/>
        <w:adjustRightInd/>
        <w:snapToGrid/>
        <w:spacing w:before="149" w:after="0" w:line="328" w:lineRule="auto"/>
        <w:ind w:left="320" w:right="540" w:firstLine="640"/>
        <w:jc w:val="both"/>
        <w:textAlignment w:val="auto"/>
        <w:rPr>
          <w:rFonts w:hint="eastAsia" w:ascii="黑体" w:eastAsia="黑体"/>
          <w:color w:val="auto"/>
          <w:sz w:val="30"/>
        </w:rPr>
      </w:pPr>
      <w:r>
        <w:rPr>
          <w:rFonts w:hint="eastAsia" w:ascii="黑体" w:eastAsia="黑体"/>
          <w:color w:val="auto"/>
          <w:spacing w:val="-3"/>
          <w:sz w:val="32"/>
        </w:rPr>
        <w:t>《财政部 海关总署 税务总局关于陆路启运港退税试</w:t>
      </w:r>
      <w:r>
        <w:rPr>
          <w:rFonts w:hint="eastAsia" w:ascii="黑体" w:eastAsia="黑体"/>
          <w:color w:val="auto"/>
          <w:sz w:val="32"/>
        </w:rPr>
        <w:t>点政策的通知》（财税〔2022〕9</w:t>
      </w:r>
      <w:r>
        <w:rPr>
          <w:rFonts w:hint="eastAsia" w:ascii="黑体" w:eastAsia="黑体"/>
          <w:color w:val="auto"/>
          <w:spacing w:val="-41"/>
          <w:sz w:val="32"/>
        </w:rPr>
        <w:t xml:space="preserve"> 号</w:t>
      </w:r>
      <w:r>
        <w:rPr>
          <w:rFonts w:hint="eastAsia" w:ascii="黑体" w:eastAsia="黑体"/>
          <w:color w:val="auto"/>
          <w:sz w:val="32"/>
        </w:rPr>
        <w:t>）</w:t>
      </w:r>
    </w:p>
    <w:p>
      <w:pPr>
        <w:pStyle w:val="12"/>
        <w:keepNext w:val="0"/>
        <w:keepLines w:val="0"/>
        <w:pageBreakBefore w:val="0"/>
        <w:widowControl w:val="0"/>
        <w:numPr>
          <w:ilvl w:val="0"/>
          <w:numId w:val="19"/>
        </w:numPr>
        <w:tabs>
          <w:tab w:val="left" w:pos="644"/>
        </w:tabs>
        <w:kinsoku/>
        <w:wordWrap/>
        <w:overflowPunct/>
        <w:topLinePunct w:val="0"/>
        <w:autoSpaceDE w:val="0"/>
        <w:autoSpaceDN w:val="0"/>
        <w:bidi w:val="0"/>
        <w:adjustRightInd/>
        <w:snapToGrid/>
        <w:spacing w:before="0" w:after="0" w:line="240" w:lineRule="auto"/>
        <w:ind w:left="643" w:right="0" w:hanging="324"/>
        <w:jc w:val="both"/>
        <w:textAlignment w:val="auto"/>
        <w:rPr>
          <w:rFonts w:hint="eastAsia" w:ascii="仿宋" w:eastAsia="仿宋"/>
          <w:b/>
          <w:color w:val="auto"/>
          <w:sz w:val="30"/>
        </w:rPr>
      </w:pPr>
      <w:bookmarkStart w:id="8" w:name="_TOC_250041"/>
      <w:bookmarkEnd w:id="8"/>
      <w:r>
        <w:rPr>
          <w:rFonts w:hint="eastAsia" w:ascii="宋体" w:eastAsia="宋体"/>
          <w:b/>
          <w:color w:val="auto"/>
          <w:sz w:val="32"/>
        </w:rPr>
        <w:t>边境小额贸易税收政策</w:t>
      </w:r>
    </w:p>
    <w:p>
      <w:pPr>
        <w:keepNext w:val="0"/>
        <w:keepLines w:val="0"/>
        <w:pageBreakBefore w:val="0"/>
        <w:widowControl w:val="0"/>
        <w:kinsoku/>
        <w:wordWrap/>
        <w:overflowPunct/>
        <w:topLinePunct w:val="0"/>
        <w:autoSpaceDE w:val="0"/>
        <w:autoSpaceDN w:val="0"/>
        <w:bidi w:val="0"/>
        <w:adjustRightInd/>
        <w:snapToGrid/>
        <w:spacing w:before="214"/>
        <w:ind w:left="320" w:right="0" w:firstLine="0"/>
        <w:jc w:val="both"/>
        <w:textAlignment w:val="auto"/>
        <w:rPr>
          <w:rFonts w:hint="eastAsia" w:ascii="宋体" w:eastAsia="宋体"/>
          <w:b/>
          <w:color w:val="auto"/>
          <w:sz w:val="32"/>
        </w:rPr>
      </w:pPr>
      <w:r>
        <w:rPr>
          <w:rFonts w:hint="eastAsia" w:ascii="宋体" w:eastAsia="宋体"/>
          <w:b/>
          <w:color w:val="auto"/>
          <w:sz w:val="32"/>
        </w:rPr>
        <w:t>【适用主体】</w:t>
      </w:r>
    </w:p>
    <w:p>
      <w:pPr>
        <w:pStyle w:val="4"/>
        <w:keepNext w:val="0"/>
        <w:keepLines w:val="0"/>
        <w:pageBreakBefore w:val="0"/>
        <w:widowControl w:val="0"/>
        <w:kinsoku/>
        <w:wordWrap/>
        <w:overflowPunct/>
        <w:topLinePunct w:val="0"/>
        <w:autoSpaceDE w:val="0"/>
        <w:autoSpaceDN w:val="0"/>
        <w:bidi w:val="0"/>
        <w:adjustRightInd/>
        <w:snapToGrid/>
        <w:spacing w:line="364" w:lineRule="auto"/>
        <w:ind w:right="525"/>
        <w:jc w:val="both"/>
        <w:textAlignment w:val="auto"/>
        <w:rPr>
          <w:color w:val="auto"/>
        </w:rPr>
      </w:pPr>
      <w:r>
        <w:rPr>
          <w:color w:val="auto"/>
        </w:rPr>
        <w:t>在内蒙古、辽宁、吉林、黑龙江、广西、新疆、西藏、云南省(自治区)行政区域内登记注册的出口企业</w:t>
      </w:r>
    </w:p>
    <w:p>
      <w:pPr>
        <w:keepNext w:val="0"/>
        <w:keepLines w:val="0"/>
        <w:pageBreakBefore w:val="0"/>
        <w:widowControl w:val="0"/>
        <w:kinsoku/>
        <w:wordWrap/>
        <w:overflowPunct/>
        <w:topLinePunct w:val="0"/>
        <w:autoSpaceDE w:val="0"/>
        <w:autoSpaceDN w:val="0"/>
        <w:bidi w:val="0"/>
        <w:adjustRightInd/>
        <w:snapToGrid/>
        <w:spacing w:before="2"/>
        <w:ind w:left="320" w:right="0" w:firstLine="0"/>
        <w:jc w:val="both"/>
        <w:textAlignment w:val="auto"/>
        <w:rPr>
          <w:rFonts w:hint="eastAsia" w:ascii="宋体" w:eastAsia="宋体"/>
          <w:b/>
          <w:color w:val="auto"/>
          <w:sz w:val="32"/>
        </w:rPr>
      </w:pPr>
      <w:r>
        <w:rPr>
          <w:rFonts w:hint="eastAsia" w:ascii="宋体" w:eastAsia="宋体"/>
          <w:b/>
          <w:color w:val="auto"/>
          <w:sz w:val="32"/>
        </w:rPr>
        <w:t>【政策内容】</w:t>
      </w:r>
    </w:p>
    <w:p>
      <w:pPr>
        <w:pStyle w:val="4"/>
        <w:keepNext w:val="0"/>
        <w:keepLines w:val="0"/>
        <w:pageBreakBefore w:val="0"/>
        <w:widowControl w:val="0"/>
        <w:kinsoku/>
        <w:wordWrap/>
        <w:overflowPunct/>
        <w:topLinePunct w:val="0"/>
        <w:autoSpaceDE w:val="0"/>
        <w:autoSpaceDN w:val="0"/>
        <w:bidi w:val="0"/>
        <w:adjustRightInd/>
        <w:snapToGrid/>
        <w:spacing w:line="364" w:lineRule="auto"/>
        <w:ind w:right="379"/>
        <w:jc w:val="both"/>
        <w:textAlignment w:val="auto"/>
        <w:rPr>
          <w:color w:val="auto"/>
        </w:rPr>
      </w:pPr>
      <w:r>
        <w:rPr>
          <w:color w:val="auto"/>
          <w:spacing w:val="-14"/>
          <w:w w:val="95"/>
        </w:rPr>
        <w:t xml:space="preserve">凡在内蒙古、辽宁、吉林、黑龙江、广西、新疆、西藏、 </w:t>
      </w:r>
      <w:r>
        <w:rPr>
          <w:color w:val="auto"/>
          <w:spacing w:val="-11"/>
        </w:rPr>
        <w:t>云南省</w:t>
      </w:r>
      <w:r>
        <w:rPr>
          <w:color w:val="auto"/>
        </w:rPr>
        <w:t>（自治区</w:t>
      </w:r>
      <w:r>
        <w:rPr>
          <w:color w:val="auto"/>
          <w:spacing w:val="-5"/>
        </w:rPr>
        <w:t>）</w:t>
      </w:r>
      <w:r>
        <w:rPr>
          <w:color w:val="auto"/>
          <w:spacing w:val="-1"/>
        </w:rPr>
        <w:t>行政区域内登记注册的出口企业，以一般</w:t>
      </w:r>
      <w:r>
        <w:rPr>
          <w:color w:val="auto"/>
          <w:spacing w:val="11"/>
        </w:rPr>
        <w:t>贸易或边境小额贸易方式从海关实施监管的边境货物进出</w:t>
      </w:r>
      <w:r>
        <w:rPr>
          <w:color w:val="auto"/>
        </w:rPr>
        <w:t>口口岸出口到接壤毗邻国家的货物，并采取银行转账人民币结算方式的，可享受应退税额全额出口退税政策。</w:t>
      </w:r>
    </w:p>
    <w:p>
      <w:pPr>
        <w:keepNext w:val="0"/>
        <w:keepLines w:val="0"/>
        <w:pageBreakBefore w:val="0"/>
        <w:widowControl w:val="0"/>
        <w:kinsoku/>
        <w:wordWrap/>
        <w:overflowPunct/>
        <w:topLinePunct w:val="0"/>
        <w:autoSpaceDE w:val="0"/>
        <w:autoSpaceDN w:val="0"/>
        <w:bidi w:val="0"/>
        <w:adjustRightInd/>
        <w:snapToGrid/>
        <w:spacing w:before="1"/>
        <w:ind w:left="320" w:right="0" w:firstLine="0"/>
        <w:jc w:val="both"/>
        <w:textAlignment w:val="auto"/>
        <w:rPr>
          <w:rFonts w:hint="eastAsia" w:ascii="宋体" w:eastAsia="宋体"/>
          <w:b/>
          <w:color w:val="auto"/>
          <w:sz w:val="32"/>
        </w:rPr>
      </w:pPr>
      <w:r>
        <w:rPr>
          <w:rFonts w:hint="eastAsia" w:ascii="宋体" w:eastAsia="宋体"/>
          <w:b/>
          <w:color w:val="auto"/>
          <w:sz w:val="32"/>
        </w:rPr>
        <w:t>【适用条件】</w:t>
      </w:r>
    </w:p>
    <w:p>
      <w:pPr>
        <w:pStyle w:val="12"/>
        <w:keepNext w:val="0"/>
        <w:keepLines w:val="0"/>
        <w:pageBreakBefore w:val="0"/>
        <w:widowControl w:val="0"/>
        <w:numPr>
          <w:ilvl w:val="1"/>
          <w:numId w:val="19"/>
        </w:numPr>
        <w:tabs>
          <w:tab w:val="left" w:pos="1283"/>
        </w:tabs>
        <w:kinsoku/>
        <w:wordWrap/>
        <w:overflowPunct/>
        <w:topLinePunct w:val="0"/>
        <w:autoSpaceDE w:val="0"/>
        <w:autoSpaceDN w:val="0"/>
        <w:bidi w:val="0"/>
        <w:adjustRightInd/>
        <w:snapToGrid/>
        <w:spacing w:before="214" w:after="0" w:line="364" w:lineRule="auto"/>
        <w:ind w:left="320" w:right="540" w:firstLine="640"/>
        <w:jc w:val="both"/>
        <w:textAlignment w:val="auto"/>
        <w:rPr>
          <w:color w:val="auto"/>
          <w:sz w:val="32"/>
        </w:rPr>
      </w:pPr>
      <w:r>
        <w:rPr>
          <w:color w:val="auto"/>
          <w:spacing w:val="-1"/>
          <w:w w:val="95"/>
          <w:sz w:val="32"/>
        </w:rPr>
        <w:t xml:space="preserve">以人民币现金结算方式出口的货物，不享受出口退税 </w:t>
      </w:r>
      <w:r>
        <w:rPr>
          <w:color w:val="auto"/>
          <w:spacing w:val="-1"/>
          <w:sz w:val="32"/>
        </w:rPr>
        <w:t>政策。</w:t>
      </w:r>
    </w:p>
    <w:p>
      <w:pPr>
        <w:pStyle w:val="12"/>
        <w:keepNext w:val="0"/>
        <w:keepLines w:val="0"/>
        <w:pageBreakBefore w:val="0"/>
        <w:widowControl w:val="0"/>
        <w:numPr>
          <w:ilvl w:val="1"/>
          <w:numId w:val="19"/>
        </w:numPr>
        <w:tabs>
          <w:tab w:val="left" w:pos="1283"/>
        </w:tabs>
        <w:kinsoku/>
        <w:wordWrap/>
        <w:overflowPunct/>
        <w:topLinePunct w:val="0"/>
        <w:autoSpaceDE w:val="0"/>
        <w:autoSpaceDN w:val="0"/>
        <w:bidi w:val="0"/>
        <w:adjustRightInd/>
        <w:snapToGrid/>
        <w:spacing w:before="2" w:after="0" w:line="364" w:lineRule="auto"/>
        <w:ind w:left="320" w:right="379" w:firstLine="640"/>
        <w:jc w:val="both"/>
        <w:textAlignment w:val="auto"/>
        <w:rPr>
          <w:color w:val="auto"/>
          <w:sz w:val="32"/>
        </w:rPr>
      </w:pPr>
      <w:r>
        <w:rPr>
          <w:color w:val="auto"/>
          <w:spacing w:val="-1"/>
          <w:sz w:val="32"/>
        </w:rPr>
        <w:t>出口企业以边境小额贸易方式代理外国企业、外国自</w:t>
      </w:r>
      <w:r>
        <w:rPr>
          <w:color w:val="auto"/>
          <w:spacing w:val="-15"/>
          <w:w w:val="95"/>
          <w:sz w:val="32"/>
        </w:rPr>
        <w:t xml:space="preserve">然人出口的货物，按规定已备案的，不属于增值税应税范围， </w:t>
      </w:r>
      <w:r>
        <w:rPr>
          <w:color w:val="auto"/>
          <w:spacing w:val="-15"/>
          <w:sz w:val="32"/>
        </w:rPr>
        <w:t>其仅就代理费收入进行增值税申报。</w:t>
      </w:r>
    </w:p>
    <w:p>
      <w:pPr>
        <w:pStyle w:val="12"/>
        <w:keepNext w:val="0"/>
        <w:keepLines w:val="0"/>
        <w:pageBreakBefore w:val="0"/>
        <w:widowControl w:val="0"/>
        <w:numPr>
          <w:ilvl w:val="1"/>
          <w:numId w:val="19"/>
        </w:numPr>
        <w:tabs>
          <w:tab w:val="left" w:pos="1283"/>
        </w:tabs>
        <w:kinsoku/>
        <w:wordWrap/>
        <w:overflowPunct/>
        <w:topLinePunct w:val="0"/>
        <w:autoSpaceDE w:val="0"/>
        <w:autoSpaceDN w:val="0"/>
        <w:bidi w:val="0"/>
        <w:adjustRightInd/>
        <w:snapToGrid/>
        <w:spacing w:before="2" w:after="0" w:line="240" w:lineRule="auto"/>
        <w:ind w:left="1282" w:right="0" w:hanging="323"/>
        <w:jc w:val="both"/>
        <w:textAlignment w:val="auto"/>
        <w:rPr>
          <w:color w:val="auto"/>
          <w:sz w:val="32"/>
        </w:rPr>
      </w:pPr>
      <w:r>
        <w:rPr>
          <w:color w:val="auto"/>
          <w:sz w:val="32"/>
        </w:rPr>
        <w:t>边境货物进出口口岸包括：</w:t>
      </w:r>
    </w:p>
    <w:p>
      <w:pPr>
        <w:pStyle w:val="4"/>
        <w:keepNext w:val="0"/>
        <w:keepLines w:val="0"/>
        <w:pageBreakBefore w:val="0"/>
        <w:widowControl w:val="0"/>
        <w:kinsoku/>
        <w:wordWrap/>
        <w:overflowPunct/>
        <w:topLinePunct w:val="0"/>
        <w:autoSpaceDE w:val="0"/>
        <w:autoSpaceDN w:val="0"/>
        <w:bidi w:val="0"/>
        <w:adjustRightInd/>
        <w:snapToGrid/>
        <w:spacing w:line="364" w:lineRule="auto"/>
        <w:ind w:right="379"/>
        <w:jc w:val="both"/>
        <w:textAlignment w:val="auto"/>
        <w:rPr>
          <w:color w:val="auto"/>
        </w:rPr>
      </w:pPr>
      <w:r>
        <w:rPr>
          <w:color w:val="auto"/>
        </w:rPr>
        <w:t>内蒙古自治区：室韦、黑山头、满洲里、阿日哈沙特、</w:t>
      </w:r>
      <w:r>
        <w:rPr>
          <w:color w:val="auto"/>
          <w:w w:val="95"/>
        </w:rPr>
        <w:t>额布都格、二连、珠恩嘎达布其、满都拉、甘其毛道、策克。</w:t>
      </w:r>
    </w:p>
    <w:p>
      <w:pPr>
        <w:pStyle w:val="4"/>
        <w:keepNext w:val="0"/>
        <w:keepLines w:val="0"/>
        <w:pageBreakBefore w:val="0"/>
        <w:widowControl w:val="0"/>
        <w:kinsoku/>
        <w:wordWrap/>
        <w:overflowPunct/>
        <w:topLinePunct w:val="0"/>
        <w:autoSpaceDE w:val="0"/>
        <w:autoSpaceDN w:val="0"/>
        <w:bidi w:val="0"/>
        <w:adjustRightInd/>
        <w:snapToGrid/>
        <w:spacing w:before="2"/>
        <w:ind w:left="960" w:firstLine="0"/>
        <w:jc w:val="both"/>
        <w:textAlignment w:val="auto"/>
        <w:rPr>
          <w:color w:val="auto"/>
        </w:rPr>
      </w:pPr>
      <w:r>
        <w:rPr>
          <w:color w:val="auto"/>
        </w:rPr>
        <w:t>辽宁省：丹东、太平湾。</w:t>
      </w:r>
    </w:p>
    <w:p>
      <w:pPr>
        <w:pStyle w:val="4"/>
        <w:keepNext w:val="0"/>
        <w:keepLines w:val="0"/>
        <w:pageBreakBefore w:val="0"/>
        <w:widowControl w:val="0"/>
        <w:kinsoku/>
        <w:wordWrap/>
        <w:overflowPunct/>
        <w:topLinePunct w:val="0"/>
        <w:autoSpaceDE w:val="0"/>
        <w:autoSpaceDN w:val="0"/>
        <w:bidi w:val="0"/>
        <w:adjustRightInd/>
        <w:snapToGrid/>
        <w:spacing w:line="364" w:lineRule="auto"/>
        <w:ind w:right="495"/>
        <w:jc w:val="both"/>
        <w:textAlignment w:val="auto"/>
        <w:rPr>
          <w:color w:val="auto"/>
        </w:rPr>
      </w:pPr>
      <w:r>
        <w:rPr>
          <w:color w:val="auto"/>
        </w:rPr>
        <w:t>吉林省：集安、临江、长白、古城里、南坪、三合、开三屯、图们、沙坨子、圈河、珲春、老虎哨。</w:t>
      </w:r>
    </w:p>
    <w:p>
      <w:pPr>
        <w:pStyle w:val="4"/>
        <w:keepNext w:val="0"/>
        <w:keepLines w:val="0"/>
        <w:pageBreakBefore w:val="0"/>
        <w:widowControl w:val="0"/>
        <w:kinsoku/>
        <w:wordWrap/>
        <w:overflowPunct/>
        <w:topLinePunct w:val="0"/>
        <w:autoSpaceDE w:val="0"/>
        <w:autoSpaceDN w:val="0"/>
        <w:bidi w:val="0"/>
        <w:adjustRightInd/>
        <w:snapToGrid/>
        <w:spacing w:before="2" w:line="364" w:lineRule="auto"/>
        <w:ind w:right="525"/>
        <w:jc w:val="both"/>
        <w:textAlignment w:val="auto"/>
        <w:rPr>
          <w:color w:val="auto"/>
        </w:rPr>
      </w:pPr>
      <w:r>
        <w:rPr>
          <w:color w:val="auto"/>
        </w:rPr>
        <w:t>黑龙江省：东宁、绥芬河、密山、虎林、饶河、抚远、同江、萝北、嘉荫、孙吴、逊克、黑河、呼玛、漠河（包括洛古河）。</w:t>
      </w:r>
    </w:p>
    <w:p>
      <w:pPr>
        <w:pStyle w:val="4"/>
        <w:keepNext w:val="0"/>
        <w:keepLines w:val="0"/>
        <w:pageBreakBefore w:val="0"/>
        <w:widowControl w:val="0"/>
        <w:kinsoku/>
        <w:wordWrap/>
        <w:overflowPunct/>
        <w:topLinePunct w:val="0"/>
        <w:autoSpaceDE w:val="0"/>
        <w:autoSpaceDN w:val="0"/>
        <w:bidi w:val="0"/>
        <w:adjustRightInd/>
        <w:snapToGrid/>
        <w:spacing w:before="2" w:line="364" w:lineRule="auto"/>
        <w:ind w:right="525"/>
        <w:jc w:val="both"/>
        <w:textAlignment w:val="auto"/>
        <w:rPr>
          <w:color w:val="auto"/>
        </w:rPr>
      </w:pPr>
      <w:r>
        <w:rPr>
          <w:color w:val="auto"/>
        </w:rPr>
        <w:t>广西壮族自治区：龙邦、水口、凭祥、友谊关、东兴、平孟、峒中、爱店、硕龙、岳圩、平尔、科甲。</w:t>
      </w:r>
    </w:p>
    <w:p>
      <w:pPr>
        <w:pStyle w:val="4"/>
        <w:keepNext w:val="0"/>
        <w:keepLines w:val="0"/>
        <w:pageBreakBefore w:val="0"/>
        <w:widowControl w:val="0"/>
        <w:kinsoku/>
        <w:wordWrap/>
        <w:overflowPunct/>
        <w:topLinePunct w:val="0"/>
        <w:autoSpaceDE w:val="0"/>
        <w:autoSpaceDN w:val="0"/>
        <w:bidi w:val="0"/>
        <w:adjustRightInd/>
        <w:snapToGrid/>
        <w:spacing w:before="2" w:line="364" w:lineRule="auto"/>
        <w:ind w:right="378"/>
        <w:jc w:val="both"/>
        <w:textAlignment w:val="auto"/>
        <w:rPr>
          <w:color w:val="auto"/>
        </w:rPr>
      </w:pPr>
      <w:r>
        <w:rPr>
          <w:color w:val="auto"/>
          <w:spacing w:val="-13"/>
        </w:rPr>
        <w:t>云南省：猴桥、瑞丽、畹町、孟定、打洛、磨憨、河口、</w:t>
      </w:r>
      <w:r>
        <w:rPr>
          <w:color w:val="auto"/>
          <w:spacing w:val="-2"/>
        </w:rPr>
        <w:t>金水河、天保、片马、盈江、章凤、南伞、孟连、沧源、田蓬。</w:t>
      </w:r>
    </w:p>
    <w:p>
      <w:pPr>
        <w:pStyle w:val="4"/>
        <w:keepNext w:val="0"/>
        <w:keepLines w:val="0"/>
        <w:pageBreakBefore w:val="0"/>
        <w:widowControl w:val="0"/>
        <w:kinsoku/>
        <w:wordWrap/>
        <w:overflowPunct/>
        <w:topLinePunct w:val="0"/>
        <w:autoSpaceDE w:val="0"/>
        <w:autoSpaceDN w:val="0"/>
        <w:bidi w:val="0"/>
        <w:adjustRightInd/>
        <w:snapToGrid/>
        <w:spacing w:before="30"/>
        <w:ind w:left="960" w:firstLine="0"/>
        <w:jc w:val="both"/>
        <w:textAlignment w:val="auto"/>
        <w:rPr>
          <w:color w:val="auto"/>
        </w:rPr>
      </w:pPr>
      <w:r>
        <w:rPr>
          <w:color w:val="auto"/>
        </w:rPr>
        <w:t>西藏自治区：普兰、吉隆、樟木、日屋。</w:t>
      </w:r>
    </w:p>
    <w:p>
      <w:pPr>
        <w:pStyle w:val="4"/>
        <w:keepNext w:val="0"/>
        <w:keepLines w:val="0"/>
        <w:pageBreakBefore w:val="0"/>
        <w:widowControl w:val="0"/>
        <w:kinsoku/>
        <w:wordWrap/>
        <w:overflowPunct/>
        <w:topLinePunct w:val="0"/>
        <w:autoSpaceDE w:val="0"/>
        <w:autoSpaceDN w:val="0"/>
        <w:bidi w:val="0"/>
        <w:adjustRightInd/>
        <w:snapToGrid/>
        <w:spacing w:line="364" w:lineRule="auto"/>
        <w:ind w:right="535"/>
        <w:jc w:val="both"/>
        <w:textAlignment w:val="auto"/>
        <w:rPr>
          <w:color w:val="auto"/>
        </w:rPr>
      </w:pPr>
      <w:r>
        <w:rPr>
          <w:color w:val="auto"/>
          <w:spacing w:val="-3"/>
        </w:rPr>
        <w:t>新疆维吾尔自治区：老爷庙、乌拉斯台、塔克什肯、红山嘴、吉木乃、巴克图、阿拉山口、霍尔果斯、都拉塔、阿</w:t>
      </w:r>
      <w:r>
        <w:rPr>
          <w:color w:val="auto"/>
          <w:spacing w:val="-3"/>
          <w:w w:val="95"/>
        </w:rPr>
        <w:t xml:space="preserve">黑土别克、木扎尔特、吐尔尕特、伊尔克什坦、卡拉苏、红 </w:t>
      </w:r>
      <w:r>
        <w:rPr>
          <w:color w:val="auto"/>
          <w:spacing w:val="-3"/>
        </w:rPr>
        <w:t>其拉甫。</w:t>
      </w:r>
    </w:p>
    <w:p>
      <w:pPr>
        <w:pStyle w:val="12"/>
        <w:keepNext w:val="0"/>
        <w:keepLines w:val="0"/>
        <w:pageBreakBefore w:val="0"/>
        <w:widowControl w:val="0"/>
        <w:numPr>
          <w:ilvl w:val="1"/>
          <w:numId w:val="19"/>
        </w:numPr>
        <w:tabs>
          <w:tab w:val="left" w:pos="1283"/>
        </w:tabs>
        <w:kinsoku/>
        <w:wordWrap/>
        <w:overflowPunct/>
        <w:topLinePunct w:val="0"/>
        <w:autoSpaceDE w:val="0"/>
        <w:autoSpaceDN w:val="0"/>
        <w:bidi w:val="0"/>
        <w:adjustRightInd/>
        <w:snapToGrid/>
        <w:spacing w:before="3" w:after="0" w:line="364" w:lineRule="auto"/>
        <w:ind w:left="320" w:right="525" w:firstLine="640"/>
        <w:jc w:val="both"/>
        <w:textAlignment w:val="auto"/>
        <w:rPr>
          <w:color w:val="auto"/>
          <w:sz w:val="32"/>
        </w:rPr>
      </w:pPr>
      <w:r>
        <w:rPr>
          <w:color w:val="auto"/>
          <w:spacing w:val="-3"/>
          <w:sz w:val="32"/>
        </w:rPr>
        <w:t>接壤毗邻国家是指：俄罗斯、朝鲜、越南、缅甸、老挝、哈萨克斯坦、吉尔吉斯斯坦、塔吉克斯坦、巴基斯坦、印度、蒙古、尼泊尔、阿富汗、不丹。</w:t>
      </w:r>
    </w:p>
    <w:p>
      <w:pPr>
        <w:pStyle w:val="12"/>
        <w:keepNext w:val="0"/>
        <w:keepLines w:val="0"/>
        <w:pageBreakBefore w:val="0"/>
        <w:widowControl w:val="0"/>
        <w:numPr>
          <w:ilvl w:val="1"/>
          <w:numId w:val="19"/>
        </w:numPr>
        <w:tabs>
          <w:tab w:val="left" w:pos="1283"/>
        </w:tabs>
        <w:kinsoku/>
        <w:wordWrap/>
        <w:overflowPunct/>
        <w:topLinePunct w:val="0"/>
        <w:autoSpaceDE w:val="0"/>
        <w:autoSpaceDN w:val="0"/>
        <w:bidi w:val="0"/>
        <w:adjustRightInd/>
        <w:snapToGrid/>
        <w:spacing w:before="2" w:after="0" w:line="364" w:lineRule="auto"/>
        <w:ind w:left="320" w:right="378" w:firstLine="640"/>
        <w:jc w:val="both"/>
        <w:textAlignment w:val="auto"/>
        <w:rPr>
          <w:color w:val="auto"/>
          <w:sz w:val="32"/>
        </w:rPr>
      </w:pPr>
      <w:r>
        <w:rPr>
          <w:color w:val="auto"/>
          <w:spacing w:val="-1"/>
          <w:sz w:val="32"/>
        </w:rPr>
        <w:t>边境省份出口企业出口符合条件的货物后，除按现行</w:t>
      </w:r>
      <w:r>
        <w:rPr>
          <w:color w:val="auto"/>
          <w:spacing w:val="-2"/>
          <w:sz w:val="32"/>
        </w:rPr>
        <w:t>出口退</w:t>
      </w:r>
      <w:r>
        <w:rPr>
          <w:color w:val="auto"/>
          <w:sz w:val="32"/>
        </w:rPr>
        <w:t>（免</w:t>
      </w:r>
      <w:r>
        <w:rPr>
          <w:color w:val="auto"/>
          <w:spacing w:val="-3"/>
          <w:sz w:val="32"/>
        </w:rPr>
        <w:t>）</w:t>
      </w:r>
      <w:r>
        <w:rPr>
          <w:color w:val="auto"/>
          <w:sz w:val="32"/>
        </w:rPr>
        <w:t>税规定，提供有关出口退（免）</w:t>
      </w:r>
      <w:r>
        <w:rPr>
          <w:color w:val="auto"/>
          <w:spacing w:val="-1"/>
          <w:sz w:val="32"/>
        </w:rPr>
        <w:t>税凭证外，还</w:t>
      </w:r>
      <w:r>
        <w:rPr>
          <w:color w:val="auto"/>
          <w:spacing w:val="-2"/>
          <w:sz w:val="32"/>
        </w:rPr>
        <w:t>应提供结算银行转账人民币结算的银行入账单，按月向税务</w:t>
      </w:r>
      <w:r>
        <w:rPr>
          <w:color w:val="auto"/>
          <w:spacing w:val="-3"/>
          <w:sz w:val="32"/>
        </w:rPr>
        <w:t>机关申请办理退</w:t>
      </w:r>
      <w:r>
        <w:rPr>
          <w:color w:val="auto"/>
          <w:sz w:val="32"/>
        </w:rPr>
        <w:t>（免</w:t>
      </w:r>
      <w:r>
        <w:rPr>
          <w:color w:val="auto"/>
          <w:spacing w:val="-3"/>
          <w:sz w:val="32"/>
        </w:rPr>
        <w:t>）</w:t>
      </w:r>
      <w:r>
        <w:rPr>
          <w:color w:val="auto"/>
          <w:spacing w:val="-1"/>
          <w:sz w:val="32"/>
        </w:rPr>
        <w:t>税或免抵退税手续。对确有困难而不</w:t>
      </w:r>
      <w:r>
        <w:rPr>
          <w:color w:val="auto"/>
          <w:spacing w:val="11"/>
          <w:sz w:val="32"/>
        </w:rPr>
        <w:t>能提供结算银行转账人民币结算的银行入账单的边境省份</w:t>
      </w:r>
      <w:r>
        <w:rPr>
          <w:color w:val="auto"/>
          <w:sz w:val="32"/>
        </w:rPr>
        <w:t>出口企业，可按照《国家外汇管理局关于边境省区跨境贸易</w:t>
      </w:r>
      <w:r>
        <w:rPr>
          <w:color w:val="auto"/>
          <w:spacing w:val="-8"/>
          <w:sz w:val="32"/>
        </w:rPr>
        <w:t>人民币结算核销管理有关问题的通知》</w:t>
      </w:r>
      <w:r>
        <w:rPr>
          <w:color w:val="auto"/>
          <w:sz w:val="32"/>
        </w:rPr>
        <w:t>（</w:t>
      </w:r>
      <w:r>
        <w:rPr>
          <w:color w:val="auto"/>
          <w:spacing w:val="-20"/>
          <w:sz w:val="32"/>
        </w:rPr>
        <w:t>汇发〔</w:t>
      </w:r>
      <w:r>
        <w:rPr>
          <w:color w:val="auto"/>
          <w:sz w:val="32"/>
        </w:rPr>
        <w:t>2010</w:t>
      </w:r>
      <w:r>
        <w:rPr>
          <w:color w:val="auto"/>
          <w:spacing w:val="-63"/>
          <w:sz w:val="32"/>
        </w:rPr>
        <w:t>〕</w:t>
      </w:r>
      <w:r>
        <w:rPr>
          <w:color w:val="auto"/>
          <w:sz w:val="32"/>
        </w:rPr>
        <w:t>40</w:t>
      </w:r>
      <w:r>
        <w:rPr>
          <w:color w:val="auto"/>
          <w:spacing w:val="-46"/>
          <w:sz w:val="32"/>
        </w:rPr>
        <w:t xml:space="preserve"> 号</w:t>
      </w:r>
      <w:r>
        <w:rPr>
          <w:color w:val="auto"/>
          <w:sz w:val="32"/>
        </w:rPr>
        <w:t xml:space="preserve">） </w:t>
      </w:r>
      <w:r>
        <w:rPr>
          <w:color w:val="auto"/>
          <w:spacing w:val="-3"/>
          <w:sz w:val="32"/>
        </w:rPr>
        <w:t>相关规定，凭签注“人民币核销”的出口收汇核销单退税专用联向税务机关直接办理退税。</w:t>
      </w:r>
    </w:p>
    <w:p>
      <w:pPr>
        <w:pStyle w:val="12"/>
        <w:keepNext w:val="0"/>
        <w:keepLines w:val="0"/>
        <w:pageBreakBefore w:val="0"/>
        <w:widowControl w:val="0"/>
        <w:numPr>
          <w:ilvl w:val="1"/>
          <w:numId w:val="19"/>
        </w:numPr>
        <w:tabs>
          <w:tab w:val="left" w:pos="1280"/>
        </w:tabs>
        <w:kinsoku/>
        <w:wordWrap/>
        <w:overflowPunct/>
        <w:topLinePunct w:val="0"/>
        <w:autoSpaceDE w:val="0"/>
        <w:autoSpaceDN w:val="0"/>
        <w:bidi w:val="0"/>
        <w:adjustRightInd/>
        <w:snapToGrid/>
        <w:spacing w:before="8" w:after="0" w:line="364" w:lineRule="auto"/>
        <w:ind w:left="320" w:right="537" w:firstLine="640"/>
        <w:jc w:val="both"/>
        <w:textAlignment w:val="auto"/>
        <w:rPr>
          <w:color w:val="auto"/>
          <w:sz w:val="32"/>
        </w:rPr>
      </w:pPr>
      <w:r>
        <w:rPr>
          <w:color w:val="auto"/>
          <w:spacing w:val="-1"/>
          <w:sz w:val="32"/>
        </w:rPr>
        <w:t>以边境小额贸易方式代理外国企业、外国自然人出口</w:t>
      </w:r>
      <w:r>
        <w:rPr>
          <w:color w:val="auto"/>
          <w:spacing w:val="-4"/>
          <w:sz w:val="32"/>
        </w:rPr>
        <w:t>货物，出口企业应当在货物报关出口之日</w:t>
      </w:r>
      <w:r>
        <w:rPr>
          <w:color w:val="auto"/>
          <w:sz w:val="32"/>
        </w:rPr>
        <w:t>（以出口货物报关</w:t>
      </w:r>
      <w:r>
        <w:rPr>
          <w:color w:val="auto"/>
          <w:spacing w:val="6"/>
          <w:sz w:val="32"/>
        </w:rPr>
        <w:t>单上的出口日期为准</w:t>
      </w:r>
      <w:r>
        <w:rPr>
          <w:color w:val="auto"/>
          <w:spacing w:val="7"/>
          <w:sz w:val="32"/>
        </w:rPr>
        <w:t>）</w:t>
      </w:r>
      <w:r>
        <w:rPr>
          <w:color w:val="auto"/>
          <w:spacing w:val="-8"/>
          <w:sz w:val="32"/>
        </w:rPr>
        <w:t xml:space="preserve">次月起至次年 </w:t>
      </w:r>
      <w:r>
        <w:rPr>
          <w:color w:val="auto"/>
          <w:sz w:val="32"/>
        </w:rPr>
        <w:t>4</w:t>
      </w:r>
      <w:r>
        <w:rPr>
          <w:color w:val="auto"/>
          <w:spacing w:val="-53"/>
          <w:sz w:val="32"/>
        </w:rPr>
        <w:t xml:space="preserve"> 月 </w:t>
      </w:r>
      <w:r>
        <w:rPr>
          <w:color w:val="auto"/>
          <w:sz w:val="32"/>
        </w:rPr>
        <w:t>30</w:t>
      </w:r>
      <w:r>
        <w:rPr>
          <w:color w:val="auto"/>
          <w:spacing w:val="-8"/>
          <w:sz w:val="32"/>
        </w:rPr>
        <w:t xml:space="preserve"> 日前的各增值税纳税申报期内，提供相关资料向主管税务机关办理代理报关备案。</w:t>
      </w:r>
    </w:p>
    <w:p>
      <w:pPr>
        <w:keepNext w:val="0"/>
        <w:keepLines w:val="0"/>
        <w:pageBreakBefore w:val="0"/>
        <w:widowControl w:val="0"/>
        <w:kinsoku/>
        <w:wordWrap/>
        <w:overflowPunct/>
        <w:topLinePunct w:val="0"/>
        <w:autoSpaceDE w:val="0"/>
        <w:autoSpaceDN w:val="0"/>
        <w:bidi w:val="0"/>
        <w:adjustRightInd/>
        <w:snapToGrid/>
        <w:spacing w:before="30"/>
        <w:ind w:left="320" w:right="0" w:firstLine="0"/>
        <w:jc w:val="both"/>
        <w:textAlignment w:val="auto"/>
        <w:rPr>
          <w:rFonts w:hint="eastAsia" w:ascii="宋体" w:eastAsia="宋体"/>
          <w:b/>
          <w:color w:val="auto"/>
          <w:sz w:val="32"/>
        </w:rPr>
      </w:pPr>
      <w:r>
        <w:rPr>
          <w:rFonts w:hint="eastAsia" w:ascii="宋体" w:eastAsia="宋体"/>
          <w:b/>
          <w:color w:val="auto"/>
          <w:sz w:val="32"/>
        </w:rPr>
        <w:t>【政策依据】</w:t>
      </w:r>
    </w:p>
    <w:p>
      <w:pPr>
        <w:pStyle w:val="12"/>
        <w:keepNext w:val="0"/>
        <w:keepLines w:val="0"/>
        <w:pageBreakBefore w:val="0"/>
        <w:widowControl w:val="0"/>
        <w:numPr>
          <w:ilvl w:val="0"/>
          <w:numId w:val="20"/>
        </w:numPr>
        <w:tabs>
          <w:tab w:val="left" w:pos="1285"/>
        </w:tabs>
        <w:kinsoku/>
        <w:wordWrap/>
        <w:overflowPunct/>
        <w:topLinePunct w:val="0"/>
        <w:autoSpaceDE w:val="0"/>
        <w:autoSpaceDN w:val="0"/>
        <w:bidi w:val="0"/>
        <w:adjustRightInd/>
        <w:snapToGrid/>
        <w:spacing w:before="235" w:after="0" w:line="326" w:lineRule="auto"/>
        <w:ind w:left="320" w:right="537" w:firstLine="640"/>
        <w:jc w:val="both"/>
        <w:textAlignment w:val="auto"/>
        <w:rPr>
          <w:rFonts w:hint="eastAsia" w:ascii="黑体" w:eastAsia="黑体"/>
          <w:color w:val="auto"/>
          <w:sz w:val="32"/>
        </w:rPr>
      </w:pPr>
      <w:r>
        <w:rPr>
          <w:rFonts w:hint="eastAsia" w:ascii="黑体" w:eastAsia="黑体"/>
          <w:color w:val="auto"/>
          <w:spacing w:val="1"/>
          <w:sz w:val="32"/>
        </w:rPr>
        <w:t>《财政部 国家税务总局关于边境地区一般贸易和边</w:t>
      </w:r>
      <w:r>
        <w:rPr>
          <w:rFonts w:hint="eastAsia" w:ascii="黑体" w:eastAsia="黑体"/>
          <w:color w:val="auto"/>
          <w:sz w:val="32"/>
        </w:rPr>
        <w:t>境小额贸易出口货物以人民币结算准予退（免</w:t>
      </w:r>
      <w:r>
        <w:rPr>
          <w:rFonts w:hint="eastAsia" w:ascii="黑体" w:eastAsia="黑体"/>
          <w:color w:val="auto"/>
          <w:spacing w:val="-7"/>
          <w:sz w:val="32"/>
        </w:rPr>
        <w:t>）</w:t>
      </w:r>
      <w:r>
        <w:rPr>
          <w:rFonts w:hint="eastAsia" w:ascii="黑体" w:eastAsia="黑体"/>
          <w:color w:val="auto"/>
          <w:sz w:val="32"/>
        </w:rPr>
        <w:t>税试点的通知》（财税〔2010〕26</w:t>
      </w:r>
      <w:r>
        <w:rPr>
          <w:rFonts w:hint="eastAsia" w:ascii="黑体" w:eastAsia="黑体"/>
          <w:color w:val="auto"/>
          <w:spacing w:val="-41"/>
          <w:sz w:val="32"/>
        </w:rPr>
        <w:t xml:space="preserve"> 号</w:t>
      </w:r>
      <w:r>
        <w:rPr>
          <w:rFonts w:hint="eastAsia" w:ascii="黑体" w:eastAsia="黑体"/>
          <w:color w:val="auto"/>
          <w:sz w:val="32"/>
        </w:rPr>
        <w:t>）</w:t>
      </w:r>
    </w:p>
    <w:p>
      <w:pPr>
        <w:pStyle w:val="12"/>
        <w:keepNext w:val="0"/>
        <w:keepLines w:val="0"/>
        <w:pageBreakBefore w:val="0"/>
        <w:widowControl w:val="0"/>
        <w:numPr>
          <w:ilvl w:val="0"/>
          <w:numId w:val="20"/>
        </w:numPr>
        <w:tabs>
          <w:tab w:val="left" w:pos="1285"/>
        </w:tabs>
        <w:kinsoku/>
        <w:wordWrap/>
        <w:overflowPunct/>
        <w:topLinePunct w:val="0"/>
        <w:autoSpaceDE w:val="0"/>
        <w:autoSpaceDN w:val="0"/>
        <w:bidi w:val="0"/>
        <w:adjustRightInd/>
        <w:snapToGrid/>
        <w:spacing w:before="8" w:after="0" w:line="326" w:lineRule="auto"/>
        <w:ind w:left="320" w:right="537" w:firstLine="640"/>
        <w:jc w:val="both"/>
        <w:textAlignment w:val="auto"/>
        <w:rPr>
          <w:rFonts w:hint="eastAsia" w:ascii="黑体" w:eastAsia="黑体"/>
          <w:color w:val="auto"/>
          <w:sz w:val="32"/>
        </w:rPr>
      </w:pPr>
      <w:r>
        <w:rPr>
          <w:rFonts w:hint="eastAsia" w:ascii="黑体" w:eastAsia="黑体"/>
          <w:color w:val="auto"/>
          <w:spacing w:val="1"/>
          <w:sz w:val="32"/>
        </w:rPr>
        <w:t>《财政部 国家税务总局关于边境地区一般贸易和边</w:t>
      </w:r>
      <w:r>
        <w:rPr>
          <w:rFonts w:hint="eastAsia" w:ascii="黑体" w:eastAsia="黑体"/>
          <w:color w:val="auto"/>
          <w:sz w:val="32"/>
        </w:rPr>
        <w:t>境小额贸易出口货物以人民币结算准予退（免</w:t>
      </w:r>
      <w:r>
        <w:rPr>
          <w:rFonts w:hint="eastAsia" w:ascii="黑体" w:eastAsia="黑体"/>
          <w:color w:val="auto"/>
          <w:spacing w:val="-7"/>
          <w:sz w:val="32"/>
        </w:rPr>
        <w:t>）</w:t>
      </w:r>
      <w:r>
        <w:rPr>
          <w:rFonts w:hint="eastAsia" w:ascii="黑体" w:eastAsia="黑体"/>
          <w:color w:val="auto"/>
          <w:sz w:val="32"/>
        </w:rPr>
        <w:t>税试点的补充通知》（财税〔2011〕8</w:t>
      </w:r>
      <w:r>
        <w:rPr>
          <w:rFonts w:hint="eastAsia" w:ascii="黑体" w:eastAsia="黑体"/>
          <w:color w:val="auto"/>
          <w:spacing w:val="-41"/>
          <w:sz w:val="32"/>
        </w:rPr>
        <w:t xml:space="preserve"> 号</w:t>
      </w:r>
      <w:r>
        <w:rPr>
          <w:rFonts w:hint="eastAsia" w:ascii="黑体" w:eastAsia="黑体"/>
          <w:color w:val="auto"/>
          <w:sz w:val="32"/>
        </w:rPr>
        <w:t>）</w:t>
      </w:r>
    </w:p>
    <w:p>
      <w:pPr>
        <w:pStyle w:val="12"/>
        <w:keepNext w:val="0"/>
        <w:keepLines w:val="0"/>
        <w:pageBreakBefore w:val="0"/>
        <w:widowControl w:val="0"/>
        <w:numPr>
          <w:ilvl w:val="0"/>
          <w:numId w:val="20"/>
        </w:numPr>
        <w:tabs>
          <w:tab w:val="left" w:pos="1283"/>
        </w:tabs>
        <w:kinsoku/>
        <w:wordWrap/>
        <w:overflowPunct/>
        <w:topLinePunct w:val="0"/>
        <w:autoSpaceDE w:val="0"/>
        <w:autoSpaceDN w:val="0"/>
        <w:bidi w:val="0"/>
        <w:adjustRightInd/>
        <w:snapToGrid/>
        <w:spacing w:before="7" w:after="0" w:line="326" w:lineRule="auto"/>
        <w:ind w:left="320" w:right="540" w:firstLine="640"/>
        <w:jc w:val="both"/>
        <w:textAlignment w:val="auto"/>
        <w:rPr>
          <w:rFonts w:hint="eastAsia" w:ascii="黑体" w:eastAsia="黑体"/>
          <w:color w:val="auto"/>
          <w:sz w:val="32"/>
        </w:rPr>
      </w:pPr>
      <w:r>
        <w:rPr>
          <w:rFonts w:hint="eastAsia" w:ascii="黑体" w:eastAsia="黑体"/>
          <w:color w:val="auto"/>
          <w:sz w:val="32"/>
        </w:rPr>
        <w:t>《国家税务总局关于部分税务行政审批事项取消后有关管理问题的公告》（2015</w:t>
      </w:r>
      <w:r>
        <w:rPr>
          <w:rFonts w:hint="eastAsia" w:ascii="黑体" w:eastAsia="黑体"/>
          <w:color w:val="auto"/>
          <w:spacing w:val="-42"/>
          <w:sz w:val="32"/>
        </w:rPr>
        <w:t xml:space="preserve"> 年第 </w:t>
      </w:r>
      <w:r>
        <w:rPr>
          <w:rFonts w:hint="eastAsia" w:ascii="黑体" w:eastAsia="黑体"/>
          <w:color w:val="auto"/>
          <w:sz w:val="32"/>
        </w:rPr>
        <w:t>56</w:t>
      </w:r>
      <w:r>
        <w:rPr>
          <w:rFonts w:hint="eastAsia" w:ascii="黑体" w:eastAsia="黑体"/>
          <w:color w:val="auto"/>
          <w:spacing w:val="-42"/>
          <w:sz w:val="32"/>
        </w:rPr>
        <w:t xml:space="preserve"> 号</w:t>
      </w:r>
      <w:r>
        <w:rPr>
          <w:rFonts w:hint="eastAsia" w:ascii="黑体" w:eastAsia="黑体"/>
          <w:color w:val="auto"/>
          <w:sz w:val="32"/>
        </w:rPr>
        <w:t>）第三条第（八） 项</w:t>
      </w:r>
    </w:p>
    <w:p>
      <w:pPr>
        <w:pStyle w:val="4"/>
        <w:keepNext w:val="0"/>
        <w:keepLines w:val="0"/>
        <w:pageBreakBefore w:val="0"/>
        <w:widowControl w:val="0"/>
        <w:kinsoku/>
        <w:wordWrap/>
        <w:overflowPunct/>
        <w:topLinePunct w:val="0"/>
        <w:autoSpaceDE w:val="0"/>
        <w:autoSpaceDN w:val="0"/>
        <w:bidi w:val="0"/>
        <w:adjustRightInd/>
        <w:snapToGrid/>
        <w:spacing w:before="2"/>
        <w:ind w:left="0" w:firstLine="0"/>
        <w:jc w:val="both"/>
        <w:textAlignment w:val="auto"/>
        <w:rPr>
          <w:rFonts w:ascii="黑体"/>
          <w:color w:val="auto"/>
          <w:sz w:val="40"/>
        </w:rPr>
      </w:pPr>
    </w:p>
    <w:p>
      <w:pPr>
        <w:keepNext w:val="0"/>
        <w:keepLines w:val="0"/>
        <w:pageBreakBefore w:val="0"/>
        <w:widowControl w:val="0"/>
        <w:kinsoku/>
        <w:wordWrap/>
        <w:overflowPunct/>
        <w:topLinePunct w:val="0"/>
        <w:autoSpaceDE w:val="0"/>
        <w:autoSpaceDN w:val="0"/>
        <w:bidi w:val="0"/>
        <w:adjustRightInd/>
        <w:snapToGrid/>
        <w:spacing w:before="1"/>
        <w:ind w:left="320" w:right="0" w:firstLine="0"/>
        <w:jc w:val="both"/>
        <w:textAlignment w:val="auto"/>
        <w:rPr>
          <w:rFonts w:hint="eastAsia" w:ascii="楷体_GB2312" w:eastAsia="楷体_GB2312"/>
          <w:b/>
          <w:color w:val="auto"/>
          <w:sz w:val="36"/>
        </w:rPr>
      </w:pPr>
      <w:bookmarkStart w:id="9" w:name="_TOC_250040"/>
      <w:bookmarkEnd w:id="9"/>
      <w:r>
        <w:rPr>
          <w:rFonts w:hint="eastAsia" w:ascii="楷体_GB2312" w:eastAsia="楷体_GB2312"/>
          <w:b/>
          <w:color w:val="auto"/>
          <w:sz w:val="36"/>
        </w:rPr>
        <w:t>（二）跨境应税行为增值税政策</w:t>
      </w:r>
    </w:p>
    <w:p>
      <w:pPr>
        <w:pStyle w:val="12"/>
        <w:keepNext w:val="0"/>
        <w:keepLines w:val="0"/>
        <w:pageBreakBefore w:val="0"/>
        <w:widowControl w:val="0"/>
        <w:numPr>
          <w:ilvl w:val="0"/>
          <w:numId w:val="19"/>
        </w:numPr>
        <w:tabs>
          <w:tab w:val="left" w:pos="644"/>
        </w:tabs>
        <w:kinsoku/>
        <w:wordWrap/>
        <w:overflowPunct/>
        <w:topLinePunct w:val="0"/>
        <w:autoSpaceDE w:val="0"/>
        <w:autoSpaceDN w:val="0"/>
        <w:bidi w:val="0"/>
        <w:adjustRightInd/>
        <w:snapToGrid/>
        <w:spacing w:before="190" w:after="0" w:line="240" w:lineRule="auto"/>
        <w:ind w:left="643" w:right="0" w:hanging="324"/>
        <w:jc w:val="both"/>
        <w:textAlignment w:val="auto"/>
        <w:rPr>
          <w:rFonts w:hint="eastAsia" w:ascii="仿宋" w:eastAsia="仿宋"/>
          <w:b/>
          <w:color w:val="auto"/>
          <w:sz w:val="30"/>
        </w:rPr>
      </w:pPr>
      <w:bookmarkStart w:id="10" w:name="_TOC_250039"/>
      <w:bookmarkEnd w:id="10"/>
      <w:r>
        <w:rPr>
          <w:rFonts w:hint="eastAsia" w:ascii="宋体" w:eastAsia="宋体"/>
          <w:b/>
          <w:color w:val="auto"/>
          <w:sz w:val="32"/>
        </w:rPr>
        <w:t>跨境应税行为适用增值税零税率政策</w:t>
      </w:r>
    </w:p>
    <w:p>
      <w:pPr>
        <w:keepNext w:val="0"/>
        <w:keepLines w:val="0"/>
        <w:pageBreakBefore w:val="0"/>
        <w:widowControl w:val="0"/>
        <w:kinsoku/>
        <w:wordWrap/>
        <w:overflowPunct/>
        <w:topLinePunct w:val="0"/>
        <w:autoSpaceDE w:val="0"/>
        <w:autoSpaceDN w:val="0"/>
        <w:bidi w:val="0"/>
        <w:adjustRightInd/>
        <w:snapToGrid/>
        <w:spacing w:before="214"/>
        <w:ind w:left="320" w:right="0" w:firstLine="0"/>
        <w:jc w:val="both"/>
        <w:textAlignment w:val="auto"/>
        <w:rPr>
          <w:rFonts w:hint="eastAsia" w:ascii="宋体" w:eastAsia="宋体"/>
          <w:b/>
          <w:color w:val="auto"/>
          <w:sz w:val="32"/>
        </w:rPr>
      </w:pPr>
      <w:r>
        <w:rPr>
          <w:rFonts w:hint="eastAsia" w:ascii="宋体" w:eastAsia="宋体"/>
          <w:b/>
          <w:color w:val="auto"/>
          <w:sz w:val="32"/>
        </w:rPr>
        <w:t>【适用主体】</w:t>
      </w:r>
    </w:p>
    <w:p>
      <w:pPr>
        <w:pStyle w:val="4"/>
        <w:keepNext w:val="0"/>
        <w:keepLines w:val="0"/>
        <w:pageBreakBefore w:val="0"/>
        <w:widowControl w:val="0"/>
        <w:kinsoku/>
        <w:wordWrap/>
        <w:overflowPunct/>
        <w:topLinePunct w:val="0"/>
        <w:autoSpaceDE w:val="0"/>
        <w:autoSpaceDN w:val="0"/>
        <w:bidi w:val="0"/>
        <w:adjustRightInd/>
        <w:snapToGrid/>
        <w:ind w:left="960" w:firstLine="0"/>
        <w:jc w:val="both"/>
        <w:textAlignment w:val="auto"/>
        <w:rPr>
          <w:color w:val="auto"/>
        </w:rPr>
      </w:pPr>
      <w:r>
        <w:rPr>
          <w:color w:val="auto"/>
        </w:rPr>
        <w:t>符合条件的境内单位和个人</w:t>
      </w:r>
    </w:p>
    <w:p>
      <w:pPr>
        <w:keepNext w:val="0"/>
        <w:keepLines w:val="0"/>
        <w:pageBreakBefore w:val="0"/>
        <w:widowControl w:val="0"/>
        <w:kinsoku/>
        <w:wordWrap/>
        <w:overflowPunct/>
        <w:topLinePunct w:val="0"/>
        <w:autoSpaceDE w:val="0"/>
        <w:autoSpaceDN w:val="0"/>
        <w:bidi w:val="0"/>
        <w:adjustRightInd/>
        <w:snapToGrid/>
        <w:spacing w:before="214"/>
        <w:ind w:left="320" w:right="0" w:firstLine="0"/>
        <w:jc w:val="both"/>
        <w:textAlignment w:val="auto"/>
        <w:rPr>
          <w:rFonts w:hint="eastAsia" w:ascii="宋体" w:eastAsia="宋体"/>
          <w:b/>
          <w:color w:val="auto"/>
          <w:sz w:val="32"/>
        </w:rPr>
      </w:pPr>
      <w:r>
        <w:rPr>
          <w:rFonts w:hint="eastAsia" w:ascii="宋体" w:eastAsia="宋体"/>
          <w:b/>
          <w:color w:val="auto"/>
          <w:sz w:val="32"/>
        </w:rPr>
        <w:t>【政策内容】</w:t>
      </w:r>
    </w:p>
    <w:p>
      <w:pPr>
        <w:pStyle w:val="4"/>
        <w:keepNext w:val="0"/>
        <w:keepLines w:val="0"/>
        <w:pageBreakBefore w:val="0"/>
        <w:widowControl w:val="0"/>
        <w:kinsoku/>
        <w:wordWrap/>
        <w:overflowPunct/>
        <w:topLinePunct w:val="0"/>
        <w:autoSpaceDE w:val="0"/>
        <w:autoSpaceDN w:val="0"/>
        <w:bidi w:val="0"/>
        <w:adjustRightInd/>
        <w:snapToGrid/>
        <w:spacing w:line="364" w:lineRule="auto"/>
        <w:ind w:right="495"/>
        <w:jc w:val="both"/>
        <w:textAlignment w:val="auto"/>
        <w:rPr>
          <w:color w:val="auto"/>
        </w:rPr>
      </w:pPr>
      <w:r>
        <w:rPr>
          <w:color w:val="auto"/>
        </w:rPr>
        <w:t>中华人民共和国境内（以下称境内）的单位和个人销售的下列服务和无形资产，适用增值税零税率：</w:t>
      </w:r>
    </w:p>
    <w:p>
      <w:pPr>
        <w:pStyle w:val="12"/>
        <w:keepNext w:val="0"/>
        <w:keepLines w:val="0"/>
        <w:pageBreakBefore w:val="0"/>
        <w:widowControl w:val="0"/>
        <w:numPr>
          <w:ilvl w:val="1"/>
          <w:numId w:val="19"/>
        </w:numPr>
        <w:tabs>
          <w:tab w:val="left" w:pos="1283"/>
        </w:tabs>
        <w:kinsoku/>
        <w:wordWrap/>
        <w:overflowPunct/>
        <w:topLinePunct w:val="0"/>
        <w:autoSpaceDE w:val="0"/>
        <w:autoSpaceDN w:val="0"/>
        <w:bidi w:val="0"/>
        <w:adjustRightInd/>
        <w:snapToGrid/>
        <w:spacing w:before="2" w:after="0" w:line="240" w:lineRule="auto"/>
        <w:ind w:left="1282" w:right="0" w:hanging="323"/>
        <w:jc w:val="both"/>
        <w:textAlignment w:val="auto"/>
        <w:rPr>
          <w:color w:val="auto"/>
          <w:sz w:val="32"/>
        </w:rPr>
      </w:pPr>
      <w:r>
        <w:rPr>
          <w:color w:val="auto"/>
          <w:sz w:val="32"/>
        </w:rPr>
        <w:t>国际运输服务。</w:t>
      </w:r>
    </w:p>
    <w:p>
      <w:pPr>
        <w:pStyle w:val="4"/>
        <w:keepNext w:val="0"/>
        <w:keepLines w:val="0"/>
        <w:pageBreakBefore w:val="0"/>
        <w:widowControl w:val="0"/>
        <w:kinsoku/>
        <w:wordWrap/>
        <w:overflowPunct/>
        <w:topLinePunct w:val="0"/>
        <w:autoSpaceDE w:val="0"/>
        <w:autoSpaceDN w:val="0"/>
        <w:bidi w:val="0"/>
        <w:adjustRightInd/>
        <w:snapToGrid/>
        <w:ind w:left="960" w:firstLine="0"/>
        <w:jc w:val="both"/>
        <w:textAlignment w:val="auto"/>
        <w:rPr>
          <w:color w:val="auto"/>
        </w:rPr>
      </w:pPr>
      <w:r>
        <w:rPr>
          <w:color w:val="auto"/>
        </w:rPr>
        <w:t>国际运输服务，是指：</w:t>
      </w:r>
    </w:p>
    <w:p>
      <w:pPr>
        <w:pStyle w:val="12"/>
        <w:keepNext w:val="0"/>
        <w:keepLines w:val="0"/>
        <w:pageBreakBefore w:val="0"/>
        <w:widowControl w:val="0"/>
        <w:numPr>
          <w:ilvl w:val="0"/>
          <w:numId w:val="21"/>
        </w:numPr>
        <w:tabs>
          <w:tab w:val="left" w:pos="1761"/>
        </w:tabs>
        <w:kinsoku/>
        <w:wordWrap/>
        <w:overflowPunct/>
        <w:topLinePunct w:val="0"/>
        <w:autoSpaceDE w:val="0"/>
        <w:autoSpaceDN w:val="0"/>
        <w:bidi w:val="0"/>
        <w:adjustRightInd/>
        <w:snapToGrid/>
        <w:spacing w:before="214" w:after="0" w:line="240" w:lineRule="auto"/>
        <w:ind w:left="1760" w:right="0" w:hanging="801"/>
        <w:jc w:val="both"/>
        <w:textAlignment w:val="auto"/>
        <w:rPr>
          <w:color w:val="auto"/>
          <w:sz w:val="32"/>
        </w:rPr>
      </w:pPr>
      <w:r>
        <w:rPr>
          <w:color w:val="auto"/>
          <w:w w:val="95"/>
          <w:sz w:val="32"/>
        </w:rPr>
        <w:t>在境内载运旅客或者货物出境。</w:t>
      </w:r>
    </w:p>
    <w:p>
      <w:pPr>
        <w:pStyle w:val="12"/>
        <w:keepNext w:val="0"/>
        <w:keepLines w:val="0"/>
        <w:pageBreakBefore w:val="0"/>
        <w:widowControl w:val="0"/>
        <w:numPr>
          <w:ilvl w:val="0"/>
          <w:numId w:val="21"/>
        </w:numPr>
        <w:tabs>
          <w:tab w:val="left" w:pos="1761"/>
        </w:tabs>
        <w:kinsoku/>
        <w:wordWrap/>
        <w:overflowPunct/>
        <w:topLinePunct w:val="0"/>
        <w:autoSpaceDE w:val="0"/>
        <w:autoSpaceDN w:val="0"/>
        <w:bidi w:val="0"/>
        <w:adjustRightInd/>
        <w:snapToGrid/>
        <w:spacing w:before="214" w:after="0" w:line="240" w:lineRule="auto"/>
        <w:ind w:left="1760" w:right="0" w:hanging="801"/>
        <w:jc w:val="both"/>
        <w:textAlignment w:val="auto"/>
        <w:rPr>
          <w:color w:val="auto"/>
          <w:sz w:val="32"/>
        </w:rPr>
      </w:pPr>
      <w:r>
        <w:rPr>
          <w:color w:val="auto"/>
          <w:w w:val="95"/>
          <w:sz w:val="32"/>
        </w:rPr>
        <w:t>在境外载运旅客或者货物入境。</w:t>
      </w:r>
    </w:p>
    <w:p>
      <w:pPr>
        <w:pStyle w:val="12"/>
        <w:keepNext w:val="0"/>
        <w:keepLines w:val="0"/>
        <w:pageBreakBefore w:val="0"/>
        <w:widowControl w:val="0"/>
        <w:numPr>
          <w:ilvl w:val="0"/>
          <w:numId w:val="21"/>
        </w:numPr>
        <w:tabs>
          <w:tab w:val="left" w:pos="1761"/>
        </w:tabs>
        <w:kinsoku/>
        <w:wordWrap/>
        <w:overflowPunct/>
        <w:topLinePunct w:val="0"/>
        <w:autoSpaceDE w:val="0"/>
        <w:autoSpaceDN w:val="0"/>
        <w:bidi w:val="0"/>
        <w:adjustRightInd/>
        <w:snapToGrid/>
        <w:spacing w:before="214" w:after="0" w:line="364" w:lineRule="auto"/>
        <w:ind w:left="960" w:right="3564" w:firstLine="0"/>
        <w:jc w:val="both"/>
        <w:textAlignment w:val="auto"/>
        <w:rPr>
          <w:color w:val="auto"/>
          <w:sz w:val="32"/>
        </w:rPr>
      </w:pPr>
      <w:r>
        <w:rPr>
          <w:color w:val="auto"/>
          <w:spacing w:val="-2"/>
          <w:sz w:val="32"/>
        </w:rPr>
        <w:t>在境外载运旅客或者货物。</w:t>
      </w:r>
      <w:r>
        <w:rPr>
          <w:color w:val="auto"/>
          <w:sz w:val="32"/>
        </w:rPr>
        <w:t>2.航天运输服务。</w:t>
      </w:r>
    </w:p>
    <w:p>
      <w:pPr>
        <w:pStyle w:val="12"/>
        <w:keepNext w:val="0"/>
        <w:keepLines w:val="0"/>
        <w:pageBreakBefore w:val="0"/>
        <w:widowControl w:val="0"/>
        <w:numPr>
          <w:ilvl w:val="0"/>
          <w:numId w:val="22"/>
        </w:numPr>
        <w:tabs>
          <w:tab w:val="left" w:pos="1283"/>
        </w:tabs>
        <w:kinsoku/>
        <w:wordWrap/>
        <w:overflowPunct/>
        <w:topLinePunct w:val="0"/>
        <w:autoSpaceDE w:val="0"/>
        <w:autoSpaceDN w:val="0"/>
        <w:bidi w:val="0"/>
        <w:adjustRightInd/>
        <w:snapToGrid/>
        <w:spacing w:before="30" w:after="0" w:line="240" w:lineRule="auto"/>
        <w:ind w:left="1282" w:right="0" w:hanging="323"/>
        <w:jc w:val="both"/>
        <w:textAlignment w:val="auto"/>
        <w:rPr>
          <w:color w:val="auto"/>
          <w:sz w:val="32"/>
        </w:rPr>
      </w:pPr>
      <w:r>
        <w:rPr>
          <w:color w:val="auto"/>
          <w:sz w:val="32"/>
        </w:rPr>
        <w:t>向境外单位提供的完全在境外消费的下列服务：</w:t>
      </w:r>
    </w:p>
    <w:p>
      <w:pPr>
        <w:pStyle w:val="12"/>
        <w:keepNext w:val="0"/>
        <w:keepLines w:val="0"/>
        <w:pageBreakBefore w:val="0"/>
        <w:widowControl w:val="0"/>
        <w:numPr>
          <w:ilvl w:val="0"/>
          <w:numId w:val="23"/>
        </w:numPr>
        <w:tabs>
          <w:tab w:val="left" w:pos="1761"/>
        </w:tabs>
        <w:kinsoku/>
        <w:wordWrap/>
        <w:overflowPunct/>
        <w:topLinePunct w:val="0"/>
        <w:autoSpaceDE w:val="0"/>
        <w:autoSpaceDN w:val="0"/>
        <w:bidi w:val="0"/>
        <w:adjustRightInd/>
        <w:snapToGrid/>
        <w:spacing w:before="214" w:after="0" w:line="240" w:lineRule="auto"/>
        <w:ind w:left="1760" w:right="0" w:hanging="801"/>
        <w:jc w:val="both"/>
        <w:textAlignment w:val="auto"/>
        <w:rPr>
          <w:color w:val="auto"/>
          <w:sz w:val="32"/>
        </w:rPr>
      </w:pPr>
      <w:r>
        <w:rPr>
          <w:color w:val="auto"/>
          <w:sz w:val="32"/>
        </w:rPr>
        <w:t>研发服务。</w:t>
      </w:r>
    </w:p>
    <w:p>
      <w:pPr>
        <w:pStyle w:val="12"/>
        <w:keepNext w:val="0"/>
        <w:keepLines w:val="0"/>
        <w:pageBreakBefore w:val="0"/>
        <w:widowControl w:val="0"/>
        <w:numPr>
          <w:ilvl w:val="0"/>
          <w:numId w:val="23"/>
        </w:numPr>
        <w:tabs>
          <w:tab w:val="left" w:pos="1761"/>
        </w:tabs>
        <w:kinsoku/>
        <w:wordWrap/>
        <w:overflowPunct/>
        <w:topLinePunct w:val="0"/>
        <w:autoSpaceDE w:val="0"/>
        <w:autoSpaceDN w:val="0"/>
        <w:bidi w:val="0"/>
        <w:adjustRightInd/>
        <w:snapToGrid/>
        <w:spacing w:before="214" w:after="0" w:line="240" w:lineRule="auto"/>
        <w:ind w:left="1760" w:right="0" w:hanging="801"/>
        <w:jc w:val="both"/>
        <w:textAlignment w:val="auto"/>
        <w:rPr>
          <w:color w:val="auto"/>
          <w:sz w:val="32"/>
        </w:rPr>
      </w:pPr>
      <w:r>
        <w:rPr>
          <w:color w:val="auto"/>
          <w:sz w:val="32"/>
        </w:rPr>
        <w:t>合同能源管理服务。</w:t>
      </w:r>
    </w:p>
    <w:p>
      <w:pPr>
        <w:pStyle w:val="12"/>
        <w:keepNext w:val="0"/>
        <w:keepLines w:val="0"/>
        <w:pageBreakBefore w:val="0"/>
        <w:widowControl w:val="0"/>
        <w:numPr>
          <w:ilvl w:val="0"/>
          <w:numId w:val="23"/>
        </w:numPr>
        <w:tabs>
          <w:tab w:val="left" w:pos="1761"/>
        </w:tabs>
        <w:kinsoku/>
        <w:wordWrap/>
        <w:overflowPunct/>
        <w:topLinePunct w:val="0"/>
        <w:autoSpaceDE w:val="0"/>
        <w:autoSpaceDN w:val="0"/>
        <w:bidi w:val="0"/>
        <w:adjustRightInd/>
        <w:snapToGrid/>
        <w:spacing w:before="214" w:after="0" w:line="240" w:lineRule="auto"/>
        <w:ind w:left="1760" w:right="0" w:hanging="801"/>
        <w:jc w:val="both"/>
        <w:textAlignment w:val="auto"/>
        <w:rPr>
          <w:color w:val="auto"/>
          <w:sz w:val="32"/>
        </w:rPr>
      </w:pPr>
      <w:r>
        <w:rPr>
          <w:color w:val="auto"/>
          <w:sz w:val="32"/>
        </w:rPr>
        <w:t>设计服务。</w:t>
      </w:r>
    </w:p>
    <w:p>
      <w:pPr>
        <w:pStyle w:val="12"/>
        <w:keepNext w:val="0"/>
        <w:keepLines w:val="0"/>
        <w:pageBreakBefore w:val="0"/>
        <w:widowControl w:val="0"/>
        <w:numPr>
          <w:ilvl w:val="0"/>
          <w:numId w:val="23"/>
        </w:numPr>
        <w:tabs>
          <w:tab w:val="left" w:pos="1761"/>
        </w:tabs>
        <w:kinsoku/>
        <w:wordWrap/>
        <w:overflowPunct/>
        <w:topLinePunct w:val="0"/>
        <w:autoSpaceDE w:val="0"/>
        <w:autoSpaceDN w:val="0"/>
        <w:bidi w:val="0"/>
        <w:adjustRightInd/>
        <w:snapToGrid/>
        <w:spacing w:before="214" w:after="0" w:line="240" w:lineRule="auto"/>
        <w:ind w:left="1760" w:right="0" w:hanging="801"/>
        <w:jc w:val="both"/>
        <w:textAlignment w:val="auto"/>
        <w:rPr>
          <w:color w:val="auto"/>
          <w:sz w:val="32"/>
        </w:rPr>
      </w:pPr>
      <w:r>
        <w:rPr>
          <w:color w:val="auto"/>
          <w:sz w:val="32"/>
        </w:rPr>
        <w:t>广播影视节目（作品）的制作和发行服务。</w:t>
      </w:r>
    </w:p>
    <w:p>
      <w:pPr>
        <w:pStyle w:val="12"/>
        <w:keepNext w:val="0"/>
        <w:keepLines w:val="0"/>
        <w:pageBreakBefore w:val="0"/>
        <w:widowControl w:val="0"/>
        <w:numPr>
          <w:ilvl w:val="0"/>
          <w:numId w:val="23"/>
        </w:numPr>
        <w:tabs>
          <w:tab w:val="left" w:pos="1761"/>
        </w:tabs>
        <w:kinsoku/>
        <w:wordWrap/>
        <w:overflowPunct/>
        <w:topLinePunct w:val="0"/>
        <w:autoSpaceDE w:val="0"/>
        <w:autoSpaceDN w:val="0"/>
        <w:bidi w:val="0"/>
        <w:adjustRightInd/>
        <w:snapToGrid/>
        <w:spacing w:before="214" w:after="0" w:line="240" w:lineRule="auto"/>
        <w:ind w:left="1760" w:right="0" w:hanging="801"/>
        <w:jc w:val="both"/>
        <w:textAlignment w:val="auto"/>
        <w:rPr>
          <w:color w:val="auto"/>
          <w:sz w:val="32"/>
        </w:rPr>
      </w:pPr>
      <w:r>
        <w:rPr>
          <w:color w:val="auto"/>
          <w:sz w:val="32"/>
        </w:rPr>
        <w:t>软件服务。</w:t>
      </w:r>
    </w:p>
    <w:p>
      <w:pPr>
        <w:pStyle w:val="12"/>
        <w:keepNext w:val="0"/>
        <w:keepLines w:val="0"/>
        <w:pageBreakBefore w:val="0"/>
        <w:widowControl w:val="0"/>
        <w:numPr>
          <w:ilvl w:val="0"/>
          <w:numId w:val="23"/>
        </w:numPr>
        <w:tabs>
          <w:tab w:val="left" w:pos="1761"/>
        </w:tabs>
        <w:kinsoku/>
        <w:wordWrap/>
        <w:overflowPunct/>
        <w:topLinePunct w:val="0"/>
        <w:autoSpaceDE w:val="0"/>
        <w:autoSpaceDN w:val="0"/>
        <w:bidi w:val="0"/>
        <w:adjustRightInd/>
        <w:snapToGrid/>
        <w:spacing w:before="214" w:after="0" w:line="240" w:lineRule="auto"/>
        <w:ind w:left="1760" w:right="0" w:hanging="801"/>
        <w:jc w:val="both"/>
        <w:textAlignment w:val="auto"/>
        <w:rPr>
          <w:color w:val="auto"/>
          <w:sz w:val="32"/>
        </w:rPr>
      </w:pPr>
      <w:r>
        <w:rPr>
          <w:color w:val="auto"/>
          <w:sz w:val="32"/>
        </w:rPr>
        <w:t>电路设计及测试服务。</w:t>
      </w:r>
    </w:p>
    <w:p>
      <w:pPr>
        <w:pStyle w:val="12"/>
        <w:keepNext w:val="0"/>
        <w:keepLines w:val="0"/>
        <w:pageBreakBefore w:val="0"/>
        <w:widowControl w:val="0"/>
        <w:numPr>
          <w:ilvl w:val="0"/>
          <w:numId w:val="23"/>
        </w:numPr>
        <w:tabs>
          <w:tab w:val="left" w:pos="1761"/>
        </w:tabs>
        <w:kinsoku/>
        <w:wordWrap/>
        <w:overflowPunct/>
        <w:topLinePunct w:val="0"/>
        <w:autoSpaceDE w:val="0"/>
        <w:autoSpaceDN w:val="0"/>
        <w:bidi w:val="0"/>
        <w:adjustRightInd/>
        <w:snapToGrid/>
        <w:spacing w:before="214" w:after="0" w:line="240" w:lineRule="auto"/>
        <w:ind w:left="1760" w:right="0" w:hanging="801"/>
        <w:jc w:val="both"/>
        <w:textAlignment w:val="auto"/>
        <w:rPr>
          <w:color w:val="auto"/>
          <w:sz w:val="32"/>
        </w:rPr>
      </w:pPr>
      <w:r>
        <w:rPr>
          <w:color w:val="auto"/>
          <w:sz w:val="32"/>
        </w:rPr>
        <w:t>信息系统服务。</w:t>
      </w:r>
    </w:p>
    <w:p>
      <w:pPr>
        <w:pStyle w:val="12"/>
        <w:keepNext w:val="0"/>
        <w:keepLines w:val="0"/>
        <w:pageBreakBefore w:val="0"/>
        <w:widowControl w:val="0"/>
        <w:numPr>
          <w:ilvl w:val="0"/>
          <w:numId w:val="23"/>
        </w:numPr>
        <w:tabs>
          <w:tab w:val="left" w:pos="1761"/>
        </w:tabs>
        <w:kinsoku/>
        <w:wordWrap/>
        <w:overflowPunct/>
        <w:topLinePunct w:val="0"/>
        <w:autoSpaceDE w:val="0"/>
        <w:autoSpaceDN w:val="0"/>
        <w:bidi w:val="0"/>
        <w:adjustRightInd/>
        <w:snapToGrid/>
        <w:spacing w:before="214" w:after="0" w:line="240" w:lineRule="auto"/>
        <w:ind w:left="1760" w:right="0" w:hanging="801"/>
        <w:jc w:val="both"/>
        <w:textAlignment w:val="auto"/>
        <w:rPr>
          <w:color w:val="auto"/>
          <w:sz w:val="32"/>
        </w:rPr>
      </w:pPr>
      <w:r>
        <w:rPr>
          <w:color w:val="auto"/>
          <w:w w:val="95"/>
          <w:sz w:val="32"/>
        </w:rPr>
        <w:t>业务流程管理服务。</w:t>
      </w:r>
    </w:p>
    <w:p>
      <w:pPr>
        <w:pStyle w:val="12"/>
        <w:keepNext w:val="0"/>
        <w:keepLines w:val="0"/>
        <w:pageBreakBefore w:val="0"/>
        <w:widowControl w:val="0"/>
        <w:numPr>
          <w:ilvl w:val="0"/>
          <w:numId w:val="23"/>
        </w:numPr>
        <w:tabs>
          <w:tab w:val="left" w:pos="1761"/>
        </w:tabs>
        <w:kinsoku/>
        <w:wordWrap/>
        <w:overflowPunct/>
        <w:topLinePunct w:val="0"/>
        <w:autoSpaceDE w:val="0"/>
        <w:autoSpaceDN w:val="0"/>
        <w:bidi w:val="0"/>
        <w:adjustRightInd/>
        <w:snapToGrid/>
        <w:spacing w:before="214" w:after="0" w:line="240" w:lineRule="auto"/>
        <w:ind w:left="1760" w:right="0" w:hanging="801"/>
        <w:jc w:val="both"/>
        <w:textAlignment w:val="auto"/>
        <w:rPr>
          <w:color w:val="auto"/>
          <w:sz w:val="32"/>
        </w:rPr>
      </w:pPr>
      <w:r>
        <w:rPr>
          <w:color w:val="auto"/>
          <w:w w:val="95"/>
          <w:sz w:val="32"/>
        </w:rPr>
        <w:t>离岸服务外包业务。</w:t>
      </w:r>
    </w:p>
    <w:p>
      <w:pPr>
        <w:pStyle w:val="4"/>
        <w:keepNext w:val="0"/>
        <w:keepLines w:val="0"/>
        <w:pageBreakBefore w:val="0"/>
        <w:widowControl w:val="0"/>
        <w:kinsoku/>
        <w:wordWrap/>
        <w:overflowPunct/>
        <w:topLinePunct w:val="0"/>
        <w:autoSpaceDE w:val="0"/>
        <w:autoSpaceDN w:val="0"/>
        <w:bidi w:val="0"/>
        <w:adjustRightInd/>
        <w:snapToGrid/>
        <w:spacing w:line="364" w:lineRule="auto"/>
        <w:ind w:right="537"/>
        <w:jc w:val="both"/>
        <w:textAlignment w:val="auto"/>
        <w:rPr>
          <w:color w:val="auto"/>
        </w:rPr>
      </w:pPr>
      <w:r>
        <w:rPr>
          <w:color w:val="auto"/>
          <w:spacing w:val="7"/>
          <w:w w:val="95"/>
        </w:rPr>
        <w:t>离岸服务外包业务，包括信息技术外包服务</w:t>
      </w:r>
      <w:r>
        <w:rPr>
          <w:color w:val="auto"/>
          <w:spacing w:val="4"/>
          <w:w w:val="95"/>
        </w:rPr>
        <w:t>（ITO）</w:t>
      </w:r>
      <w:r>
        <w:rPr>
          <w:color w:val="auto"/>
          <w:w w:val="95"/>
        </w:rPr>
        <w:t xml:space="preserve">、 </w:t>
      </w:r>
      <w:r>
        <w:rPr>
          <w:color w:val="auto"/>
          <w:spacing w:val="6"/>
          <w:w w:val="95"/>
        </w:rPr>
        <w:t>技术性业务流程外包服务</w:t>
      </w:r>
      <w:r>
        <w:rPr>
          <w:color w:val="auto"/>
          <w:spacing w:val="4"/>
          <w:w w:val="95"/>
        </w:rPr>
        <w:t>（BPO）</w:t>
      </w:r>
      <w:r>
        <w:rPr>
          <w:color w:val="auto"/>
          <w:spacing w:val="5"/>
          <w:w w:val="95"/>
        </w:rPr>
        <w:t xml:space="preserve">、技术性知识流程外包服 </w:t>
      </w:r>
      <w:r>
        <w:rPr>
          <w:color w:val="auto"/>
          <w:spacing w:val="7"/>
          <w:w w:val="95"/>
        </w:rPr>
        <w:t>务</w:t>
      </w:r>
      <w:r>
        <w:rPr>
          <w:color w:val="auto"/>
          <w:spacing w:val="4"/>
          <w:w w:val="95"/>
        </w:rPr>
        <w:t xml:space="preserve">（KPO），其所涉及的具体业务活动，按照《销售服务、 </w:t>
      </w:r>
      <w:r>
        <w:rPr>
          <w:color w:val="auto"/>
          <w:spacing w:val="4"/>
        </w:rPr>
        <w:t>无形资产、不动产注释》相对应的业务活动执行。</w:t>
      </w:r>
    </w:p>
    <w:p>
      <w:pPr>
        <w:pStyle w:val="12"/>
        <w:keepNext w:val="0"/>
        <w:keepLines w:val="0"/>
        <w:pageBreakBefore w:val="0"/>
        <w:widowControl w:val="0"/>
        <w:numPr>
          <w:ilvl w:val="0"/>
          <w:numId w:val="23"/>
        </w:numPr>
        <w:tabs>
          <w:tab w:val="left" w:pos="1920"/>
        </w:tabs>
        <w:kinsoku/>
        <w:wordWrap/>
        <w:overflowPunct/>
        <w:topLinePunct w:val="0"/>
        <w:autoSpaceDE w:val="0"/>
        <w:autoSpaceDN w:val="0"/>
        <w:bidi w:val="0"/>
        <w:adjustRightInd/>
        <w:snapToGrid/>
        <w:spacing w:before="3" w:after="0" w:line="240" w:lineRule="auto"/>
        <w:ind w:left="1919" w:right="0" w:hanging="960"/>
        <w:jc w:val="both"/>
        <w:textAlignment w:val="auto"/>
        <w:rPr>
          <w:color w:val="auto"/>
          <w:sz w:val="32"/>
        </w:rPr>
      </w:pPr>
      <w:r>
        <w:rPr>
          <w:color w:val="auto"/>
          <w:sz w:val="32"/>
        </w:rPr>
        <w:t>转让技术。</w:t>
      </w:r>
    </w:p>
    <w:p>
      <w:pPr>
        <w:pStyle w:val="12"/>
        <w:keepNext w:val="0"/>
        <w:keepLines w:val="0"/>
        <w:pageBreakBefore w:val="0"/>
        <w:widowControl w:val="0"/>
        <w:numPr>
          <w:ilvl w:val="0"/>
          <w:numId w:val="22"/>
        </w:numPr>
        <w:tabs>
          <w:tab w:val="left" w:pos="1283"/>
        </w:tabs>
        <w:kinsoku/>
        <w:wordWrap/>
        <w:overflowPunct/>
        <w:topLinePunct w:val="0"/>
        <w:autoSpaceDE w:val="0"/>
        <w:autoSpaceDN w:val="0"/>
        <w:bidi w:val="0"/>
        <w:adjustRightInd/>
        <w:snapToGrid/>
        <w:spacing w:before="214" w:after="0" w:line="240" w:lineRule="auto"/>
        <w:ind w:left="1282" w:right="0" w:hanging="323"/>
        <w:jc w:val="both"/>
        <w:textAlignment w:val="auto"/>
        <w:rPr>
          <w:color w:val="auto"/>
          <w:sz w:val="32"/>
        </w:rPr>
      </w:pPr>
      <w:r>
        <w:rPr>
          <w:color w:val="auto"/>
          <w:sz w:val="32"/>
        </w:rPr>
        <w:t>财政部和国家税务总局规定的其他服务。</w:t>
      </w:r>
    </w:p>
    <w:p>
      <w:pPr>
        <w:keepNext w:val="0"/>
        <w:keepLines w:val="0"/>
        <w:pageBreakBefore w:val="0"/>
        <w:widowControl w:val="0"/>
        <w:kinsoku/>
        <w:wordWrap/>
        <w:overflowPunct/>
        <w:topLinePunct w:val="0"/>
        <w:autoSpaceDE w:val="0"/>
        <w:autoSpaceDN w:val="0"/>
        <w:bidi w:val="0"/>
        <w:adjustRightInd/>
        <w:snapToGrid/>
        <w:spacing w:before="214"/>
        <w:ind w:left="320" w:right="0" w:firstLine="0"/>
        <w:jc w:val="both"/>
        <w:textAlignment w:val="auto"/>
        <w:rPr>
          <w:rFonts w:hint="eastAsia" w:ascii="宋体" w:eastAsia="宋体"/>
          <w:b/>
          <w:color w:val="auto"/>
          <w:sz w:val="32"/>
        </w:rPr>
      </w:pPr>
      <w:r>
        <w:rPr>
          <w:rFonts w:hint="eastAsia" w:ascii="宋体" w:eastAsia="宋体"/>
          <w:b/>
          <w:color w:val="auto"/>
          <w:sz w:val="32"/>
        </w:rPr>
        <w:t>【适用条件】</w:t>
      </w:r>
    </w:p>
    <w:p>
      <w:pPr>
        <w:pStyle w:val="12"/>
        <w:keepNext w:val="0"/>
        <w:keepLines w:val="0"/>
        <w:pageBreakBefore w:val="0"/>
        <w:widowControl w:val="0"/>
        <w:numPr>
          <w:ilvl w:val="0"/>
          <w:numId w:val="24"/>
        </w:numPr>
        <w:tabs>
          <w:tab w:val="left" w:pos="1283"/>
        </w:tabs>
        <w:kinsoku/>
        <w:wordWrap/>
        <w:overflowPunct/>
        <w:topLinePunct w:val="0"/>
        <w:autoSpaceDE w:val="0"/>
        <w:autoSpaceDN w:val="0"/>
        <w:bidi w:val="0"/>
        <w:adjustRightInd/>
        <w:snapToGrid/>
        <w:spacing w:before="214" w:after="0" w:line="364" w:lineRule="auto"/>
        <w:ind w:left="320" w:right="525" w:firstLine="640"/>
        <w:jc w:val="both"/>
        <w:textAlignment w:val="auto"/>
        <w:rPr>
          <w:color w:val="auto"/>
          <w:sz w:val="32"/>
        </w:rPr>
      </w:pPr>
      <w:r>
        <w:rPr>
          <w:color w:val="auto"/>
          <w:spacing w:val="-1"/>
          <w:sz w:val="32"/>
        </w:rPr>
        <w:t>增值税零税率应税服务提供者是指，提供适用增值税</w:t>
      </w:r>
      <w:r>
        <w:rPr>
          <w:color w:val="auto"/>
          <w:spacing w:val="-3"/>
          <w:sz w:val="32"/>
        </w:rPr>
        <w:t xml:space="preserve">零税率应税服务，且认定为增值税一般纳税人，实行增值税一般计税方法的境内单位和个人。属于汇总缴纳增值税的， </w:t>
      </w:r>
      <w:r>
        <w:rPr>
          <w:color w:val="auto"/>
          <w:spacing w:val="11"/>
          <w:w w:val="95"/>
          <w:sz w:val="32"/>
        </w:rPr>
        <w:t xml:space="preserve">为经财政部和国家税务总局批准的汇总缴纳增值税的总机 </w:t>
      </w:r>
      <w:r>
        <w:rPr>
          <w:color w:val="auto"/>
          <w:spacing w:val="11"/>
          <w:sz w:val="32"/>
        </w:rPr>
        <w:t>构。</w:t>
      </w:r>
    </w:p>
    <w:p>
      <w:pPr>
        <w:pStyle w:val="12"/>
        <w:keepNext w:val="0"/>
        <w:keepLines w:val="0"/>
        <w:pageBreakBefore w:val="0"/>
        <w:widowControl w:val="0"/>
        <w:numPr>
          <w:ilvl w:val="0"/>
          <w:numId w:val="24"/>
        </w:numPr>
        <w:tabs>
          <w:tab w:val="left" w:pos="1292"/>
        </w:tabs>
        <w:kinsoku/>
        <w:wordWrap/>
        <w:overflowPunct/>
        <w:topLinePunct w:val="0"/>
        <w:autoSpaceDE w:val="0"/>
        <w:autoSpaceDN w:val="0"/>
        <w:bidi w:val="0"/>
        <w:adjustRightInd/>
        <w:snapToGrid/>
        <w:spacing w:before="30" w:after="0" w:line="364" w:lineRule="auto"/>
        <w:ind w:left="320" w:right="525" w:firstLine="640"/>
        <w:jc w:val="both"/>
        <w:textAlignment w:val="auto"/>
        <w:rPr>
          <w:color w:val="auto"/>
          <w:sz w:val="32"/>
        </w:rPr>
      </w:pPr>
      <w:r>
        <w:rPr>
          <w:color w:val="auto"/>
          <w:spacing w:val="13"/>
          <w:w w:val="95"/>
          <w:sz w:val="32"/>
        </w:rPr>
        <w:t xml:space="preserve">境内增值税一般纳税人提供适用增值税零税率的应 税服务，实行增值税退（免）税办法。实行增值税退（免） 税办法的增值税零税率应税服务不得开具增值税专用发票。 </w:t>
      </w:r>
      <w:r>
        <w:rPr>
          <w:color w:val="auto"/>
          <w:spacing w:val="5"/>
          <w:w w:val="95"/>
          <w:sz w:val="32"/>
        </w:rPr>
        <w:t>3</w:t>
      </w:r>
      <w:r>
        <w:rPr>
          <w:color w:val="auto"/>
          <w:spacing w:val="11"/>
          <w:w w:val="95"/>
          <w:sz w:val="32"/>
        </w:rPr>
        <w:t>.境内的单位和个人提供适用增值税零税率的服务或</w:t>
      </w:r>
    </w:p>
    <w:p>
      <w:pPr>
        <w:pStyle w:val="4"/>
        <w:keepNext w:val="0"/>
        <w:keepLines w:val="0"/>
        <w:pageBreakBefore w:val="0"/>
        <w:widowControl w:val="0"/>
        <w:kinsoku/>
        <w:wordWrap/>
        <w:overflowPunct/>
        <w:topLinePunct w:val="0"/>
        <w:autoSpaceDE w:val="0"/>
        <w:autoSpaceDN w:val="0"/>
        <w:bidi w:val="0"/>
        <w:adjustRightInd/>
        <w:snapToGrid/>
        <w:spacing w:before="3" w:line="364" w:lineRule="auto"/>
        <w:ind w:right="525" w:firstLine="0"/>
        <w:jc w:val="both"/>
        <w:textAlignment w:val="auto"/>
        <w:rPr>
          <w:color w:val="auto"/>
        </w:rPr>
      </w:pPr>
      <w:r>
        <w:rPr>
          <w:color w:val="auto"/>
          <w:spacing w:val="-3"/>
          <w:w w:val="95"/>
        </w:rPr>
        <w:t xml:space="preserve">者无形资产，如果属于适用简易计税方法的，实行免征增值 </w:t>
      </w:r>
      <w:r>
        <w:rPr>
          <w:color w:val="auto"/>
          <w:spacing w:val="-5"/>
          <w:w w:val="95"/>
        </w:rPr>
        <w:t xml:space="preserve">税办法。如果属于适用增值税一般计税方法的，生产企业实 </w:t>
      </w:r>
      <w:r>
        <w:rPr>
          <w:color w:val="auto"/>
          <w:spacing w:val="-6"/>
          <w:w w:val="95"/>
        </w:rPr>
        <w:t xml:space="preserve">行免抵退税办法，外贸企业外购服务或者无形资产出口实行 </w:t>
      </w:r>
      <w:r>
        <w:rPr>
          <w:color w:val="auto"/>
          <w:spacing w:val="-7"/>
          <w:w w:val="95"/>
        </w:rPr>
        <w:t xml:space="preserve">免退税办法，外贸企业直接将服务或自行研发的无形资产出 口，视同生产企业连同其出口货物统一实行免抵退税办法。 </w:t>
      </w:r>
      <w:r>
        <w:rPr>
          <w:color w:val="auto"/>
          <w:spacing w:val="5"/>
          <w:w w:val="95"/>
        </w:rPr>
        <w:t>4</w:t>
      </w:r>
      <w:r>
        <w:rPr>
          <w:color w:val="auto"/>
          <w:spacing w:val="11"/>
          <w:w w:val="95"/>
        </w:rPr>
        <w:t>.境内的单位和个人销售适用增值税零税率的服务或</w:t>
      </w:r>
    </w:p>
    <w:p>
      <w:pPr>
        <w:pStyle w:val="4"/>
        <w:keepNext w:val="0"/>
        <w:keepLines w:val="0"/>
        <w:pageBreakBefore w:val="0"/>
        <w:widowControl w:val="0"/>
        <w:kinsoku/>
        <w:wordWrap/>
        <w:overflowPunct/>
        <w:topLinePunct w:val="0"/>
        <w:autoSpaceDE w:val="0"/>
        <w:autoSpaceDN w:val="0"/>
        <w:bidi w:val="0"/>
        <w:adjustRightInd/>
        <w:snapToGrid/>
        <w:spacing w:before="5" w:line="364" w:lineRule="auto"/>
        <w:ind w:right="537" w:firstLine="0"/>
        <w:jc w:val="both"/>
        <w:textAlignment w:val="auto"/>
        <w:rPr>
          <w:color w:val="auto"/>
        </w:rPr>
      </w:pPr>
      <w:r>
        <w:rPr>
          <w:color w:val="auto"/>
          <w:spacing w:val="-3"/>
        </w:rPr>
        <w:t>无形资产的，可以放弃适用增值税零税率，选择免税或按规</w:t>
      </w:r>
      <w:r>
        <w:rPr>
          <w:color w:val="auto"/>
          <w:spacing w:val="-9"/>
        </w:rPr>
        <w:t>定缴纳增值税。放弃适用增值税零税率后，</w:t>
      </w:r>
      <w:r>
        <w:rPr>
          <w:color w:val="auto"/>
          <w:spacing w:val="-15"/>
        </w:rPr>
        <w:t>36</w:t>
      </w:r>
      <w:r>
        <w:rPr>
          <w:color w:val="auto"/>
          <w:spacing w:val="-14"/>
        </w:rPr>
        <w:t xml:space="preserve"> 个月内不得再申请适用增值税零税率。</w:t>
      </w:r>
    </w:p>
    <w:p>
      <w:pPr>
        <w:pStyle w:val="12"/>
        <w:keepNext w:val="0"/>
        <w:keepLines w:val="0"/>
        <w:pageBreakBefore w:val="0"/>
        <w:widowControl w:val="0"/>
        <w:numPr>
          <w:ilvl w:val="0"/>
          <w:numId w:val="25"/>
        </w:numPr>
        <w:tabs>
          <w:tab w:val="left" w:pos="1446"/>
        </w:tabs>
        <w:kinsoku/>
        <w:wordWrap/>
        <w:overflowPunct/>
        <w:topLinePunct w:val="0"/>
        <w:autoSpaceDE w:val="0"/>
        <w:autoSpaceDN w:val="0"/>
        <w:bidi w:val="0"/>
        <w:adjustRightInd/>
        <w:snapToGrid/>
        <w:spacing w:before="2" w:after="0" w:line="364" w:lineRule="auto"/>
        <w:ind w:left="320" w:right="537" w:firstLine="640"/>
        <w:jc w:val="both"/>
        <w:textAlignment w:val="auto"/>
        <w:rPr>
          <w:color w:val="auto"/>
          <w:sz w:val="32"/>
        </w:rPr>
      </w:pPr>
      <w:r>
        <w:rPr>
          <w:color w:val="auto"/>
          <w:spacing w:val="6"/>
          <w:w w:val="95"/>
          <w:sz w:val="32"/>
        </w:rPr>
        <w:t xml:space="preserve">境内单位和个人向国内海关特殊监管区域及场所内 </w:t>
      </w:r>
      <w:r>
        <w:rPr>
          <w:color w:val="auto"/>
          <w:sz w:val="32"/>
        </w:rPr>
        <w:t>的单位或个人提供的应税服务，不属于增值税零税率应税服务适用范围。</w:t>
      </w:r>
    </w:p>
    <w:p>
      <w:pPr>
        <w:pStyle w:val="12"/>
        <w:keepNext w:val="0"/>
        <w:keepLines w:val="0"/>
        <w:pageBreakBefore w:val="0"/>
        <w:widowControl w:val="0"/>
        <w:numPr>
          <w:ilvl w:val="0"/>
          <w:numId w:val="25"/>
        </w:numPr>
        <w:tabs>
          <w:tab w:val="left" w:pos="1292"/>
        </w:tabs>
        <w:kinsoku/>
        <w:wordWrap/>
        <w:overflowPunct/>
        <w:topLinePunct w:val="0"/>
        <w:autoSpaceDE w:val="0"/>
        <w:autoSpaceDN w:val="0"/>
        <w:bidi w:val="0"/>
        <w:adjustRightInd/>
        <w:snapToGrid/>
        <w:spacing w:before="3" w:after="0" w:line="364" w:lineRule="auto"/>
        <w:ind w:left="320" w:right="537" w:firstLine="640"/>
        <w:jc w:val="both"/>
        <w:textAlignment w:val="auto"/>
        <w:rPr>
          <w:color w:val="auto"/>
          <w:sz w:val="32"/>
        </w:rPr>
      </w:pPr>
      <w:r>
        <w:rPr>
          <w:color w:val="auto"/>
          <w:spacing w:val="13"/>
          <w:w w:val="95"/>
          <w:sz w:val="32"/>
        </w:rPr>
        <w:t xml:space="preserve">按照国家有关规定应取得相关资质的国际运输服务 </w:t>
      </w:r>
      <w:r>
        <w:rPr>
          <w:color w:val="auto"/>
          <w:spacing w:val="-2"/>
          <w:w w:val="95"/>
          <w:sz w:val="32"/>
        </w:rPr>
        <w:t xml:space="preserve">项目，纳税人取得相关资质的，适用增值税零税率政策，未 </w:t>
      </w:r>
      <w:r>
        <w:rPr>
          <w:color w:val="auto"/>
          <w:spacing w:val="-2"/>
          <w:sz w:val="32"/>
        </w:rPr>
        <w:t>取得的，适用增值税免税政策。</w:t>
      </w:r>
    </w:p>
    <w:p>
      <w:pPr>
        <w:pStyle w:val="4"/>
        <w:keepNext w:val="0"/>
        <w:keepLines w:val="0"/>
        <w:pageBreakBefore w:val="0"/>
        <w:widowControl w:val="0"/>
        <w:kinsoku/>
        <w:wordWrap/>
        <w:overflowPunct/>
        <w:topLinePunct w:val="0"/>
        <w:autoSpaceDE w:val="0"/>
        <w:autoSpaceDN w:val="0"/>
        <w:bidi w:val="0"/>
        <w:adjustRightInd/>
        <w:snapToGrid/>
        <w:spacing w:before="2" w:line="364" w:lineRule="auto"/>
        <w:ind w:right="537"/>
        <w:jc w:val="both"/>
        <w:textAlignment w:val="auto"/>
        <w:rPr>
          <w:color w:val="auto"/>
        </w:rPr>
      </w:pPr>
      <w:r>
        <w:rPr>
          <w:color w:val="auto"/>
          <w:spacing w:val="-1"/>
        </w:rPr>
        <w:t>境内的单位或个人提供程租服务，如果租赁的交通工具</w:t>
      </w:r>
      <w:r>
        <w:rPr>
          <w:color w:val="auto"/>
          <w:spacing w:val="-2"/>
        </w:rPr>
        <w:t>用于国际运输服务和港澳台运输服务，由出租方按规定申请适用增值税零税率。</w:t>
      </w:r>
    </w:p>
    <w:p>
      <w:pPr>
        <w:pStyle w:val="4"/>
        <w:keepNext w:val="0"/>
        <w:keepLines w:val="0"/>
        <w:pageBreakBefore w:val="0"/>
        <w:widowControl w:val="0"/>
        <w:kinsoku/>
        <w:wordWrap/>
        <w:overflowPunct/>
        <w:topLinePunct w:val="0"/>
        <w:autoSpaceDE w:val="0"/>
        <w:autoSpaceDN w:val="0"/>
        <w:bidi w:val="0"/>
        <w:adjustRightInd/>
        <w:snapToGrid/>
        <w:spacing w:before="30" w:line="364" w:lineRule="auto"/>
        <w:ind w:right="537"/>
        <w:jc w:val="both"/>
        <w:textAlignment w:val="auto"/>
        <w:rPr>
          <w:color w:val="auto"/>
        </w:rPr>
      </w:pPr>
      <w:r>
        <w:rPr>
          <w:color w:val="auto"/>
          <w:spacing w:val="-1"/>
        </w:rPr>
        <w:t>境内的单位和个人向境内单位或个人提供期租、湿租服</w:t>
      </w:r>
      <w:r>
        <w:rPr>
          <w:color w:val="auto"/>
          <w:spacing w:val="-4"/>
        </w:rPr>
        <w:t>务，如果承租方利用租赁的交通工具向其他单位或个人提供</w:t>
      </w:r>
      <w:r>
        <w:rPr>
          <w:color w:val="auto"/>
          <w:spacing w:val="-5"/>
        </w:rPr>
        <w:t>国际运输服务和港澳台运输服务，由承租方适用增值税零税</w:t>
      </w:r>
      <w:r>
        <w:rPr>
          <w:color w:val="auto"/>
          <w:spacing w:val="-4"/>
          <w:w w:val="95"/>
        </w:rPr>
        <w:t xml:space="preserve">率。境内的单位或个人向境外单位或个人提供期租、湿租服 </w:t>
      </w:r>
      <w:r>
        <w:rPr>
          <w:color w:val="auto"/>
          <w:spacing w:val="-4"/>
        </w:rPr>
        <w:t>务，由出租方适用增值税零税率。</w:t>
      </w:r>
    </w:p>
    <w:p>
      <w:pPr>
        <w:pStyle w:val="4"/>
        <w:keepNext w:val="0"/>
        <w:keepLines w:val="0"/>
        <w:pageBreakBefore w:val="0"/>
        <w:widowControl w:val="0"/>
        <w:kinsoku/>
        <w:wordWrap/>
        <w:overflowPunct/>
        <w:topLinePunct w:val="0"/>
        <w:autoSpaceDE w:val="0"/>
        <w:autoSpaceDN w:val="0"/>
        <w:bidi w:val="0"/>
        <w:adjustRightInd/>
        <w:snapToGrid/>
        <w:spacing w:before="4" w:line="364" w:lineRule="auto"/>
        <w:ind w:right="537"/>
        <w:jc w:val="both"/>
        <w:textAlignment w:val="auto"/>
        <w:rPr>
          <w:color w:val="auto"/>
        </w:rPr>
      </w:pPr>
      <w:r>
        <w:rPr>
          <w:color w:val="auto"/>
          <w:spacing w:val="13"/>
          <w:w w:val="95"/>
        </w:rPr>
        <w:t xml:space="preserve">境内单位和个人以无运输工具承运方式提供的国际运 </w:t>
      </w:r>
      <w:r>
        <w:rPr>
          <w:color w:val="auto"/>
          <w:spacing w:val="-1"/>
        </w:rPr>
        <w:t>输服务，由境内实际承运人适用增值税零税率；无运输工具承运业务的经营者适用增值税免税政策。</w:t>
      </w:r>
    </w:p>
    <w:p>
      <w:pPr>
        <w:keepNext w:val="0"/>
        <w:keepLines w:val="0"/>
        <w:pageBreakBefore w:val="0"/>
        <w:widowControl w:val="0"/>
        <w:kinsoku/>
        <w:wordWrap/>
        <w:overflowPunct/>
        <w:topLinePunct w:val="0"/>
        <w:autoSpaceDE w:val="0"/>
        <w:autoSpaceDN w:val="0"/>
        <w:bidi w:val="0"/>
        <w:adjustRightInd/>
        <w:snapToGrid/>
        <w:spacing w:before="2"/>
        <w:ind w:left="320" w:right="0" w:firstLine="0"/>
        <w:jc w:val="both"/>
        <w:textAlignment w:val="auto"/>
        <w:rPr>
          <w:rFonts w:hint="eastAsia" w:ascii="宋体" w:eastAsia="宋体"/>
          <w:b/>
          <w:color w:val="auto"/>
          <w:sz w:val="32"/>
        </w:rPr>
      </w:pPr>
      <w:r>
        <w:rPr>
          <w:rFonts w:hint="eastAsia" w:ascii="宋体" w:eastAsia="宋体"/>
          <w:b/>
          <w:color w:val="auto"/>
          <w:sz w:val="32"/>
        </w:rPr>
        <w:t>【政策依据】</w:t>
      </w:r>
    </w:p>
    <w:p>
      <w:pPr>
        <w:pStyle w:val="12"/>
        <w:keepNext w:val="0"/>
        <w:keepLines w:val="0"/>
        <w:pageBreakBefore w:val="0"/>
        <w:widowControl w:val="0"/>
        <w:numPr>
          <w:ilvl w:val="0"/>
          <w:numId w:val="26"/>
        </w:numPr>
        <w:tabs>
          <w:tab w:val="left" w:pos="1285"/>
        </w:tabs>
        <w:kinsoku/>
        <w:wordWrap/>
        <w:overflowPunct/>
        <w:topLinePunct w:val="0"/>
        <w:autoSpaceDE w:val="0"/>
        <w:autoSpaceDN w:val="0"/>
        <w:bidi w:val="0"/>
        <w:adjustRightInd/>
        <w:snapToGrid/>
        <w:spacing w:before="236" w:after="0" w:line="328" w:lineRule="auto"/>
        <w:ind w:left="320" w:right="535" w:firstLine="640"/>
        <w:jc w:val="both"/>
        <w:textAlignment w:val="auto"/>
        <w:rPr>
          <w:rFonts w:hint="eastAsia" w:ascii="黑体" w:eastAsia="黑体"/>
          <w:color w:val="auto"/>
          <w:sz w:val="32"/>
        </w:rPr>
      </w:pPr>
      <w:r>
        <w:rPr>
          <w:rFonts w:hint="eastAsia" w:ascii="黑体" w:eastAsia="黑体"/>
          <w:color w:val="auto"/>
          <w:spacing w:val="2"/>
          <w:sz w:val="32"/>
        </w:rPr>
        <w:t>《财政部 国家税务总局关于全面推开营业税改征增</w:t>
      </w:r>
      <w:r>
        <w:rPr>
          <w:rFonts w:hint="eastAsia" w:ascii="黑体" w:eastAsia="黑体"/>
          <w:color w:val="auto"/>
          <w:spacing w:val="1"/>
          <w:sz w:val="32"/>
        </w:rPr>
        <w:t>值税试点的通知》</w:t>
      </w:r>
      <w:r>
        <w:rPr>
          <w:rFonts w:hint="eastAsia" w:ascii="黑体" w:eastAsia="黑体"/>
          <w:color w:val="auto"/>
          <w:sz w:val="32"/>
        </w:rPr>
        <w:t>（财税〔2016</w:t>
      </w:r>
      <w:r>
        <w:rPr>
          <w:rFonts w:hint="eastAsia" w:ascii="黑体" w:eastAsia="黑体"/>
          <w:color w:val="auto"/>
          <w:spacing w:val="-3"/>
          <w:sz w:val="32"/>
        </w:rPr>
        <w:t>〕</w:t>
      </w:r>
      <w:r>
        <w:rPr>
          <w:rFonts w:hint="eastAsia" w:ascii="黑体" w:eastAsia="黑体"/>
          <w:color w:val="auto"/>
          <w:sz w:val="32"/>
        </w:rPr>
        <w:t>36</w:t>
      </w:r>
      <w:r>
        <w:rPr>
          <w:rFonts w:hint="eastAsia" w:ascii="黑体" w:eastAsia="黑体"/>
          <w:color w:val="auto"/>
          <w:spacing w:val="-43"/>
          <w:sz w:val="32"/>
        </w:rPr>
        <w:t xml:space="preserve"> 号</w:t>
      </w:r>
      <w:r>
        <w:rPr>
          <w:rFonts w:hint="eastAsia" w:ascii="黑体" w:eastAsia="黑体"/>
          <w:color w:val="auto"/>
          <w:sz w:val="32"/>
        </w:rPr>
        <w:t>）</w:t>
      </w:r>
      <w:r>
        <w:rPr>
          <w:rFonts w:hint="eastAsia" w:ascii="黑体" w:eastAsia="黑体"/>
          <w:color w:val="auto"/>
          <w:spacing w:val="-28"/>
          <w:sz w:val="32"/>
        </w:rPr>
        <w:t xml:space="preserve">附件 </w:t>
      </w:r>
      <w:r>
        <w:rPr>
          <w:rFonts w:hint="eastAsia" w:ascii="黑体" w:eastAsia="黑体"/>
          <w:color w:val="auto"/>
          <w:spacing w:val="-4"/>
          <w:sz w:val="32"/>
        </w:rPr>
        <w:t>4</w:t>
      </w:r>
      <w:r>
        <w:rPr>
          <w:rFonts w:hint="eastAsia" w:ascii="黑体" w:eastAsia="黑体"/>
          <w:color w:val="auto"/>
          <w:sz w:val="32"/>
        </w:rPr>
        <w:t>《跨境应税</w:t>
      </w:r>
      <w:r>
        <w:rPr>
          <w:rFonts w:hint="eastAsia" w:ascii="黑体" w:eastAsia="黑体"/>
          <w:color w:val="auto"/>
          <w:spacing w:val="-2"/>
          <w:sz w:val="32"/>
        </w:rPr>
        <w:t>行为适用增值税零税率和免税政策的规定》第一条、第三至六条</w:t>
      </w:r>
    </w:p>
    <w:p>
      <w:pPr>
        <w:pStyle w:val="12"/>
        <w:keepNext w:val="0"/>
        <w:keepLines w:val="0"/>
        <w:pageBreakBefore w:val="0"/>
        <w:widowControl w:val="0"/>
        <w:numPr>
          <w:ilvl w:val="0"/>
          <w:numId w:val="26"/>
        </w:numPr>
        <w:tabs>
          <w:tab w:val="left" w:pos="1283"/>
        </w:tabs>
        <w:kinsoku/>
        <w:wordWrap/>
        <w:overflowPunct/>
        <w:topLinePunct w:val="0"/>
        <w:autoSpaceDE w:val="0"/>
        <w:autoSpaceDN w:val="0"/>
        <w:bidi w:val="0"/>
        <w:adjustRightInd/>
        <w:snapToGrid/>
        <w:spacing w:before="0" w:after="0" w:line="326" w:lineRule="auto"/>
        <w:ind w:left="320" w:right="540" w:firstLine="640"/>
        <w:jc w:val="both"/>
        <w:textAlignment w:val="auto"/>
        <w:rPr>
          <w:rFonts w:hint="eastAsia" w:ascii="黑体" w:eastAsia="黑体"/>
          <w:color w:val="auto"/>
          <w:sz w:val="32"/>
        </w:rPr>
      </w:pPr>
      <w:r>
        <w:rPr>
          <w:rFonts w:hint="eastAsia" w:ascii="黑体" w:eastAsia="黑体"/>
          <w:color w:val="auto"/>
          <w:spacing w:val="-1"/>
          <w:w w:val="95"/>
          <w:sz w:val="32"/>
        </w:rPr>
        <w:t xml:space="preserve">《国家税务总局关于发布〈适用增值税零税率应税服 </w:t>
      </w:r>
      <w:r>
        <w:rPr>
          <w:rFonts w:hint="eastAsia" w:ascii="黑体" w:eastAsia="黑体"/>
          <w:color w:val="auto"/>
          <w:spacing w:val="-1"/>
          <w:sz w:val="32"/>
        </w:rPr>
        <w:t>务退（免）税管理办法〉的公告》（2014</w:t>
      </w:r>
      <w:r>
        <w:rPr>
          <w:rFonts w:hint="eastAsia" w:ascii="黑体" w:eastAsia="黑体"/>
          <w:color w:val="auto"/>
          <w:spacing w:val="-41"/>
          <w:sz w:val="32"/>
        </w:rPr>
        <w:t xml:space="preserve"> 年第 </w:t>
      </w:r>
      <w:r>
        <w:rPr>
          <w:rFonts w:hint="eastAsia" w:ascii="黑体" w:eastAsia="黑体"/>
          <w:color w:val="auto"/>
          <w:sz w:val="32"/>
        </w:rPr>
        <w:t>11</w:t>
      </w:r>
      <w:r>
        <w:rPr>
          <w:rFonts w:hint="eastAsia" w:ascii="黑体" w:eastAsia="黑体"/>
          <w:color w:val="auto"/>
          <w:spacing w:val="-41"/>
          <w:sz w:val="32"/>
        </w:rPr>
        <w:t xml:space="preserve"> 号</w:t>
      </w:r>
      <w:r>
        <w:rPr>
          <w:rFonts w:hint="eastAsia" w:ascii="黑体" w:eastAsia="黑体"/>
          <w:color w:val="auto"/>
          <w:sz w:val="32"/>
        </w:rPr>
        <w:t>）</w:t>
      </w:r>
    </w:p>
    <w:p>
      <w:pPr>
        <w:pStyle w:val="12"/>
        <w:keepNext w:val="0"/>
        <w:keepLines w:val="0"/>
        <w:pageBreakBefore w:val="0"/>
        <w:widowControl w:val="0"/>
        <w:numPr>
          <w:ilvl w:val="0"/>
          <w:numId w:val="26"/>
        </w:numPr>
        <w:tabs>
          <w:tab w:val="left" w:pos="1283"/>
        </w:tabs>
        <w:kinsoku/>
        <w:wordWrap/>
        <w:overflowPunct/>
        <w:topLinePunct w:val="0"/>
        <w:autoSpaceDE w:val="0"/>
        <w:autoSpaceDN w:val="0"/>
        <w:bidi w:val="0"/>
        <w:adjustRightInd/>
        <w:snapToGrid/>
        <w:spacing w:before="0" w:after="0" w:line="240" w:lineRule="auto"/>
        <w:ind w:left="1282" w:right="0" w:hanging="323"/>
        <w:jc w:val="both"/>
        <w:textAlignment w:val="auto"/>
        <w:rPr>
          <w:rFonts w:hint="eastAsia" w:ascii="黑体" w:eastAsia="黑体"/>
          <w:color w:val="auto"/>
          <w:sz w:val="32"/>
        </w:rPr>
      </w:pPr>
      <w:r>
        <w:rPr>
          <w:rFonts w:hint="eastAsia" w:ascii="黑体" w:eastAsia="黑体"/>
          <w:color w:val="auto"/>
          <w:spacing w:val="-1"/>
          <w:sz w:val="32"/>
        </w:rPr>
        <w:t>《国家税务总局关于〈适用增值税零税率应税服务退</w:t>
      </w:r>
    </w:p>
    <w:p>
      <w:pPr>
        <w:pStyle w:val="4"/>
        <w:keepNext w:val="0"/>
        <w:keepLines w:val="0"/>
        <w:pageBreakBefore w:val="0"/>
        <w:widowControl w:val="0"/>
        <w:kinsoku/>
        <w:wordWrap/>
        <w:overflowPunct/>
        <w:topLinePunct w:val="0"/>
        <w:autoSpaceDE w:val="0"/>
        <w:autoSpaceDN w:val="0"/>
        <w:bidi w:val="0"/>
        <w:adjustRightInd/>
        <w:snapToGrid/>
        <w:spacing w:before="147"/>
        <w:ind w:firstLine="0"/>
        <w:jc w:val="both"/>
        <w:textAlignment w:val="auto"/>
        <w:rPr>
          <w:rFonts w:hint="eastAsia" w:ascii="黑体" w:eastAsia="黑体"/>
          <w:color w:val="auto"/>
        </w:rPr>
      </w:pPr>
      <w:r>
        <w:rPr>
          <w:rFonts w:hint="eastAsia" w:ascii="黑体" w:eastAsia="黑体"/>
          <w:color w:val="auto"/>
        </w:rPr>
        <w:t>（免）税管理办法〉的补充公告》（2015 年第 88 号）</w:t>
      </w:r>
    </w:p>
    <w:p>
      <w:pPr>
        <w:pStyle w:val="4"/>
        <w:keepNext w:val="0"/>
        <w:keepLines w:val="0"/>
        <w:pageBreakBefore w:val="0"/>
        <w:widowControl w:val="0"/>
        <w:kinsoku/>
        <w:wordWrap/>
        <w:overflowPunct/>
        <w:topLinePunct w:val="0"/>
        <w:autoSpaceDE w:val="0"/>
        <w:autoSpaceDN w:val="0"/>
        <w:bidi w:val="0"/>
        <w:adjustRightInd/>
        <w:snapToGrid/>
        <w:spacing w:before="0"/>
        <w:ind w:left="0" w:firstLine="0"/>
        <w:jc w:val="both"/>
        <w:textAlignment w:val="auto"/>
        <w:rPr>
          <w:rFonts w:ascii="黑体"/>
          <w:color w:val="auto"/>
        </w:rPr>
      </w:pPr>
    </w:p>
    <w:p>
      <w:pPr>
        <w:pStyle w:val="12"/>
        <w:keepNext w:val="0"/>
        <w:keepLines w:val="0"/>
        <w:pageBreakBefore w:val="0"/>
        <w:widowControl w:val="0"/>
        <w:numPr>
          <w:ilvl w:val="0"/>
          <w:numId w:val="19"/>
        </w:numPr>
        <w:tabs>
          <w:tab w:val="left" w:pos="644"/>
        </w:tabs>
        <w:kinsoku/>
        <w:wordWrap/>
        <w:overflowPunct/>
        <w:topLinePunct w:val="0"/>
        <w:autoSpaceDE w:val="0"/>
        <w:autoSpaceDN w:val="0"/>
        <w:bidi w:val="0"/>
        <w:adjustRightInd/>
        <w:snapToGrid/>
        <w:spacing w:before="279" w:after="0" w:line="240" w:lineRule="auto"/>
        <w:ind w:left="643" w:right="0" w:hanging="324"/>
        <w:jc w:val="both"/>
        <w:textAlignment w:val="auto"/>
        <w:rPr>
          <w:rFonts w:hint="eastAsia" w:ascii="仿宋" w:eastAsia="仿宋"/>
          <w:b/>
          <w:color w:val="auto"/>
          <w:sz w:val="30"/>
        </w:rPr>
      </w:pPr>
      <w:bookmarkStart w:id="11" w:name="_TOC_250038"/>
      <w:bookmarkEnd w:id="11"/>
      <w:r>
        <w:rPr>
          <w:rFonts w:hint="eastAsia" w:ascii="宋体" w:eastAsia="宋体"/>
          <w:b/>
          <w:color w:val="auto"/>
          <w:sz w:val="32"/>
        </w:rPr>
        <w:t>跨境应税行为适用增值税免税政策</w:t>
      </w:r>
    </w:p>
    <w:p>
      <w:pPr>
        <w:keepNext w:val="0"/>
        <w:keepLines w:val="0"/>
        <w:pageBreakBefore w:val="0"/>
        <w:widowControl w:val="0"/>
        <w:kinsoku/>
        <w:wordWrap/>
        <w:overflowPunct/>
        <w:topLinePunct w:val="0"/>
        <w:autoSpaceDE w:val="0"/>
        <w:autoSpaceDN w:val="0"/>
        <w:bidi w:val="0"/>
        <w:adjustRightInd/>
        <w:snapToGrid/>
        <w:spacing w:before="214"/>
        <w:ind w:left="320" w:right="0" w:firstLine="0"/>
        <w:jc w:val="both"/>
        <w:textAlignment w:val="auto"/>
        <w:rPr>
          <w:rFonts w:hint="eastAsia" w:ascii="宋体" w:eastAsia="宋体"/>
          <w:b/>
          <w:color w:val="auto"/>
          <w:sz w:val="32"/>
        </w:rPr>
      </w:pPr>
      <w:r>
        <w:rPr>
          <w:rFonts w:hint="eastAsia" w:ascii="宋体" w:eastAsia="宋体"/>
          <w:b/>
          <w:color w:val="auto"/>
          <w:sz w:val="32"/>
        </w:rPr>
        <w:t>【适用主体】</w:t>
      </w:r>
    </w:p>
    <w:p>
      <w:pPr>
        <w:pStyle w:val="4"/>
        <w:keepNext w:val="0"/>
        <w:keepLines w:val="0"/>
        <w:pageBreakBefore w:val="0"/>
        <w:widowControl w:val="0"/>
        <w:kinsoku/>
        <w:wordWrap/>
        <w:overflowPunct/>
        <w:topLinePunct w:val="0"/>
        <w:autoSpaceDE w:val="0"/>
        <w:autoSpaceDN w:val="0"/>
        <w:bidi w:val="0"/>
        <w:adjustRightInd/>
        <w:snapToGrid/>
        <w:ind w:left="960" w:firstLine="0"/>
        <w:jc w:val="both"/>
        <w:textAlignment w:val="auto"/>
        <w:rPr>
          <w:color w:val="auto"/>
        </w:rPr>
      </w:pPr>
      <w:r>
        <w:rPr>
          <w:color w:val="auto"/>
        </w:rPr>
        <w:t>符合条件的境内单位和个人</w:t>
      </w:r>
    </w:p>
    <w:p>
      <w:pPr>
        <w:keepNext w:val="0"/>
        <w:keepLines w:val="0"/>
        <w:pageBreakBefore w:val="0"/>
        <w:widowControl w:val="0"/>
        <w:kinsoku/>
        <w:wordWrap/>
        <w:overflowPunct/>
        <w:topLinePunct w:val="0"/>
        <w:autoSpaceDE w:val="0"/>
        <w:autoSpaceDN w:val="0"/>
        <w:bidi w:val="0"/>
        <w:adjustRightInd/>
        <w:snapToGrid/>
        <w:spacing w:before="214"/>
        <w:ind w:left="320" w:right="0" w:firstLine="0"/>
        <w:jc w:val="both"/>
        <w:textAlignment w:val="auto"/>
        <w:rPr>
          <w:rFonts w:hint="eastAsia" w:ascii="宋体" w:eastAsia="宋体"/>
          <w:b/>
          <w:color w:val="auto"/>
          <w:sz w:val="32"/>
        </w:rPr>
      </w:pPr>
      <w:r>
        <w:rPr>
          <w:rFonts w:hint="eastAsia" w:ascii="宋体" w:eastAsia="宋体"/>
          <w:b/>
          <w:color w:val="auto"/>
          <w:sz w:val="32"/>
        </w:rPr>
        <w:t>【政策内容】</w:t>
      </w:r>
    </w:p>
    <w:p>
      <w:pPr>
        <w:pStyle w:val="4"/>
        <w:keepNext w:val="0"/>
        <w:keepLines w:val="0"/>
        <w:pageBreakBefore w:val="0"/>
        <w:widowControl w:val="0"/>
        <w:kinsoku/>
        <w:wordWrap/>
        <w:overflowPunct/>
        <w:topLinePunct w:val="0"/>
        <w:autoSpaceDE w:val="0"/>
        <w:autoSpaceDN w:val="0"/>
        <w:bidi w:val="0"/>
        <w:adjustRightInd/>
        <w:snapToGrid/>
        <w:ind w:left="0" w:firstLine="640" w:firstLineChars="200"/>
        <w:jc w:val="both"/>
        <w:textAlignment w:val="auto"/>
        <w:rPr>
          <w:color w:val="auto"/>
        </w:rPr>
      </w:pPr>
      <w:r>
        <w:rPr>
          <w:color w:val="auto"/>
        </w:rPr>
        <w:t>境内的单位和个人销售的下列服务和无形资产免征增值税，但财政部和国家税务总局规定适用增值税零税率的除外：</w:t>
      </w:r>
    </w:p>
    <w:p>
      <w:pPr>
        <w:pStyle w:val="12"/>
        <w:keepNext w:val="0"/>
        <w:keepLines w:val="0"/>
        <w:pageBreakBefore w:val="0"/>
        <w:widowControl w:val="0"/>
        <w:numPr>
          <w:ilvl w:val="1"/>
          <w:numId w:val="19"/>
        </w:numPr>
        <w:tabs>
          <w:tab w:val="left" w:pos="1283"/>
        </w:tabs>
        <w:kinsoku/>
        <w:wordWrap/>
        <w:overflowPunct/>
        <w:topLinePunct w:val="0"/>
        <w:autoSpaceDE w:val="0"/>
        <w:autoSpaceDN w:val="0"/>
        <w:bidi w:val="0"/>
        <w:adjustRightInd/>
        <w:snapToGrid/>
        <w:spacing w:before="1" w:after="0" w:line="240" w:lineRule="auto"/>
        <w:ind w:left="1282" w:right="0" w:hanging="323"/>
        <w:jc w:val="both"/>
        <w:textAlignment w:val="auto"/>
        <w:rPr>
          <w:color w:val="auto"/>
          <w:sz w:val="32"/>
        </w:rPr>
      </w:pPr>
      <w:r>
        <w:rPr>
          <w:color w:val="auto"/>
          <w:sz w:val="32"/>
        </w:rPr>
        <w:t>包括下列服务：</w:t>
      </w:r>
    </w:p>
    <w:p>
      <w:pPr>
        <w:pStyle w:val="12"/>
        <w:keepNext w:val="0"/>
        <w:keepLines w:val="0"/>
        <w:pageBreakBefore w:val="0"/>
        <w:widowControl w:val="0"/>
        <w:numPr>
          <w:ilvl w:val="0"/>
          <w:numId w:val="27"/>
        </w:numPr>
        <w:tabs>
          <w:tab w:val="left" w:pos="1761"/>
        </w:tabs>
        <w:kinsoku/>
        <w:wordWrap/>
        <w:overflowPunct/>
        <w:topLinePunct w:val="0"/>
        <w:autoSpaceDE w:val="0"/>
        <w:autoSpaceDN w:val="0"/>
        <w:bidi w:val="0"/>
        <w:adjustRightInd/>
        <w:snapToGrid/>
        <w:spacing w:before="214" w:after="0" w:line="240" w:lineRule="auto"/>
        <w:ind w:left="1760" w:right="0" w:hanging="801"/>
        <w:jc w:val="both"/>
        <w:textAlignment w:val="auto"/>
        <w:rPr>
          <w:color w:val="auto"/>
          <w:sz w:val="32"/>
        </w:rPr>
      </w:pPr>
      <w:r>
        <w:rPr>
          <w:color w:val="auto"/>
          <w:sz w:val="32"/>
        </w:rPr>
        <w:t>工程项目在境外的建筑服务。</w:t>
      </w:r>
    </w:p>
    <w:p>
      <w:pPr>
        <w:pStyle w:val="12"/>
        <w:keepNext w:val="0"/>
        <w:keepLines w:val="0"/>
        <w:pageBreakBefore w:val="0"/>
        <w:widowControl w:val="0"/>
        <w:numPr>
          <w:ilvl w:val="0"/>
          <w:numId w:val="27"/>
        </w:numPr>
        <w:tabs>
          <w:tab w:val="left" w:pos="1761"/>
        </w:tabs>
        <w:kinsoku/>
        <w:wordWrap/>
        <w:overflowPunct/>
        <w:topLinePunct w:val="0"/>
        <w:autoSpaceDE w:val="0"/>
        <w:autoSpaceDN w:val="0"/>
        <w:bidi w:val="0"/>
        <w:adjustRightInd/>
        <w:snapToGrid/>
        <w:spacing w:before="214" w:after="0" w:line="240" w:lineRule="auto"/>
        <w:ind w:left="1760" w:right="0" w:hanging="801"/>
        <w:jc w:val="both"/>
        <w:textAlignment w:val="auto"/>
        <w:rPr>
          <w:color w:val="auto"/>
          <w:sz w:val="32"/>
        </w:rPr>
      </w:pPr>
      <w:r>
        <w:rPr>
          <w:color w:val="auto"/>
          <w:sz w:val="32"/>
        </w:rPr>
        <w:t>工程项目在境外的工程监理服务。</w:t>
      </w:r>
    </w:p>
    <w:p>
      <w:pPr>
        <w:pStyle w:val="12"/>
        <w:keepNext w:val="0"/>
        <w:keepLines w:val="0"/>
        <w:pageBreakBefore w:val="0"/>
        <w:widowControl w:val="0"/>
        <w:numPr>
          <w:ilvl w:val="0"/>
          <w:numId w:val="27"/>
        </w:numPr>
        <w:tabs>
          <w:tab w:val="left" w:pos="1761"/>
        </w:tabs>
        <w:kinsoku/>
        <w:wordWrap/>
        <w:overflowPunct/>
        <w:topLinePunct w:val="0"/>
        <w:autoSpaceDE w:val="0"/>
        <w:autoSpaceDN w:val="0"/>
        <w:bidi w:val="0"/>
        <w:adjustRightInd/>
        <w:snapToGrid/>
        <w:spacing w:before="214" w:after="0" w:line="240" w:lineRule="auto"/>
        <w:ind w:left="1760" w:right="0" w:hanging="801"/>
        <w:jc w:val="both"/>
        <w:textAlignment w:val="auto"/>
        <w:rPr>
          <w:color w:val="auto"/>
          <w:sz w:val="32"/>
        </w:rPr>
      </w:pPr>
      <w:r>
        <w:rPr>
          <w:color w:val="auto"/>
          <w:sz w:val="32"/>
        </w:rPr>
        <w:t>工程、矿产资源在境外的工程勘察勘探服务。</w:t>
      </w:r>
    </w:p>
    <w:p>
      <w:pPr>
        <w:pStyle w:val="12"/>
        <w:keepNext w:val="0"/>
        <w:keepLines w:val="0"/>
        <w:pageBreakBefore w:val="0"/>
        <w:widowControl w:val="0"/>
        <w:numPr>
          <w:ilvl w:val="0"/>
          <w:numId w:val="27"/>
        </w:numPr>
        <w:tabs>
          <w:tab w:val="left" w:pos="1761"/>
        </w:tabs>
        <w:kinsoku/>
        <w:wordWrap/>
        <w:overflowPunct/>
        <w:topLinePunct w:val="0"/>
        <w:autoSpaceDE w:val="0"/>
        <w:autoSpaceDN w:val="0"/>
        <w:bidi w:val="0"/>
        <w:adjustRightInd/>
        <w:snapToGrid/>
        <w:spacing w:before="214" w:after="0" w:line="240" w:lineRule="auto"/>
        <w:ind w:left="1760" w:right="0" w:hanging="801"/>
        <w:jc w:val="both"/>
        <w:textAlignment w:val="auto"/>
        <w:rPr>
          <w:color w:val="auto"/>
          <w:sz w:val="32"/>
        </w:rPr>
      </w:pPr>
      <w:r>
        <w:rPr>
          <w:color w:val="auto"/>
          <w:sz w:val="32"/>
        </w:rPr>
        <w:t>会议展览地点在境外的会议展览服务。</w:t>
      </w:r>
    </w:p>
    <w:p>
      <w:pPr>
        <w:pStyle w:val="12"/>
        <w:keepNext w:val="0"/>
        <w:keepLines w:val="0"/>
        <w:pageBreakBefore w:val="0"/>
        <w:widowControl w:val="0"/>
        <w:numPr>
          <w:ilvl w:val="0"/>
          <w:numId w:val="27"/>
        </w:numPr>
        <w:tabs>
          <w:tab w:val="left" w:pos="1761"/>
        </w:tabs>
        <w:kinsoku/>
        <w:wordWrap/>
        <w:overflowPunct/>
        <w:topLinePunct w:val="0"/>
        <w:autoSpaceDE w:val="0"/>
        <w:autoSpaceDN w:val="0"/>
        <w:bidi w:val="0"/>
        <w:adjustRightInd/>
        <w:snapToGrid/>
        <w:spacing w:before="214" w:after="0" w:line="240" w:lineRule="auto"/>
        <w:ind w:left="1760" w:right="0" w:hanging="801"/>
        <w:jc w:val="both"/>
        <w:textAlignment w:val="auto"/>
        <w:rPr>
          <w:color w:val="auto"/>
          <w:sz w:val="32"/>
        </w:rPr>
      </w:pPr>
      <w:r>
        <w:rPr>
          <w:color w:val="auto"/>
          <w:sz w:val="32"/>
        </w:rPr>
        <w:t>存储地点在境外的仓储服务。</w:t>
      </w:r>
    </w:p>
    <w:p>
      <w:pPr>
        <w:pStyle w:val="12"/>
        <w:keepNext w:val="0"/>
        <w:keepLines w:val="0"/>
        <w:pageBreakBefore w:val="0"/>
        <w:widowControl w:val="0"/>
        <w:numPr>
          <w:ilvl w:val="0"/>
          <w:numId w:val="27"/>
        </w:numPr>
        <w:tabs>
          <w:tab w:val="left" w:pos="1761"/>
        </w:tabs>
        <w:kinsoku/>
        <w:wordWrap/>
        <w:overflowPunct/>
        <w:topLinePunct w:val="0"/>
        <w:autoSpaceDE w:val="0"/>
        <w:autoSpaceDN w:val="0"/>
        <w:bidi w:val="0"/>
        <w:adjustRightInd/>
        <w:snapToGrid/>
        <w:spacing w:before="214" w:after="0" w:line="240" w:lineRule="auto"/>
        <w:ind w:left="1760" w:right="0" w:hanging="801"/>
        <w:jc w:val="both"/>
        <w:textAlignment w:val="auto"/>
        <w:rPr>
          <w:color w:val="auto"/>
          <w:sz w:val="32"/>
        </w:rPr>
      </w:pPr>
      <w:r>
        <w:rPr>
          <w:color w:val="auto"/>
          <w:sz w:val="32"/>
        </w:rPr>
        <w:t>标的物在境外使用的有形动产租赁服务。</w:t>
      </w:r>
    </w:p>
    <w:p>
      <w:pPr>
        <w:pStyle w:val="12"/>
        <w:keepNext w:val="0"/>
        <w:keepLines w:val="0"/>
        <w:pageBreakBefore w:val="0"/>
        <w:widowControl w:val="0"/>
        <w:numPr>
          <w:ilvl w:val="0"/>
          <w:numId w:val="27"/>
        </w:numPr>
        <w:tabs>
          <w:tab w:val="left" w:pos="1761"/>
        </w:tabs>
        <w:kinsoku/>
        <w:wordWrap/>
        <w:overflowPunct/>
        <w:topLinePunct w:val="0"/>
        <w:autoSpaceDE w:val="0"/>
        <w:autoSpaceDN w:val="0"/>
        <w:bidi w:val="0"/>
        <w:adjustRightInd/>
        <w:snapToGrid/>
        <w:spacing w:before="214" w:after="0" w:line="240" w:lineRule="auto"/>
        <w:ind w:left="1760" w:right="0" w:hanging="801"/>
        <w:jc w:val="both"/>
        <w:textAlignment w:val="auto"/>
        <w:rPr>
          <w:color w:val="auto"/>
          <w:sz w:val="32"/>
        </w:rPr>
      </w:pPr>
      <w:r>
        <w:rPr>
          <w:color w:val="auto"/>
          <w:spacing w:val="-1"/>
          <w:sz w:val="32"/>
        </w:rPr>
        <w:t>在境外提供的广播影视节目</w:t>
      </w:r>
      <w:r>
        <w:rPr>
          <w:color w:val="auto"/>
          <w:sz w:val="32"/>
        </w:rPr>
        <w:t>（作品</w:t>
      </w:r>
      <w:r>
        <w:rPr>
          <w:color w:val="auto"/>
          <w:spacing w:val="-5"/>
          <w:sz w:val="32"/>
        </w:rPr>
        <w:t>）</w:t>
      </w:r>
      <w:r>
        <w:rPr>
          <w:color w:val="auto"/>
          <w:sz w:val="32"/>
        </w:rPr>
        <w:t>的播映服务。</w:t>
      </w:r>
    </w:p>
    <w:p>
      <w:pPr>
        <w:pStyle w:val="12"/>
        <w:keepNext w:val="0"/>
        <w:keepLines w:val="0"/>
        <w:pageBreakBefore w:val="0"/>
        <w:widowControl w:val="0"/>
        <w:numPr>
          <w:ilvl w:val="0"/>
          <w:numId w:val="27"/>
        </w:numPr>
        <w:tabs>
          <w:tab w:val="left" w:pos="1780"/>
        </w:tabs>
        <w:kinsoku/>
        <w:wordWrap/>
        <w:overflowPunct/>
        <w:topLinePunct w:val="0"/>
        <w:autoSpaceDE w:val="0"/>
        <w:autoSpaceDN w:val="0"/>
        <w:bidi w:val="0"/>
        <w:adjustRightInd/>
        <w:snapToGrid/>
        <w:spacing w:before="214" w:after="0" w:line="364" w:lineRule="auto"/>
        <w:ind w:left="320" w:right="537" w:firstLine="640"/>
        <w:jc w:val="both"/>
        <w:textAlignment w:val="auto"/>
        <w:rPr>
          <w:color w:val="auto"/>
          <w:sz w:val="32"/>
        </w:rPr>
      </w:pPr>
      <w:r>
        <w:rPr>
          <w:color w:val="auto"/>
          <w:spacing w:val="6"/>
          <w:w w:val="95"/>
          <w:sz w:val="32"/>
        </w:rPr>
        <w:t xml:space="preserve">在境外提供的文化体育服务、教育医疗服务、旅 </w:t>
      </w:r>
      <w:r>
        <w:rPr>
          <w:color w:val="auto"/>
          <w:spacing w:val="6"/>
          <w:sz w:val="32"/>
        </w:rPr>
        <w:t>游服务。</w:t>
      </w:r>
    </w:p>
    <w:p>
      <w:pPr>
        <w:pStyle w:val="12"/>
        <w:keepNext w:val="0"/>
        <w:keepLines w:val="0"/>
        <w:pageBreakBefore w:val="0"/>
        <w:widowControl w:val="0"/>
        <w:numPr>
          <w:ilvl w:val="1"/>
          <w:numId w:val="19"/>
        </w:numPr>
        <w:tabs>
          <w:tab w:val="left" w:pos="1283"/>
        </w:tabs>
        <w:kinsoku/>
        <w:wordWrap/>
        <w:overflowPunct/>
        <w:topLinePunct w:val="0"/>
        <w:autoSpaceDE w:val="0"/>
        <w:autoSpaceDN w:val="0"/>
        <w:bidi w:val="0"/>
        <w:adjustRightInd/>
        <w:snapToGrid/>
        <w:spacing w:before="2" w:after="0" w:line="364" w:lineRule="auto"/>
        <w:ind w:left="960" w:right="525" w:firstLine="0"/>
        <w:jc w:val="both"/>
        <w:textAlignment w:val="auto"/>
        <w:rPr>
          <w:color w:val="auto"/>
          <w:sz w:val="32"/>
        </w:rPr>
      </w:pPr>
      <w:r>
        <w:rPr>
          <w:color w:val="auto"/>
          <w:w w:val="95"/>
          <w:sz w:val="32"/>
        </w:rPr>
        <w:t xml:space="preserve">为出口货物提供的邮政服务、收派服务、保险服务。 </w:t>
      </w:r>
      <w:r>
        <w:rPr>
          <w:color w:val="auto"/>
          <w:spacing w:val="-2"/>
          <w:sz w:val="32"/>
        </w:rPr>
        <w:t>为出口货物提供的保险服务，包括出口货物保险和出口</w:t>
      </w:r>
    </w:p>
    <w:p>
      <w:pPr>
        <w:pStyle w:val="4"/>
        <w:keepNext w:val="0"/>
        <w:keepLines w:val="0"/>
        <w:pageBreakBefore w:val="0"/>
        <w:widowControl w:val="0"/>
        <w:kinsoku/>
        <w:wordWrap/>
        <w:overflowPunct/>
        <w:topLinePunct w:val="0"/>
        <w:autoSpaceDE w:val="0"/>
        <w:autoSpaceDN w:val="0"/>
        <w:bidi w:val="0"/>
        <w:adjustRightInd/>
        <w:snapToGrid/>
        <w:spacing w:before="2"/>
        <w:ind w:firstLine="0"/>
        <w:jc w:val="both"/>
        <w:textAlignment w:val="auto"/>
        <w:rPr>
          <w:color w:val="auto"/>
        </w:rPr>
      </w:pPr>
      <w:r>
        <w:rPr>
          <w:color w:val="auto"/>
        </w:rPr>
        <w:t>信用保险。</w:t>
      </w:r>
    </w:p>
    <w:p>
      <w:pPr>
        <w:pStyle w:val="12"/>
        <w:keepNext w:val="0"/>
        <w:keepLines w:val="0"/>
        <w:pageBreakBefore w:val="0"/>
        <w:widowControl w:val="0"/>
        <w:numPr>
          <w:ilvl w:val="1"/>
          <w:numId w:val="19"/>
        </w:numPr>
        <w:tabs>
          <w:tab w:val="left" w:pos="1292"/>
        </w:tabs>
        <w:kinsoku/>
        <w:wordWrap/>
        <w:overflowPunct/>
        <w:topLinePunct w:val="0"/>
        <w:autoSpaceDE w:val="0"/>
        <w:autoSpaceDN w:val="0"/>
        <w:bidi w:val="0"/>
        <w:adjustRightInd/>
        <w:snapToGrid/>
        <w:spacing w:before="214" w:after="0" w:line="364" w:lineRule="auto"/>
        <w:ind w:left="320" w:right="540" w:firstLine="640"/>
        <w:jc w:val="both"/>
        <w:textAlignment w:val="auto"/>
        <w:rPr>
          <w:color w:val="auto"/>
          <w:sz w:val="32"/>
        </w:rPr>
      </w:pPr>
      <w:r>
        <w:rPr>
          <w:color w:val="auto"/>
          <w:spacing w:val="13"/>
          <w:w w:val="95"/>
          <w:sz w:val="32"/>
        </w:rPr>
        <w:t xml:space="preserve">向境外单位提供的完全在境外消费的下列服务和无 </w:t>
      </w:r>
      <w:r>
        <w:rPr>
          <w:color w:val="auto"/>
          <w:spacing w:val="13"/>
          <w:sz w:val="32"/>
        </w:rPr>
        <w:t>形资产：</w:t>
      </w:r>
    </w:p>
    <w:p>
      <w:pPr>
        <w:pStyle w:val="12"/>
        <w:keepNext w:val="0"/>
        <w:keepLines w:val="0"/>
        <w:pageBreakBefore w:val="0"/>
        <w:widowControl w:val="0"/>
        <w:numPr>
          <w:ilvl w:val="0"/>
          <w:numId w:val="28"/>
        </w:numPr>
        <w:tabs>
          <w:tab w:val="left" w:pos="1761"/>
        </w:tabs>
        <w:kinsoku/>
        <w:wordWrap/>
        <w:overflowPunct/>
        <w:topLinePunct w:val="0"/>
        <w:autoSpaceDE w:val="0"/>
        <w:autoSpaceDN w:val="0"/>
        <w:bidi w:val="0"/>
        <w:adjustRightInd/>
        <w:snapToGrid/>
        <w:spacing w:before="1" w:after="0" w:line="240" w:lineRule="auto"/>
        <w:ind w:left="1760" w:right="0" w:hanging="801"/>
        <w:jc w:val="both"/>
        <w:textAlignment w:val="auto"/>
        <w:rPr>
          <w:color w:val="auto"/>
          <w:sz w:val="32"/>
        </w:rPr>
      </w:pPr>
      <w:r>
        <w:rPr>
          <w:color w:val="auto"/>
          <w:sz w:val="32"/>
        </w:rPr>
        <w:t>电信服务。</w:t>
      </w:r>
    </w:p>
    <w:p>
      <w:pPr>
        <w:pStyle w:val="12"/>
        <w:keepNext w:val="0"/>
        <w:keepLines w:val="0"/>
        <w:pageBreakBefore w:val="0"/>
        <w:widowControl w:val="0"/>
        <w:numPr>
          <w:ilvl w:val="0"/>
          <w:numId w:val="28"/>
        </w:numPr>
        <w:tabs>
          <w:tab w:val="left" w:pos="1761"/>
        </w:tabs>
        <w:kinsoku/>
        <w:wordWrap/>
        <w:overflowPunct/>
        <w:topLinePunct w:val="0"/>
        <w:autoSpaceDE w:val="0"/>
        <w:autoSpaceDN w:val="0"/>
        <w:bidi w:val="0"/>
        <w:adjustRightInd/>
        <w:snapToGrid/>
        <w:spacing w:before="214" w:after="0" w:line="240" w:lineRule="auto"/>
        <w:ind w:left="1760" w:right="0" w:hanging="801"/>
        <w:jc w:val="both"/>
        <w:textAlignment w:val="auto"/>
        <w:rPr>
          <w:color w:val="auto"/>
          <w:sz w:val="32"/>
        </w:rPr>
      </w:pPr>
      <w:r>
        <w:rPr>
          <w:color w:val="auto"/>
          <w:sz w:val="32"/>
        </w:rPr>
        <w:t>知识产权服务。</w:t>
      </w:r>
    </w:p>
    <w:p>
      <w:pPr>
        <w:pStyle w:val="12"/>
        <w:keepNext w:val="0"/>
        <w:keepLines w:val="0"/>
        <w:pageBreakBefore w:val="0"/>
        <w:widowControl w:val="0"/>
        <w:numPr>
          <w:ilvl w:val="0"/>
          <w:numId w:val="28"/>
        </w:numPr>
        <w:tabs>
          <w:tab w:val="left" w:pos="1761"/>
        </w:tabs>
        <w:kinsoku/>
        <w:wordWrap/>
        <w:overflowPunct/>
        <w:topLinePunct w:val="0"/>
        <w:autoSpaceDE w:val="0"/>
        <w:autoSpaceDN w:val="0"/>
        <w:bidi w:val="0"/>
        <w:adjustRightInd/>
        <w:snapToGrid/>
        <w:spacing w:before="214" w:after="0" w:line="240" w:lineRule="auto"/>
        <w:ind w:left="1760" w:right="0" w:hanging="801"/>
        <w:jc w:val="both"/>
        <w:textAlignment w:val="auto"/>
        <w:rPr>
          <w:color w:val="auto"/>
          <w:sz w:val="32"/>
        </w:rPr>
      </w:pPr>
      <w:r>
        <w:rPr>
          <w:color w:val="auto"/>
          <w:sz w:val="32"/>
        </w:rPr>
        <w:t>物流辅助服务（仓储服务、收派服务除外）。</w:t>
      </w:r>
    </w:p>
    <w:p>
      <w:pPr>
        <w:pStyle w:val="12"/>
        <w:keepNext w:val="0"/>
        <w:keepLines w:val="0"/>
        <w:pageBreakBefore w:val="0"/>
        <w:widowControl w:val="0"/>
        <w:numPr>
          <w:ilvl w:val="0"/>
          <w:numId w:val="28"/>
        </w:numPr>
        <w:tabs>
          <w:tab w:val="left" w:pos="1761"/>
        </w:tabs>
        <w:kinsoku/>
        <w:wordWrap/>
        <w:overflowPunct/>
        <w:topLinePunct w:val="0"/>
        <w:autoSpaceDE w:val="0"/>
        <w:autoSpaceDN w:val="0"/>
        <w:bidi w:val="0"/>
        <w:adjustRightInd/>
        <w:snapToGrid/>
        <w:spacing w:before="214" w:after="0" w:line="240" w:lineRule="auto"/>
        <w:ind w:left="1760" w:right="0" w:hanging="801"/>
        <w:jc w:val="both"/>
        <w:textAlignment w:val="auto"/>
        <w:rPr>
          <w:color w:val="auto"/>
          <w:sz w:val="32"/>
        </w:rPr>
      </w:pPr>
      <w:r>
        <w:rPr>
          <w:color w:val="auto"/>
          <w:w w:val="95"/>
          <w:sz w:val="32"/>
        </w:rPr>
        <w:t>鉴证咨询服务。</w:t>
      </w:r>
    </w:p>
    <w:p>
      <w:pPr>
        <w:pStyle w:val="12"/>
        <w:keepNext w:val="0"/>
        <w:keepLines w:val="0"/>
        <w:pageBreakBefore w:val="0"/>
        <w:widowControl w:val="0"/>
        <w:numPr>
          <w:ilvl w:val="0"/>
          <w:numId w:val="28"/>
        </w:numPr>
        <w:tabs>
          <w:tab w:val="left" w:pos="1761"/>
        </w:tabs>
        <w:kinsoku/>
        <w:wordWrap/>
        <w:overflowPunct/>
        <w:topLinePunct w:val="0"/>
        <w:autoSpaceDE w:val="0"/>
        <w:autoSpaceDN w:val="0"/>
        <w:bidi w:val="0"/>
        <w:adjustRightInd/>
        <w:snapToGrid/>
        <w:spacing w:before="214" w:after="0" w:line="240" w:lineRule="auto"/>
        <w:ind w:left="1760" w:right="0" w:hanging="801"/>
        <w:jc w:val="both"/>
        <w:textAlignment w:val="auto"/>
        <w:rPr>
          <w:color w:val="auto"/>
          <w:sz w:val="32"/>
        </w:rPr>
      </w:pPr>
      <w:r>
        <w:rPr>
          <w:color w:val="auto"/>
          <w:w w:val="95"/>
          <w:sz w:val="32"/>
        </w:rPr>
        <w:t>专业技术服务。</w:t>
      </w:r>
    </w:p>
    <w:p>
      <w:pPr>
        <w:pStyle w:val="12"/>
        <w:keepNext w:val="0"/>
        <w:keepLines w:val="0"/>
        <w:pageBreakBefore w:val="0"/>
        <w:widowControl w:val="0"/>
        <w:numPr>
          <w:ilvl w:val="0"/>
          <w:numId w:val="28"/>
        </w:numPr>
        <w:tabs>
          <w:tab w:val="left" w:pos="1761"/>
        </w:tabs>
        <w:kinsoku/>
        <w:wordWrap/>
        <w:overflowPunct/>
        <w:topLinePunct w:val="0"/>
        <w:autoSpaceDE w:val="0"/>
        <w:autoSpaceDN w:val="0"/>
        <w:bidi w:val="0"/>
        <w:adjustRightInd/>
        <w:snapToGrid/>
        <w:spacing w:before="30" w:after="0" w:line="240" w:lineRule="auto"/>
        <w:ind w:left="1760" w:right="0" w:hanging="801"/>
        <w:jc w:val="both"/>
        <w:textAlignment w:val="auto"/>
        <w:rPr>
          <w:color w:val="auto"/>
          <w:sz w:val="32"/>
        </w:rPr>
      </w:pPr>
      <w:r>
        <w:rPr>
          <w:color w:val="auto"/>
          <w:sz w:val="32"/>
        </w:rPr>
        <w:t>商务辅助服务。</w:t>
      </w:r>
    </w:p>
    <w:p>
      <w:pPr>
        <w:pStyle w:val="12"/>
        <w:keepNext w:val="0"/>
        <w:keepLines w:val="0"/>
        <w:pageBreakBefore w:val="0"/>
        <w:widowControl w:val="0"/>
        <w:numPr>
          <w:ilvl w:val="0"/>
          <w:numId w:val="28"/>
        </w:numPr>
        <w:tabs>
          <w:tab w:val="left" w:pos="1761"/>
        </w:tabs>
        <w:kinsoku/>
        <w:wordWrap/>
        <w:overflowPunct/>
        <w:topLinePunct w:val="0"/>
        <w:autoSpaceDE w:val="0"/>
        <w:autoSpaceDN w:val="0"/>
        <w:bidi w:val="0"/>
        <w:adjustRightInd/>
        <w:snapToGrid/>
        <w:spacing w:before="214" w:after="0" w:line="240" w:lineRule="auto"/>
        <w:ind w:left="1760" w:right="0" w:hanging="801"/>
        <w:jc w:val="both"/>
        <w:textAlignment w:val="auto"/>
        <w:rPr>
          <w:color w:val="auto"/>
          <w:sz w:val="32"/>
        </w:rPr>
      </w:pPr>
      <w:r>
        <w:rPr>
          <w:color w:val="auto"/>
          <w:sz w:val="32"/>
        </w:rPr>
        <w:t>广告投放地在境外的广告服务。</w:t>
      </w:r>
    </w:p>
    <w:p>
      <w:pPr>
        <w:pStyle w:val="12"/>
        <w:keepNext w:val="0"/>
        <w:keepLines w:val="0"/>
        <w:pageBreakBefore w:val="0"/>
        <w:widowControl w:val="0"/>
        <w:numPr>
          <w:ilvl w:val="0"/>
          <w:numId w:val="28"/>
        </w:numPr>
        <w:tabs>
          <w:tab w:val="left" w:pos="1761"/>
        </w:tabs>
        <w:kinsoku/>
        <w:wordWrap/>
        <w:overflowPunct/>
        <w:topLinePunct w:val="0"/>
        <w:autoSpaceDE w:val="0"/>
        <w:autoSpaceDN w:val="0"/>
        <w:bidi w:val="0"/>
        <w:adjustRightInd/>
        <w:snapToGrid/>
        <w:spacing w:before="214" w:after="0" w:line="240" w:lineRule="auto"/>
        <w:ind w:left="1760" w:right="0" w:hanging="801"/>
        <w:jc w:val="both"/>
        <w:textAlignment w:val="auto"/>
        <w:rPr>
          <w:color w:val="auto"/>
          <w:sz w:val="32"/>
        </w:rPr>
      </w:pPr>
      <w:r>
        <w:rPr>
          <w:color w:val="auto"/>
          <w:sz w:val="32"/>
        </w:rPr>
        <w:t>无形资产。</w:t>
      </w:r>
    </w:p>
    <w:p>
      <w:pPr>
        <w:pStyle w:val="12"/>
        <w:keepNext w:val="0"/>
        <w:keepLines w:val="0"/>
        <w:pageBreakBefore w:val="0"/>
        <w:widowControl w:val="0"/>
        <w:numPr>
          <w:ilvl w:val="1"/>
          <w:numId w:val="19"/>
        </w:numPr>
        <w:tabs>
          <w:tab w:val="left" w:pos="1283"/>
        </w:tabs>
        <w:kinsoku/>
        <w:wordWrap/>
        <w:overflowPunct/>
        <w:topLinePunct w:val="0"/>
        <w:autoSpaceDE w:val="0"/>
        <w:autoSpaceDN w:val="0"/>
        <w:bidi w:val="0"/>
        <w:adjustRightInd/>
        <w:snapToGrid/>
        <w:spacing w:before="214" w:after="0" w:line="240" w:lineRule="auto"/>
        <w:ind w:left="1282" w:right="0" w:hanging="323"/>
        <w:jc w:val="both"/>
        <w:textAlignment w:val="auto"/>
        <w:rPr>
          <w:color w:val="auto"/>
          <w:sz w:val="32"/>
        </w:rPr>
      </w:pPr>
      <w:r>
        <w:rPr>
          <w:color w:val="auto"/>
          <w:sz w:val="32"/>
        </w:rPr>
        <w:t>以无运输工具承运方式提供的国际运输服务。</w:t>
      </w:r>
    </w:p>
    <w:p>
      <w:pPr>
        <w:pStyle w:val="12"/>
        <w:keepNext w:val="0"/>
        <w:keepLines w:val="0"/>
        <w:pageBreakBefore w:val="0"/>
        <w:widowControl w:val="0"/>
        <w:numPr>
          <w:ilvl w:val="1"/>
          <w:numId w:val="19"/>
        </w:numPr>
        <w:tabs>
          <w:tab w:val="left" w:pos="1292"/>
        </w:tabs>
        <w:kinsoku/>
        <w:wordWrap/>
        <w:overflowPunct/>
        <w:topLinePunct w:val="0"/>
        <w:autoSpaceDE w:val="0"/>
        <w:autoSpaceDN w:val="0"/>
        <w:bidi w:val="0"/>
        <w:adjustRightInd/>
        <w:snapToGrid/>
        <w:spacing w:before="214" w:after="0" w:line="364" w:lineRule="auto"/>
        <w:ind w:left="320" w:right="540" w:firstLine="640"/>
        <w:jc w:val="both"/>
        <w:textAlignment w:val="auto"/>
        <w:rPr>
          <w:color w:val="auto"/>
          <w:sz w:val="32"/>
        </w:rPr>
      </w:pPr>
      <w:r>
        <w:rPr>
          <w:color w:val="auto"/>
          <w:spacing w:val="13"/>
          <w:w w:val="95"/>
          <w:sz w:val="32"/>
        </w:rPr>
        <w:t xml:space="preserve">为境外单位之间的货币资金融通及其他金融业务提 </w:t>
      </w:r>
      <w:r>
        <w:rPr>
          <w:color w:val="auto"/>
          <w:spacing w:val="-1"/>
          <w:sz w:val="32"/>
        </w:rPr>
        <w:t>供的直接收费金融服务，且该服务与境内的货物、无形资产</w:t>
      </w:r>
      <w:r>
        <w:rPr>
          <w:color w:val="auto"/>
          <w:sz w:val="32"/>
        </w:rPr>
        <w:t>和不动产无关。</w:t>
      </w:r>
    </w:p>
    <w:p>
      <w:pPr>
        <w:pStyle w:val="12"/>
        <w:keepNext w:val="0"/>
        <w:keepLines w:val="0"/>
        <w:pageBreakBefore w:val="0"/>
        <w:widowControl w:val="0"/>
        <w:numPr>
          <w:ilvl w:val="1"/>
          <w:numId w:val="19"/>
        </w:numPr>
        <w:tabs>
          <w:tab w:val="left" w:pos="1283"/>
        </w:tabs>
        <w:kinsoku/>
        <w:wordWrap/>
        <w:overflowPunct/>
        <w:topLinePunct w:val="0"/>
        <w:autoSpaceDE w:val="0"/>
        <w:autoSpaceDN w:val="0"/>
        <w:bidi w:val="0"/>
        <w:adjustRightInd/>
        <w:snapToGrid/>
        <w:spacing w:before="2" w:after="0" w:line="240" w:lineRule="auto"/>
        <w:ind w:left="1282" w:right="0" w:hanging="323"/>
        <w:jc w:val="both"/>
        <w:textAlignment w:val="auto"/>
        <w:rPr>
          <w:color w:val="auto"/>
          <w:sz w:val="32"/>
        </w:rPr>
      </w:pPr>
      <w:r>
        <w:rPr>
          <w:color w:val="auto"/>
          <w:sz w:val="32"/>
        </w:rPr>
        <w:t>未按规定取得相关资质的国际运输服务项目。</w:t>
      </w:r>
    </w:p>
    <w:p>
      <w:pPr>
        <w:pStyle w:val="12"/>
        <w:keepNext w:val="0"/>
        <w:keepLines w:val="0"/>
        <w:pageBreakBefore w:val="0"/>
        <w:widowControl w:val="0"/>
        <w:numPr>
          <w:ilvl w:val="1"/>
          <w:numId w:val="19"/>
        </w:numPr>
        <w:tabs>
          <w:tab w:val="left" w:pos="1283"/>
        </w:tabs>
        <w:kinsoku/>
        <w:wordWrap/>
        <w:overflowPunct/>
        <w:topLinePunct w:val="0"/>
        <w:autoSpaceDE w:val="0"/>
        <w:autoSpaceDN w:val="0"/>
        <w:bidi w:val="0"/>
        <w:adjustRightInd/>
        <w:snapToGrid/>
        <w:spacing w:before="214" w:after="0" w:line="364" w:lineRule="auto"/>
        <w:ind w:left="320" w:right="537" w:firstLine="640"/>
        <w:jc w:val="both"/>
        <w:textAlignment w:val="auto"/>
        <w:rPr>
          <w:color w:val="auto"/>
          <w:sz w:val="32"/>
        </w:rPr>
      </w:pPr>
      <w:r>
        <w:rPr>
          <w:color w:val="auto"/>
          <w:spacing w:val="-2"/>
          <w:w w:val="95"/>
          <w:sz w:val="32"/>
        </w:rPr>
        <w:t xml:space="preserve">符合增值税零税率政策，但适用简易计税方法的服务 </w:t>
      </w:r>
      <w:r>
        <w:rPr>
          <w:color w:val="auto"/>
          <w:spacing w:val="-2"/>
          <w:sz w:val="32"/>
        </w:rPr>
        <w:t>或者无形资产。</w:t>
      </w:r>
    </w:p>
    <w:p>
      <w:pPr>
        <w:pStyle w:val="12"/>
        <w:keepNext w:val="0"/>
        <w:keepLines w:val="0"/>
        <w:pageBreakBefore w:val="0"/>
        <w:widowControl w:val="0"/>
        <w:numPr>
          <w:ilvl w:val="1"/>
          <w:numId w:val="19"/>
        </w:numPr>
        <w:tabs>
          <w:tab w:val="left" w:pos="1283"/>
        </w:tabs>
        <w:kinsoku/>
        <w:wordWrap/>
        <w:overflowPunct/>
        <w:topLinePunct w:val="0"/>
        <w:autoSpaceDE w:val="0"/>
        <w:autoSpaceDN w:val="0"/>
        <w:bidi w:val="0"/>
        <w:adjustRightInd/>
        <w:snapToGrid/>
        <w:spacing w:before="2" w:after="0" w:line="364" w:lineRule="auto"/>
        <w:ind w:left="320" w:right="540" w:firstLine="640"/>
        <w:jc w:val="both"/>
        <w:textAlignment w:val="auto"/>
        <w:rPr>
          <w:color w:val="auto"/>
          <w:sz w:val="32"/>
        </w:rPr>
      </w:pPr>
      <w:r>
        <w:rPr>
          <w:color w:val="auto"/>
          <w:spacing w:val="-1"/>
          <w:w w:val="95"/>
          <w:sz w:val="32"/>
        </w:rPr>
        <w:t xml:space="preserve">声明放弃适用增值税零税率政策，选择适用免税政策 </w:t>
      </w:r>
      <w:r>
        <w:rPr>
          <w:color w:val="auto"/>
          <w:spacing w:val="-1"/>
          <w:sz w:val="32"/>
        </w:rPr>
        <w:t>的销售服务或者无形资产。</w:t>
      </w:r>
    </w:p>
    <w:p>
      <w:pPr>
        <w:pStyle w:val="4"/>
        <w:keepNext w:val="0"/>
        <w:keepLines w:val="0"/>
        <w:pageBreakBefore w:val="0"/>
        <w:widowControl w:val="0"/>
        <w:kinsoku/>
        <w:wordWrap/>
        <w:overflowPunct/>
        <w:topLinePunct w:val="0"/>
        <w:autoSpaceDE w:val="0"/>
        <w:autoSpaceDN w:val="0"/>
        <w:bidi w:val="0"/>
        <w:adjustRightInd/>
        <w:snapToGrid/>
        <w:spacing w:before="1" w:line="364" w:lineRule="auto"/>
        <w:ind w:right="540"/>
        <w:jc w:val="both"/>
        <w:textAlignment w:val="auto"/>
        <w:rPr>
          <w:color w:val="auto"/>
        </w:rPr>
      </w:pPr>
      <w:r>
        <w:rPr>
          <w:color w:val="auto"/>
        </w:rPr>
        <w:t>9</w:t>
      </w:r>
      <w:r>
        <w:rPr>
          <w:color w:val="auto"/>
          <w:spacing w:val="-27"/>
        </w:rPr>
        <w:t xml:space="preserve">.自 </w:t>
      </w:r>
      <w:r>
        <w:rPr>
          <w:color w:val="auto"/>
        </w:rPr>
        <w:t>2022</w:t>
      </w:r>
      <w:r>
        <w:rPr>
          <w:color w:val="auto"/>
          <w:spacing w:val="-55"/>
        </w:rPr>
        <w:t xml:space="preserve"> 年 </w:t>
      </w:r>
      <w:r>
        <w:rPr>
          <w:color w:val="auto"/>
        </w:rPr>
        <w:t>1</w:t>
      </w:r>
      <w:r>
        <w:rPr>
          <w:color w:val="auto"/>
          <w:spacing w:val="-55"/>
        </w:rPr>
        <w:t xml:space="preserve"> 月 </w:t>
      </w:r>
      <w:r>
        <w:rPr>
          <w:color w:val="auto"/>
        </w:rPr>
        <w:t>1</w:t>
      </w:r>
      <w:r>
        <w:rPr>
          <w:color w:val="auto"/>
          <w:spacing w:val="-42"/>
        </w:rPr>
        <w:t xml:space="preserve"> 日至 </w:t>
      </w:r>
      <w:r>
        <w:rPr>
          <w:color w:val="auto"/>
        </w:rPr>
        <w:t>2025</w:t>
      </w:r>
      <w:r>
        <w:rPr>
          <w:color w:val="auto"/>
          <w:spacing w:val="-55"/>
        </w:rPr>
        <w:t xml:space="preserve"> 年 </w:t>
      </w:r>
      <w:r>
        <w:rPr>
          <w:color w:val="auto"/>
        </w:rPr>
        <w:t>12</w:t>
      </w:r>
      <w:r>
        <w:rPr>
          <w:color w:val="auto"/>
          <w:spacing w:val="-55"/>
        </w:rPr>
        <w:t xml:space="preserve"> 月 </w:t>
      </w:r>
      <w:r>
        <w:rPr>
          <w:color w:val="auto"/>
        </w:rPr>
        <w:t>31</w:t>
      </w:r>
      <w:r>
        <w:rPr>
          <w:color w:val="auto"/>
          <w:spacing w:val="-15"/>
        </w:rPr>
        <w:t xml:space="preserve"> 日，以出口货</w:t>
      </w:r>
      <w:r>
        <w:rPr>
          <w:color w:val="auto"/>
          <w:spacing w:val="11"/>
          <w:w w:val="95"/>
        </w:rPr>
        <w:t xml:space="preserve">物为保险标的的产品责任保险和以出口货物为保险标的的 </w:t>
      </w:r>
      <w:r>
        <w:rPr>
          <w:color w:val="auto"/>
          <w:spacing w:val="11"/>
        </w:rPr>
        <w:t>产品质量保证保险。</w:t>
      </w:r>
    </w:p>
    <w:p>
      <w:pPr>
        <w:pStyle w:val="4"/>
        <w:keepNext w:val="0"/>
        <w:keepLines w:val="0"/>
        <w:pageBreakBefore w:val="0"/>
        <w:widowControl w:val="0"/>
        <w:kinsoku/>
        <w:wordWrap/>
        <w:overflowPunct/>
        <w:topLinePunct w:val="0"/>
        <w:autoSpaceDE w:val="0"/>
        <w:autoSpaceDN w:val="0"/>
        <w:bidi w:val="0"/>
        <w:adjustRightInd/>
        <w:snapToGrid/>
        <w:spacing w:before="3"/>
        <w:ind w:left="960" w:firstLine="0"/>
        <w:jc w:val="both"/>
        <w:textAlignment w:val="auto"/>
        <w:rPr>
          <w:color w:val="auto"/>
        </w:rPr>
      </w:pPr>
      <w:r>
        <w:rPr>
          <w:color w:val="auto"/>
        </w:rPr>
        <w:t>10.财政部和国家税务总局规定的其他服务。</w:t>
      </w:r>
    </w:p>
    <w:p>
      <w:pPr>
        <w:keepNext w:val="0"/>
        <w:keepLines w:val="0"/>
        <w:pageBreakBefore w:val="0"/>
        <w:widowControl w:val="0"/>
        <w:kinsoku/>
        <w:wordWrap/>
        <w:overflowPunct/>
        <w:topLinePunct w:val="0"/>
        <w:autoSpaceDE w:val="0"/>
        <w:autoSpaceDN w:val="0"/>
        <w:bidi w:val="0"/>
        <w:adjustRightInd/>
        <w:snapToGrid/>
        <w:spacing w:before="214"/>
        <w:ind w:left="320" w:right="0" w:firstLine="0"/>
        <w:jc w:val="both"/>
        <w:textAlignment w:val="auto"/>
        <w:rPr>
          <w:rFonts w:hint="eastAsia" w:ascii="宋体" w:eastAsia="宋体"/>
          <w:b/>
          <w:color w:val="auto"/>
          <w:sz w:val="32"/>
        </w:rPr>
      </w:pPr>
      <w:r>
        <w:rPr>
          <w:rFonts w:hint="eastAsia" w:ascii="宋体" w:eastAsia="宋体"/>
          <w:b/>
          <w:color w:val="auto"/>
          <w:sz w:val="32"/>
        </w:rPr>
        <w:t>【适用条件】</w:t>
      </w:r>
    </w:p>
    <w:p>
      <w:pPr>
        <w:pStyle w:val="12"/>
        <w:keepNext w:val="0"/>
        <w:keepLines w:val="0"/>
        <w:pageBreakBefore w:val="0"/>
        <w:widowControl w:val="0"/>
        <w:numPr>
          <w:ilvl w:val="0"/>
          <w:numId w:val="29"/>
        </w:numPr>
        <w:tabs>
          <w:tab w:val="left" w:pos="1283"/>
        </w:tabs>
        <w:kinsoku/>
        <w:wordWrap/>
        <w:overflowPunct/>
        <w:topLinePunct w:val="0"/>
        <w:autoSpaceDE w:val="0"/>
        <w:autoSpaceDN w:val="0"/>
        <w:bidi w:val="0"/>
        <w:adjustRightInd/>
        <w:snapToGrid/>
        <w:spacing w:before="214" w:after="0" w:line="364" w:lineRule="auto"/>
        <w:ind w:left="320" w:right="540" w:firstLine="640"/>
        <w:jc w:val="both"/>
        <w:textAlignment w:val="auto"/>
        <w:rPr>
          <w:color w:val="auto"/>
          <w:sz w:val="32"/>
        </w:rPr>
      </w:pPr>
      <w:r>
        <w:rPr>
          <w:color w:val="auto"/>
          <w:spacing w:val="-1"/>
          <w:w w:val="95"/>
          <w:sz w:val="32"/>
        </w:rPr>
        <w:t xml:space="preserve">纳税人发生跨境应税行为免征增值税的，应单独核算 </w:t>
      </w:r>
      <w:r>
        <w:rPr>
          <w:color w:val="auto"/>
          <w:spacing w:val="-4"/>
          <w:sz w:val="32"/>
        </w:rPr>
        <w:t>跨境应税行为的销售额，准确计算不得抵扣的进项税额，其</w:t>
      </w:r>
      <w:r>
        <w:rPr>
          <w:color w:val="auto"/>
          <w:sz w:val="32"/>
        </w:rPr>
        <w:t>免税收入不得开具增值税专用发票。</w:t>
      </w:r>
    </w:p>
    <w:p>
      <w:pPr>
        <w:pStyle w:val="12"/>
        <w:keepNext w:val="0"/>
        <w:keepLines w:val="0"/>
        <w:pageBreakBefore w:val="0"/>
        <w:widowControl w:val="0"/>
        <w:numPr>
          <w:ilvl w:val="0"/>
          <w:numId w:val="29"/>
        </w:numPr>
        <w:tabs>
          <w:tab w:val="left" w:pos="1292"/>
        </w:tabs>
        <w:kinsoku/>
        <w:wordWrap/>
        <w:overflowPunct/>
        <w:topLinePunct w:val="0"/>
        <w:autoSpaceDE w:val="0"/>
        <w:autoSpaceDN w:val="0"/>
        <w:bidi w:val="0"/>
        <w:adjustRightInd/>
        <w:snapToGrid/>
        <w:spacing w:before="2" w:after="0" w:line="364" w:lineRule="auto"/>
        <w:ind w:left="320" w:right="540" w:firstLine="640"/>
        <w:jc w:val="both"/>
        <w:textAlignment w:val="auto"/>
        <w:rPr>
          <w:color w:val="auto"/>
        </w:rPr>
      </w:pPr>
      <w:r>
        <w:rPr>
          <w:color w:val="auto"/>
          <w:spacing w:val="13"/>
          <w:w w:val="95"/>
          <w:sz w:val="32"/>
        </w:rPr>
        <w:t xml:space="preserve">工程总承包方和工程分包方为施工地点在境外的工 </w:t>
      </w:r>
      <w:r>
        <w:rPr>
          <w:color w:val="auto"/>
          <w:spacing w:val="11"/>
          <w:w w:val="95"/>
          <w:sz w:val="32"/>
        </w:rPr>
        <w:t>程项目提供的建筑服务，均属于工程项目在境外的建筑服务。</w:t>
      </w:r>
    </w:p>
    <w:p>
      <w:pPr>
        <w:pStyle w:val="12"/>
        <w:keepNext w:val="0"/>
        <w:keepLines w:val="0"/>
        <w:pageBreakBefore w:val="0"/>
        <w:widowControl w:val="0"/>
        <w:numPr>
          <w:ilvl w:val="0"/>
          <w:numId w:val="29"/>
        </w:numPr>
        <w:tabs>
          <w:tab w:val="left" w:pos="1283"/>
        </w:tabs>
        <w:kinsoku/>
        <w:wordWrap/>
        <w:overflowPunct/>
        <w:topLinePunct w:val="0"/>
        <w:autoSpaceDE w:val="0"/>
        <w:autoSpaceDN w:val="0"/>
        <w:bidi w:val="0"/>
        <w:adjustRightInd/>
        <w:snapToGrid/>
        <w:spacing w:before="214" w:after="0" w:line="240" w:lineRule="auto"/>
        <w:ind w:left="1282" w:right="0" w:hanging="323"/>
        <w:jc w:val="both"/>
        <w:textAlignment w:val="auto"/>
        <w:rPr>
          <w:color w:val="auto"/>
          <w:sz w:val="32"/>
        </w:rPr>
      </w:pPr>
      <w:r>
        <w:rPr>
          <w:color w:val="auto"/>
          <w:spacing w:val="-1"/>
          <w:sz w:val="32"/>
        </w:rPr>
        <w:t>为客户参加在境外举办的会议、展览而提供的组织安</w:t>
      </w:r>
    </w:p>
    <w:p>
      <w:pPr>
        <w:pStyle w:val="4"/>
        <w:keepNext w:val="0"/>
        <w:keepLines w:val="0"/>
        <w:pageBreakBefore w:val="0"/>
        <w:widowControl w:val="0"/>
        <w:kinsoku/>
        <w:wordWrap/>
        <w:overflowPunct/>
        <w:topLinePunct w:val="0"/>
        <w:autoSpaceDE w:val="0"/>
        <w:autoSpaceDN w:val="0"/>
        <w:bidi w:val="0"/>
        <w:adjustRightInd/>
        <w:snapToGrid/>
        <w:spacing w:before="6"/>
        <w:ind w:left="0" w:firstLine="0"/>
        <w:jc w:val="both"/>
        <w:textAlignment w:val="auto"/>
        <w:rPr>
          <w:color w:val="auto"/>
          <w:sz w:val="12"/>
        </w:rPr>
      </w:pPr>
    </w:p>
    <w:p>
      <w:pPr>
        <w:pStyle w:val="4"/>
        <w:keepNext w:val="0"/>
        <w:keepLines w:val="0"/>
        <w:pageBreakBefore w:val="0"/>
        <w:widowControl w:val="0"/>
        <w:kinsoku/>
        <w:wordWrap/>
        <w:overflowPunct/>
        <w:topLinePunct w:val="0"/>
        <w:autoSpaceDE w:val="0"/>
        <w:autoSpaceDN w:val="0"/>
        <w:bidi w:val="0"/>
        <w:adjustRightInd/>
        <w:snapToGrid/>
        <w:spacing w:before="54"/>
        <w:ind w:firstLine="0"/>
        <w:jc w:val="both"/>
        <w:textAlignment w:val="auto"/>
        <w:rPr>
          <w:color w:val="auto"/>
        </w:rPr>
      </w:pPr>
      <w:r>
        <w:rPr>
          <w:color w:val="auto"/>
        </w:rPr>
        <w:t>排服务，属于会议展览地点在境外的会议展览服务。</w:t>
      </w:r>
    </w:p>
    <w:p>
      <w:pPr>
        <w:pStyle w:val="12"/>
        <w:keepNext w:val="0"/>
        <w:keepLines w:val="0"/>
        <w:pageBreakBefore w:val="0"/>
        <w:widowControl w:val="0"/>
        <w:numPr>
          <w:ilvl w:val="0"/>
          <w:numId w:val="29"/>
        </w:numPr>
        <w:tabs>
          <w:tab w:val="left" w:pos="1283"/>
        </w:tabs>
        <w:kinsoku/>
        <w:wordWrap/>
        <w:overflowPunct/>
        <w:topLinePunct w:val="0"/>
        <w:autoSpaceDE w:val="0"/>
        <w:autoSpaceDN w:val="0"/>
        <w:bidi w:val="0"/>
        <w:adjustRightInd/>
        <w:snapToGrid/>
        <w:spacing w:before="214" w:after="0" w:line="364" w:lineRule="auto"/>
        <w:ind w:left="320" w:right="540" w:firstLine="640"/>
        <w:jc w:val="both"/>
        <w:textAlignment w:val="auto"/>
        <w:rPr>
          <w:color w:val="auto"/>
          <w:sz w:val="32"/>
        </w:rPr>
      </w:pPr>
      <w:r>
        <w:rPr>
          <w:color w:val="auto"/>
          <w:spacing w:val="-1"/>
          <w:w w:val="95"/>
          <w:sz w:val="32"/>
        </w:rPr>
        <w:t>在境外提供的广播影视节目</w:t>
      </w:r>
      <w:r>
        <w:rPr>
          <w:color w:val="auto"/>
          <w:w w:val="95"/>
          <w:sz w:val="32"/>
        </w:rPr>
        <w:t>（作品</w:t>
      </w:r>
      <w:r>
        <w:rPr>
          <w:color w:val="auto"/>
          <w:spacing w:val="-3"/>
          <w:w w:val="95"/>
          <w:sz w:val="32"/>
        </w:rPr>
        <w:t>）</w:t>
      </w:r>
      <w:r>
        <w:rPr>
          <w:color w:val="auto"/>
          <w:spacing w:val="-1"/>
          <w:w w:val="95"/>
          <w:sz w:val="32"/>
        </w:rPr>
        <w:t xml:space="preserve">播映服务，是指 </w:t>
      </w:r>
      <w:r>
        <w:rPr>
          <w:color w:val="auto"/>
          <w:spacing w:val="-4"/>
          <w:sz w:val="32"/>
        </w:rPr>
        <w:t>在境外的影院、剧院、录像厅及其他场所播映广播影视节目</w:t>
      </w:r>
    </w:p>
    <w:p>
      <w:pPr>
        <w:pStyle w:val="4"/>
        <w:keepNext w:val="0"/>
        <w:keepLines w:val="0"/>
        <w:pageBreakBefore w:val="0"/>
        <w:widowControl w:val="0"/>
        <w:kinsoku/>
        <w:wordWrap/>
        <w:overflowPunct/>
        <w:topLinePunct w:val="0"/>
        <w:autoSpaceDE w:val="0"/>
        <w:autoSpaceDN w:val="0"/>
        <w:bidi w:val="0"/>
        <w:adjustRightInd/>
        <w:snapToGrid/>
        <w:spacing w:before="2"/>
        <w:ind w:firstLine="0"/>
        <w:jc w:val="both"/>
        <w:textAlignment w:val="auto"/>
        <w:rPr>
          <w:color w:val="auto"/>
        </w:rPr>
      </w:pPr>
      <w:r>
        <w:rPr>
          <w:color w:val="auto"/>
        </w:rPr>
        <w:t>（作品）。</w:t>
      </w:r>
    </w:p>
    <w:p>
      <w:pPr>
        <w:pStyle w:val="4"/>
        <w:keepNext w:val="0"/>
        <w:keepLines w:val="0"/>
        <w:pageBreakBefore w:val="0"/>
        <w:widowControl w:val="0"/>
        <w:kinsoku/>
        <w:wordWrap/>
        <w:overflowPunct/>
        <w:topLinePunct w:val="0"/>
        <w:autoSpaceDE w:val="0"/>
        <w:autoSpaceDN w:val="0"/>
        <w:bidi w:val="0"/>
        <w:adjustRightInd/>
        <w:snapToGrid/>
        <w:spacing w:line="364" w:lineRule="auto"/>
        <w:ind w:right="525"/>
        <w:jc w:val="both"/>
        <w:textAlignment w:val="auto"/>
        <w:rPr>
          <w:color w:val="auto"/>
        </w:rPr>
      </w:pPr>
      <w:r>
        <w:rPr>
          <w:color w:val="auto"/>
        </w:rPr>
        <w:t>通过境内的电台、电视台、卫星通信、互联网、有线电视等无线或者有线装置向境外播映广播影视节目（作品）， 不属于在境外提供的广播影视节目（作品）播映服务。</w:t>
      </w:r>
    </w:p>
    <w:p>
      <w:pPr>
        <w:pStyle w:val="12"/>
        <w:keepNext w:val="0"/>
        <w:keepLines w:val="0"/>
        <w:pageBreakBefore w:val="0"/>
        <w:widowControl w:val="0"/>
        <w:numPr>
          <w:ilvl w:val="0"/>
          <w:numId w:val="29"/>
        </w:numPr>
        <w:tabs>
          <w:tab w:val="left" w:pos="1283"/>
        </w:tabs>
        <w:kinsoku/>
        <w:wordWrap/>
        <w:overflowPunct/>
        <w:topLinePunct w:val="0"/>
        <w:autoSpaceDE w:val="0"/>
        <w:autoSpaceDN w:val="0"/>
        <w:bidi w:val="0"/>
        <w:adjustRightInd/>
        <w:snapToGrid/>
        <w:spacing w:before="2" w:after="0" w:line="364" w:lineRule="auto"/>
        <w:ind w:left="320" w:right="537" w:firstLine="640"/>
        <w:jc w:val="both"/>
        <w:textAlignment w:val="auto"/>
        <w:rPr>
          <w:color w:val="auto"/>
          <w:sz w:val="32"/>
        </w:rPr>
      </w:pPr>
      <w:r>
        <w:rPr>
          <w:color w:val="auto"/>
          <w:spacing w:val="-1"/>
          <w:w w:val="95"/>
          <w:sz w:val="32"/>
        </w:rPr>
        <w:t xml:space="preserve">在境外提供的文化体育服务和教育医疗服务，是指纳 </w:t>
      </w:r>
      <w:r>
        <w:rPr>
          <w:color w:val="auto"/>
          <w:spacing w:val="-1"/>
          <w:sz w:val="32"/>
        </w:rPr>
        <w:t>税人在境外现场提供的文化体育服务和教育医疗服务。</w:t>
      </w:r>
    </w:p>
    <w:p>
      <w:pPr>
        <w:pStyle w:val="4"/>
        <w:keepNext w:val="0"/>
        <w:keepLines w:val="0"/>
        <w:pageBreakBefore w:val="0"/>
        <w:widowControl w:val="0"/>
        <w:kinsoku/>
        <w:wordWrap/>
        <w:overflowPunct/>
        <w:topLinePunct w:val="0"/>
        <w:autoSpaceDE w:val="0"/>
        <w:autoSpaceDN w:val="0"/>
        <w:bidi w:val="0"/>
        <w:adjustRightInd/>
        <w:snapToGrid/>
        <w:spacing w:before="2" w:line="364" w:lineRule="auto"/>
        <w:ind w:right="525"/>
        <w:jc w:val="both"/>
        <w:textAlignment w:val="auto"/>
        <w:rPr>
          <w:color w:val="auto"/>
        </w:rPr>
      </w:pPr>
      <w:r>
        <w:rPr>
          <w:color w:val="auto"/>
        </w:rPr>
        <w:t>为参加在境外举办的科技活动、文化活动、文化演出、</w:t>
      </w:r>
      <w:r>
        <w:rPr>
          <w:color w:val="auto"/>
          <w:spacing w:val="-3"/>
        </w:rPr>
        <w:t>文化比赛、体育比赛、体育表演、体育活动而提供的组织安排服务，属于在境外提供的文化体育服务。</w:t>
      </w:r>
    </w:p>
    <w:p>
      <w:pPr>
        <w:pStyle w:val="4"/>
        <w:keepNext w:val="0"/>
        <w:keepLines w:val="0"/>
        <w:pageBreakBefore w:val="0"/>
        <w:widowControl w:val="0"/>
        <w:kinsoku/>
        <w:wordWrap/>
        <w:overflowPunct/>
        <w:topLinePunct w:val="0"/>
        <w:autoSpaceDE w:val="0"/>
        <w:autoSpaceDN w:val="0"/>
        <w:bidi w:val="0"/>
        <w:adjustRightInd/>
        <w:snapToGrid/>
        <w:spacing w:before="2" w:line="364" w:lineRule="auto"/>
        <w:ind w:right="379"/>
        <w:jc w:val="both"/>
        <w:textAlignment w:val="auto"/>
        <w:rPr>
          <w:color w:val="auto"/>
        </w:rPr>
      </w:pPr>
      <w:r>
        <w:rPr>
          <w:color w:val="auto"/>
        </w:rPr>
        <w:t>通过境内的电台、电视台、卫星通信、互联网、有线电视等媒体向境外单位或个人提供的文化体育服务或教育医</w:t>
      </w:r>
      <w:r>
        <w:rPr>
          <w:color w:val="auto"/>
          <w:w w:val="95"/>
        </w:rPr>
        <w:t>疗服务，不属于在境外提供的文化体育服务、教育医疗服务。</w:t>
      </w:r>
    </w:p>
    <w:p>
      <w:pPr>
        <w:pStyle w:val="12"/>
        <w:keepNext w:val="0"/>
        <w:keepLines w:val="0"/>
        <w:pageBreakBefore w:val="0"/>
        <w:widowControl w:val="0"/>
        <w:numPr>
          <w:ilvl w:val="0"/>
          <w:numId w:val="29"/>
        </w:numPr>
        <w:tabs>
          <w:tab w:val="left" w:pos="1283"/>
        </w:tabs>
        <w:kinsoku/>
        <w:wordWrap/>
        <w:overflowPunct/>
        <w:topLinePunct w:val="0"/>
        <w:autoSpaceDE w:val="0"/>
        <w:autoSpaceDN w:val="0"/>
        <w:bidi w:val="0"/>
        <w:adjustRightInd/>
        <w:snapToGrid/>
        <w:spacing w:before="3" w:after="0" w:line="240" w:lineRule="auto"/>
        <w:ind w:left="1282" w:right="0" w:hanging="323"/>
        <w:jc w:val="both"/>
        <w:textAlignment w:val="auto"/>
        <w:rPr>
          <w:color w:val="auto"/>
          <w:sz w:val="32"/>
        </w:rPr>
      </w:pPr>
      <w:r>
        <w:rPr>
          <w:color w:val="auto"/>
          <w:sz w:val="32"/>
        </w:rPr>
        <w:t>为出口货物提供的邮政服务，是指：</w:t>
      </w:r>
    </w:p>
    <w:p>
      <w:pPr>
        <w:pStyle w:val="12"/>
        <w:keepNext w:val="0"/>
        <w:keepLines w:val="0"/>
        <w:pageBreakBefore w:val="0"/>
        <w:widowControl w:val="0"/>
        <w:numPr>
          <w:ilvl w:val="0"/>
          <w:numId w:val="30"/>
        </w:numPr>
        <w:tabs>
          <w:tab w:val="left" w:pos="1761"/>
        </w:tabs>
        <w:kinsoku/>
        <w:wordWrap/>
        <w:overflowPunct/>
        <w:topLinePunct w:val="0"/>
        <w:autoSpaceDE w:val="0"/>
        <w:autoSpaceDN w:val="0"/>
        <w:bidi w:val="0"/>
        <w:adjustRightInd/>
        <w:snapToGrid/>
        <w:spacing w:before="214" w:after="0" w:line="240" w:lineRule="auto"/>
        <w:ind w:left="1760" w:right="0" w:hanging="801"/>
        <w:jc w:val="both"/>
        <w:textAlignment w:val="auto"/>
        <w:rPr>
          <w:color w:val="auto"/>
          <w:sz w:val="32"/>
        </w:rPr>
      </w:pPr>
      <w:r>
        <w:rPr>
          <w:color w:val="auto"/>
          <w:sz w:val="32"/>
        </w:rPr>
        <w:t>寄递函件、包裹等邮件出境。</w:t>
      </w:r>
    </w:p>
    <w:p>
      <w:pPr>
        <w:pStyle w:val="12"/>
        <w:keepNext w:val="0"/>
        <w:keepLines w:val="0"/>
        <w:pageBreakBefore w:val="0"/>
        <w:widowControl w:val="0"/>
        <w:numPr>
          <w:ilvl w:val="0"/>
          <w:numId w:val="30"/>
        </w:numPr>
        <w:tabs>
          <w:tab w:val="left" w:pos="1761"/>
        </w:tabs>
        <w:kinsoku/>
        <w:wordWrap/>
        <w:overflowPunct/>
        <w:topLinePunct w:val="0"/>
        <w:autoSpaceDE w:val="0"/>
        <w:autoSpaceDN w:val="0"/>
        <w:bidi w:val="0"/>
        <w:adjustRightInd/>
        <w:snapToGrid/>
        <w:spacing w:before="214" w:after="0" w:line="240" w:lineRule="auto"/>
        <w:ind w:left="1760" w:right="0" w:hanging="801"/>
        <w:jc w:val="both"/>
        <w:textAlignment w:val="auto"/>
        <w:rPr>
          <w:color w:val="auto"/>
          <w:sz w:val="32"/>
        </w:rPr>
      </w:pPr>
      <w:r>
        <w:rPr>
          <w:color w:val="auto"/>
          <w:w w:val="95"/>
          <w:sz w:val="32"/>
        </w:rPr>
        <w:t>向境外发行邮票。</w:t>
      </w:r>
    </w:p>
    <w:p>
      <w:pPr>
        <w:pStyle w:val="12"/>
        <w:keepNext w:val="0"/>
        <w:keepLines w:val="0"/>
        <w:pageBreakBefore w:val="0"/>
        <w:widowControl w:val="0"/>
        <w:numPr>
          <w:ilvl w:val="0"/>
          <w:numId w:val="30"/>
        </w:numPr>
        <w:tabs>
          <w:tab w:val="left" w:pos="1761"/>
        </w:tabs>
        <w:kinsoku/>
        <w:wordWrap/>
        <w:overflowPunct/>
        <w:topLinePunct w:val="0"/>
        <w:autoSpaceDE w:val="0"/>
        <w:autoSpaceDN w:val="0"/>
        <w:bidi w:val="0"/>
        <w:adjustRightInd/>
        <w:snapToGrid/>
        <w:spacing w:before="214" w:after="0" w:line="240" w:lineRule="auto"/>
        <w:ind w:left="1760" w:right="0" w:hanging="801"/>
        <w:jc w:val="both"/>
        <w:textAlignment w:val="auto"/>
        <w:rPr>
          <w:color w:val="auto"/>
          <w:sz w:val="32"/>
        </w:rPr>
      </w:pPr>
      <w:r>
        <w:rPr>
          <w:color w:val="auto"/>
          <w:w w:val="95"/>
          <w:sz w:val="32"/>
        </w:rPr>
        <w:t>出口邮册等邮品。</w:t>
      </w:r>
    </w:p>
    <w:p>
      <w:pPr>
        <w:pStyle w:val="12"/>
        <w:keepNext w:val="0"/>
        <w:keepLines w:val="0"/>
        <w:pageBreakBefore w:val="0"/>
        <w:widowControl w:val="0"/>
        <w:numPr>
          <w:ilvl w:val="0"/>
          <w:numId w:val="29"/>
        </w:numPr>
        <w:tabs>
          <w:tab w:val="left" w:pos="1283"/>
        </w:tabs>
        <w:kinsoku/>
        <w:wordWrap/>
        <w:overflowPunct/>
        <w:topLinePunct w:val="0"/>
        <w:autoSpaceDE w:val="0"/>
        <w:autoSpaceDN w:val="0"/>
        <w:bidi w:val="0"/>
        <w:adjustRightInd/>
        <w:snapToGrid/>
        <w:spacing w:before="214" w:after="0" w:line="240" w:lineRule="auto"/>
        <w:ind w:left="1282" w:right="0" w:hanging="323"/>
        <w:jc w:val="both"/>
        <w:textAlignment w:val="auto"/>
        <w:rPr>
          <w:color w:val="auto"/>
          <w:sz w:val="32"/>
        </w:rPr>
      </w:pPr>
      <w:r>
        <w:rPr>
          <w:color w:val="auto"/>
          <w:spacing w:val="-2"/>
          <w:sz w:val="32"/>
        </w:rPr>
        <w:t>为出口货物提供的收派服务，是指为出境的函件、包</w:t>
      </w:r>
    </w:p>
    <w:p>
      <w:pPr>
        <w:pStyle w:val="4"/>
        <w:keepNext w:val="0"/>
        <w:keepLines w:val="0"/>
        <w:pageBreakBefore w:val="0"/>
        <w:widowControl w:val="0"/>
        <w:kinsoku/>
        <w:wordWrap/>
        <w:overflowPunct/>
        <w:topLinePunct w:val="0"/>
        <w:autoSpaceDE w:val="0"/>
        <w:autoSpaceDN w:val="0"/>
        <w:bidi w:val="0"/>
        <w:adjustRightInd/>
        <w:snapToGrid/>
        <w:spacing w:before="30"/>
        <w:ind w:firstLine="0"/>
        <w:jc w:val="both"/>
        <w:textAlignment w:val="auto"/>
        <w:rPr>
          <w:color w:val="auto"/>
        </w:rPr>
      </w:pPr>
      <w:r>
        <w:rPr>
          <w:color w:val="auto"/>
          <w:w w:val="95"/>
        </w:rPr>
        <w:t>裹提供的收件、分拣、派送服务。</w:t>
      </w:r>
    </w:p>
    <w:p>
      <w:pPr>
        <w:pStyle w:val="4"/>
        <w:keepNext w:val="0"/>
        <w:keepLines w:val="0"/>
        <w:pageBreakBefore w:val="0"/>
        <w:widowControl w:val="0"/>
        <w:kinsoku/>
        <w:wordWrap/>
        <w:overflowPunct/>
        <w:topLinePunct w:val="0"/>
        <w:autoSpaceDE w:val="0"/>
        <w:autoSpaceDN w:val="0"/>
        <w:bidi w:val="0"/>
        <w:adjustRightInd/>
        <w:snapToGrid/>
        <w:spacing w:line="364" w:lineRule="auto"/>
        <w:ind w:right="537"/>
        <w:jc w:val="both"/>
        <w:textAlignment w:val="auto"/>
        <w:rPr>
          <w:color w:val="auto"/>
        </w:rPr>
      </w:pPr>
      <w:r>
        <w:rPr>
          <w:color w:val="auto"/>
          <w:spacing w:val="-1"/>
        </w:rPr>
        <w:t>纳税人为出口货物提供收派服务，免税销售额为其向寄件人收取的全部价款和价外费用。</w:t>
      </w:r>
    </w:p>
    <w:p>
      <w:pPr>
        <w:pStyle w:val="12"/>
        <w:keepNext w:val="0"/>
        <w:keepLines w:val="0"/>
        <w:pageBreakBefore w:val="0"/>
        <w:widowControl w:val="0"/>
        <w:numPr>
          <w:ilvl w:val="0"/>
          <w:numId w:val="29"/>
        </w:numPr>
        <w:tabs>
          <w:tab w:val="left" w:pos="1283"/>
        </w:tabs>
        <w:kinsoku/>
        <w:wordWrap/>
        <w:overflowPunct/>
        <w:topLinePunct w:val="0"/>
        <w:autoSpaceDE w:val="0"/>
        <w:autoSpaceDN w:val="0"/>
        <w:bidi w:val="0"/>
        <w:adjustRightInd/>
        <w:snapToGrid/>
        <w:spacing w:before="1" w:after="0" w:line="364" w:lineRule="auto"/>
        <w:ind w:left="320" w:right="537" w:firstLine="640"/>
        <w:jc w:val="both"/>
        <w:textAlignment w:val="auto"/>
        <w:rPr>
          <w:color w:val="auto"/>
          <w:sz w:val="32"/>
        </w:rPr>
      </w:pPr>
      <w:r>
        <w:rPr>
          <w:color w:val="auto"/>
          <w:spacing w:val="-1"/>
          <w:w w:val="95"/>
          <w:sz w:val="32"/>
        </w:rPr>
        <w:t xml:space="preserve">纳税人向境外单位或者个人提供的电信服务，通过境 </w:t>
      </w:r>
      <w:r>
        <w:rPr>
          <w:color w:val="auto"/>
          <w:spacing w:val="-3"/>
          <w:w w:val="95"/>
          <w:sz w:val="32"/>
        </w:rPr>
        <w:t xml:space="preserve">外电信单位结算费用的，服务接受方为境外电信单位，属于 </w:t>
      </w:r>
      <w:r>
        <w:rPr>
          <w:color w:val="auto"/>
          <w:spacing w:val="-3"/>
          <w:sz w:val="32"/>
        </w:rPr>
        <w:t>完全在境外消费的电信服务。</w:t>
      </w:r>
    </w:p>
    <w:p>
      <w:pPr>
        <w:pStyle w:val="12"/>
        <w:keepNext w:val="0"/>
        <w:keepLines w:val="0"/>
        <w:pageBreakBefore w:val="0"/>
        <w:widowControl w:val="0"/>
        <w:numPr>
          <w:ilvl w:val="0"/>
          <w:numId w:val="29"/>
        </w:numPr>
        <w:tabs>
          <w:tab w:val="left" w:pos="1292"/>
        </w:tabs>
        <w:kinsoku/>
        <w:wordWrap/>
        <w:overflowPunct/>
        <w:topLinePunct w:val="0"/>
        <w:autoSpaceDE w:val="0"/>
        <w:autoSpaceDN w:val="0"/>
        <w:bidi w:val="0"/>
        <w:adjustRightInd/>
        <w:snapToGrid/>
        <w:spacing w:before="3" w:after="0" w:line="364" w:lineRule="auto"/>
        <w:ind w:left="320" w:right="540" w:firstLine="640"/>
        <w:jc w:val="both"/>
        <w:textAlignment w:val="auto"/>
        <w:rPr>
          <w:color w:val="auto"/>
          <w:sz w:val="32"/>
        </w:rPr>
      </w:pPr>
      <w:r>
        <w:rPr>
          <w:color w:val="auto"/>
          <w:spacing w:val="13"/>
          <w:w w:val="95"/>
          <w:sz w:val="32"/>
        </w:rPr>
        <w:t xml:space="preserve">服务实际接受方为境内单位或者个人的知识产权服 </w:t>
      </w:r>
      <w:r>
        <w:rPr>
          <w:color w:val="auto"/>
          <w:spacing w:val="13"/>
          <w:sz w:val="32"/>
        </w:rPr>
        <w:t>务，不属于完全在境外消费的知识产权服务。</w:t>
      </w:r>
    </w:p>
    <w:p>
      <w:pPr>
        <w:pStyle w:val="12"/>
        <w:keepNext w:val="0"/>
        <w:keepLines w:val="0"/>
        <w:pageBreakBefore w:val="0"/>
        <w:widowControl w:val="0"/>
        <w:numPr>
          <w:ilvl w:val="0"/>
          <w:numId w:val="29"/>
        </w:numPr>
        <w:tabs>
          <w:tab w:val="left" w:pos="1446"/>
        </w:tabs>
        <w:kinsoku/>
        <w:wordWrap/>
        <w:overflowPunct/>
        <w:topLinePunct w:val="0"/>
        <w:autoSpaceDE w:val="0"/>
        <w:autoSpaceDN w:val="0"/>
        <w:bidi w:val="0"/>
        <w:adjustRightInd/>
        <w:snapToGrid/>
        <w:spacing w:before="1" w:after="0" w:line="364" w:lineRule="auto"/>
        <w:ind w:left="320" w:right="535" w:firstLine="640"/>
        <w:jc w:val="both"/>
        <w:textAlignment w:val="auto"/>
        <w:rPr>
          <w:color w:val="auto"/>
          <w:sz w:val="32"/>
        </w:rPr>
      </w:pPr>
      <w:r>
        <w:rPr>
          <w:color w:val="auto"/>
          <w:spacing w:val="6"/>
          <w:w w:val="95"/>
          <w:sz w:val="32"/>
        </w:rPr>
        <w:t xml:space="preserve">境外单位从事国际运输和港澳台运输业务经停我国 </w:t>
      </w:r>
      <w:r>
        <w:rPr>
          <w:color w:val="auto"/>
          <w:spacing w:val="-1"/>
          <w:w w:val="95"/>
          <w:sz w:val="32"/>
        </w:rPr>
        <w:t xml:space="preserve">机场、码头、车站、领空、内河、海域时，纳税人向其提供 </w:t>
      </w:r>
      <w:r>
        <w:rPr>
          <w:color w:val="auto"/>
          <w:spacing w:val="-4"/>
          <w:sz w:val="32"/>
        </w:rPr>
        <w:t>的航空地面服务、港口码头服务、货运客运站场服务、打捞</w:t>
      </w:r>
      <w:r>
        <w:rPr>
          <w:color w:val="auto"/>
          <w:spacing w:val="-6"/>
          <w:sz w:val="32"/>
        </w:rPr>
        <w:t>救助服务、装卸搬运服务，属于完全在境外消费的物流辅助服务。</w:t>
      </w:r>
    </w:p>
    <w:p>
      <w:pPr>
        <w:pStyle w:val="12"/>
        <w:keepNext w:val="0"/>
        <w:keepLines w:val="0"/>
        <w:pageBreakBefore w:val="0"/>
        <w:widowControl w:val="0"/>
        <w:numPr>
          <w:ilvl w:val="0"/>
          <w:numId w:val="29"/>
        </w:numPr>
        <w:tabs>
          <w:tab w:val="left" w:pos="1441"/>
        </w:tabs>
        <w:kinsoku/>
        <w:wordWrap/>
        <w:overflowPunct/>
        <w:topLinePunct w:val="0"/>
        <w:autoSpaceDE w:val="0"/>
        <w:autoSpaceDN w:val="0"/>
        <w:bidi w:val="0"/>
        <w:adjustRightInd/>
        <w:snapToGrid/>
        <w:spacing w:before="4" w:after="0" w:line="240" w:lineRule="auto"/>
        <w:ind w:left="1440" w:right="0" w:hanging="481"/>
        <w:jc w:val="both"/>
        <w:textAlignment w:val="auto"/>
        <w:rPr>
          <w:color w:val="auto"/>
          <w:sz w:val="32"/>
        </w:rPr>
      </w:pPr>
      <w:r>
        <w:rPr>
          <w:color w:val="auto"/>
          <w:sz w:val="32"/>
        </w:rPr>
        <w:t>下列情形不属于完全在境外消费的鉴证咨询服务：</w:t>
      </w:r>
    </w:p>
    <w:p>
      <w:pPr>
        <w:pStyle w:val="12"/>
        <w:keepNext w:val="0"/>
        <w:keepLines w:val="0"/>
        <w:pageBreakBefore w:val="0"/>
        <w:widowControl w:val="0"/>
        <w:numPr>
          <w:ilvl w:val="0"/>
          <w:numId w:val="31"/>
        </w:numPr>
        <w:tabs>
          <w:tab w:val="left" w:pos="1761"/>
        </w:tabs>
        <w:kinsoku/>
        <w:wordWrap/>
        <w:overflowPunct/>
        <w:topLinePunct w:val="0"/>
        <w:autoSpaceDE w:val="0"/>
        <w:autoSpaceDN w:val="0"/>
        <w:bidi w:val="0"/>
        <w:adjustRightInd/>
        <w:snapToGrid/>
        <w:spacing w:before="214" w:after="0" w:line="240" w:lineRule="auto"/>
        <w:ind w:left="1760" w:right="0" w:hanging="801"/>
        <w:jc w:val="both"/>
        <w:textAlignment w:val="auto"/>
        <w:rPr>
          <w:color w:val="auto"/>
          <w:sz w:val="32"/>
        </w:rPr>
      </w:pPr>
      <w:r>
        <w:rPr>
          <w:color w:val="auto"/>
          <w:sz w:val="32"/>
        </w:rPr>
        <w:t>服务的实际接受方为境内单位或者个人。</w:t>
      </w:r>
    </w:p>
    <w:p>
      <w:pPr>
        <w:pStyle w:val="12"/>
        <w:keepNext w:val="0"/>
        <w:keepLines w:val="0"/>
        <w:pageBreakBefore w:val="0"/>
        <w:widowControl w:val="0"/>
        <w:numPr>
          <w:ilvl w:val="0"/>
          <w:numId w:val="31"/>
        </w:numPr>
        <w:tabs>
          <w:tab w:val="left" w:pos="1780"/>
        </w:tabs>
        <w:kinsoku/>
        <w:wordWrap/>
        <w:overflowPunct/>
        <w:topLinePunct w:val="0"/>
        <w:autoSpaceDE w:val="0"/>
        <w:autoSpaceDN w:val="0"/>
        <w:bidi w:val="0"/>
        <w:adjustRightInd/>
        <w:snapToGrid/>
        <w:spacing w:before="214" w:after="0" w:line="364" w:lineRule="auto"/>
        <w:ind w:left="320" w:right="537" w:firstLine="640"/>
        <w:jc w:val="both"/>
        <w:textAlignment w:val="auto"/>
        <w:rPr>
          <w:color w:val="auto"/>
          <w:sz w:val="32"/>
        </w:rPr>
      </w:pPr>
      <w:r>
        <w:rPr>
          <w:color w:val="auto"/>
          <w:spacing w:val="6"/>
          <w:w w:val="95"/>
          <w:sz w:val="32"/>
        </w:rPr>
        <w:t xml:space="preserve">对境内的货物或不动产进行的认证服务、鉴证服 </w:t>
      </w:r>
      <w:r>
        <w:rPr>
          <w:color w:val="auto"/>
          <w:spacing w:val="6"/>
          <w:sz w:val="32"/>
        </w:rPr>
        <w:t>务和咨询服务。</w:t>
      </w:r>
    </w:p>
    <w:p>
      <w:pPr>
        <w:pStyle w:val="12"/>
        <w:keepNext w:val="0"/>
        <w:keepLines w:val="0"/>
        <w:pageBreakBefore w:val="0"/>
        <w:widowControl w:val="0"/>
        <w:numPr>
          <w:ilvl w:val="0"/>
          <w:numId w:val="29"/>
        </w:numPr>
        <w:tabs>
          <w:tab w:val="left" w:pos="1441"/>
        </w:tabs>
        <w:kinsoku/>
        <w:wordWrap/>
        <w:overflowPunct/>
        <w:topLinePunct w:val="0"/>
        <w:autoSpaceDE w:val="0"/>
        <w:autoSpaceDN w:val="0"/>
        <w:bidi w:val="0"/>
        <w:adjustRightInd/>
        <w:snapToGrid/>
        <w:spacing w:before="2" w:after="0" w:line="240" w:lineRule="auto"/>
        <w:ind w:left="1440" w:right="0" w:hanging="481"/>
        <w:jc w:val="both"/>
        <w:textAlignment w:val="auto"/>
        <w:rPr>
          <w:color w:val="auto"/>
          <w:sz w:val="32"/>
        </w:rPr>
      </w:pPr>
      <w:r>
        <w:rPr>
          <w:color w:val="auto"/>
          <w:sz w:val="32"/>
        </w:rPr>
        <w:t>下列情形不属于完全在境外消费的专业技术服务：</w:t>
      </w:r>
    </w:p>
    <w:p>
      <w:pPr>
        <w:pStyle w:val="12"/>
        <w:keepNext w:val="0"/>
        <w:keepLines w:val="0"/>
        <w:pageBreakBefore w:val="0"/>
        <w:widowControl w:val="0"/>
        <w:numPr>
          <w:ilvl w:val="0"/>
          <w:numId w:val="32"/>
        </w:numPr>
        <w:tabs>
          <w:tab w:val="left" w:pos="1761"/>
        </w:tabs>
        <w:kinsoku/>
        <w:wordWrap/>
        <w:overflowPunct/>
        <w:topLinePunct w:val="0"/>
        <w:autoSpaceDE w:val="0"/>
        <w:autoSpaceDN w:val="0"/>
        <w:bidi w:val="0"/>
        <w:adjustRightInd/>
        <w:snapToGrid/>
        <w:spacing w:before="214" w:after="0" w:line="240" w:lineRule="auto"/>
        <w:ind w:left="1760" w:right="0" w:hanging="801"/>
        <w:jc w:val="both"/>
        <w:textAlignment w:val="auto"/>
        <w:rPr>
          <w:color w:val="auto"/>
          <w:sz w:val="32"/>
        </w:rPr>
      </w:pPr>
      <w:r>
        <w:rPr>
          <w:color w:val="auto"/>
          <w:sz w:val="32"/>
        </w:rPr>
        <w:t>服务的实际接受方为境内单位或者个人。</w:t>
      </w:r>
    </w:p>
    <w:p>
      <w:pPr>
        <w:pStyle w:val="12"/>
        <w:keepNext w:val="0"/>
        <w:keepLines w:val="0"/>
        <w:pageBreakBefore w:val="0"/>
        <w:widowControl w:val="0"/>
        <w:numPr>
          <w:ilvl w:val="0"/>
          <w:numId w:val="32"/>
        </w:numPr>
        <w:tabs>
          <w:tab w:val="left" w:pos="1780"/>
        </w:tabs>
        <w:kinsoku/>
        <w:wordWrap/>
        <w:overflowPunct/>
        <w:topLinePunct w:val="0"/>
        <w:autoSpaceDE w:val="0"/>
        <w:autoSpaceDN w:val="0"/>
        <w:bidi w:val="0"/>
        <w:adjustRightInd/>
        <w:snapToGrid/>
        <w:spacing w:before="214" w:after="0" w:line="364" w:lineRule="auto"/>
        <w:ind w:left="320" w:right="537" w:firstLine="640"/>
        <w:jc w:val="both"/>
        <w:textAlignment w:val="auto"/>
        <w:rPr>
          <w:color w:val="auto"/>
          <w:sz w:val="32"/>
        </w:rPr>
      </w:pPr>
      <w:r>
        <w:rPr>
          <w:color w:val="auto"/>
          <w:spacing w:val="6"/>
          <w:w w:val="95"/>
          <w:sz w:val="32"/>
        </w:rPr>
        <w:t xml:space="preserve">对境内的天气情况、地震情况、海洋情况、环境 </w:t>
      </w:r>
      <w:r>
        <w:rPr>
          <w:color w:val="auto"/>
          <w:spacing w:val="-1"/>
          <w:sz w:val="32"/>
        </w:rPr>
        <w:t>和生态情况进行的气象服务、地震服务、海洋服务、环境和生态监测服务。</w:t>
      </w:r>
    </w:p>
    <w:p>
      <w:pPr>
        <w:pStyle w:val="12"/>
        <w:keepNext w:val="0"/>
        <w:keepLines w:val="0"/>
        <w:pageBreakBefore w:val="0"/>
        <w:widowControl w:val="0"/>
        <w:numPr>
          <w:ilvl w:val="0"/>
          <w:numId w:val="32"/>
        </w:numPr>
        <w:tabs>
          <w:tab w:val="left" w:pos="1780"/>
        </w:tabs>
        <w:kinsoku/>
        <w:wordWrap/>
        <w:overflowPunct/>
        <w:topLinePunct w:val="0"/>
        <w:autoSpaceDE w:val="0"/>
        <w:autoSpaceDN w:val="0"/>
        <w:bidi w:val="0"/>
        <w:adjustRightInd/>
        <w:snapToGrid/>
        <w:spacing w:before="30" w:after="0" w:line="364" w:lineRule="auto"/>
        <w:ind w:left="320" w:right="537" w:firstLine="640"/>
        <w:jc w:val="both"/>
        <w:textAlignment w:val="auto"/>
        <w:rPr>
          <w:color w:val="auto"/>
          <w:sz w:val="32"/>
        </w:rPr>
      </w:pPr>
      <w:r>
        <w:rPr>
          <w:color w:val="auto"/>
          <w:spacing w:val="6"/>
          <w:w w:val="95"/>
          <w:sz w:val="32"/>
        </w:rPr>
        <w:t xml:space="preserve">为境内的地形地貌、地质构造、水文、矿藏等进 </w:t>
      </w:r>
      <w:r>
        <w:rPr>
          <w:color w:val="auto"/>
          <w:spacing w:val="6"/>
          <w:sz w:val="32"/>
        </w:rPr>
        <w:t>行的测绘服务。</w:t>
      </w:r>
    </w:p>
    <w:p>
      <w:pPr>
        <w:pStyle w:val="12"/>
        <w:keepNext w:val="0"/>
        <w:keepLines w:val="0"/>
        <w:pageBreakBefore w:val="0"/>
        <w:widowControl w:val="0"/>
        <w:numPr>
          <w:ilvl w:val="0"/>
          <w:numId w:val="32"/>
        </w:numPr>
        <w:tabs>
          <w:tab w:val="left" w:pos="1761"/>
        </w:tabs>
        <w:kinsoku/>
        <w:wordWrap/>
        <w:overflowPunct/>
        <w:topLinePunct w:val="0"/>
        <w:autoSpaceDE w:val="0"/>
        <w:autoSpaceDN w:val="0"/>
        <w:bidi w:val="0"/>
        <w:adjustRightInd/>
        <w:snapToGrid/>
        <w:spacing w:before="1" w:after="0" w:line="240" w:lineRule="auto"/>
        <w:ind w:left="1760" w:right="0" w:hanging="801"/>
        <w:jc w:val="both"/>
        <w:textAlignment w:val="auto"/>
        <w:rPr>
          <w:color w:val="auto"/>
          <w:sz w:val="32"/>
        </w:rPr>
      </w:pPr>
      <w:r>
        <w:rPr>
          <w:color w:val="auto"/>
          <w:sz w:val="32"/>
        </w:rPr>
        <w:t>为境内的城、乡、镇提供的城市规划服务。</w:t>
      </w:r>
    </w:p>
    <w:p>
      <w:pPr>
        <w:pStyle w:val="12"/>
        <w:keepNext w:val="0"/>
        <w:keepLines w:val="0"/>
        <w:pageBreakBefore w:val="0"/>
        <w:widowControl w:val="0"/>
        <w:numPr>
          <w:ilvl w:val="0"/>
          <w:numId w:val="29"/>
        </w:numPr>
        <w:tabs>
          <w:tab w:val="left" w:pos="1446"/>
        </w:tabs>
        <w:kinsoku/>
        <w:wordWrap/>
        <w:overflowPunct/>
        <w:topLinePunct w:val="0"/>
        <w:autoSpaceDE w:val="0"/>
        <w:autoSpaceDN w:val="0"/>
        <w:bidi w:val="0"/>
        <w:adjustRightInd/>
        <w:snapToGrid/>
        <w:spacing w:before="214" w:after="0" w:line="364" w:lineRule="auto"/>
        <w:ind w:left="320" w:right="539" w:firstLine="640"/>
        <w:jc w:val="both"/>
        <w:textAlignment w:val="auto"/>
        <w:rPr>
          <w:color w:val="auto"/>
          <w:sz w:val="32"/>
        </w:rPr>
      </w:pPr>
      <w:r>
        <w:rPr>
          <w:color w:val="auto"/>
          <w:spacing w:val="6"/>
          <w:w w:val="95"/>
          <w:sz w:val="32"/>
        </w:rPr>
        <w:t xml:space="preserve">纳税人向境外单位提供的代理报关服务和货物运输 </w:t>
      </w:r>
      <w:r>
        <w:rPr>
          <w:color w:val="auto"/>
          <w:spacing w:val="-1"/>
          <w:sz w:val="32"/>
        </w:rPr>
        <w:t>代理服务，属于完全在境外消费的代理报关服务和货物运输</w:t>
      </w:r>
      <w:r>
        <w:rPr>
          <w:color w:val="auto"/>
          <w:sz w:val="32"/>
        </w:rPr>
        <w:t>代理服务。</w:t>
      </w:r>
    </w:p>
    <w:p>
      <w:pPr>
        <w:pStyle w:val="12"/>
        <w:keepNext w:val="0"/>
        <w:keepLines w:val="0"/>
        <w:pageBreakBefore w:val="0"/>
        <w:widowControl w:val="0"/>
        <w:numPr>
          <w:ilvl w:val="0"/>
          <w:numId w:val="29"/>
        </w:numPr>
        <w:tabs>
          <w:tab w:val="left" w:pos="1446"/>
        </w:tabs>
        <w:kinsoku/>
        <w:wordWrap/>
        <w:overflowPunct/>
        <w:topLinePunct w:val="0"/>
        <w:autoSpaceDE w:val="0"/>
        <w:autoSpaceDN w:val="0"/>
        <w:bidi w:val="0"/>
        <w:adjustRightInd/>
        <w:snapToGrid/>
        <w:spacing w:before="3" w:after="0" w:line="364" w:lineRule="auto"/>
        <w:ind w:left="320" w:right="537" w:firstLine="640"/>
        <w:jc w:val="both"/>
        <w:textAlignment w:val="auto"/>
        <w:rPr>
          <w:color w:val="auto"/>
          <w:sz w:val="32"/>
        </w:rPr>
      </w:pPr>
      <w:r>
        <w:rPr>
          <w:color w:val="auto"/>
          <w:spacing w:val="6"/>
          <w:w w:val="95"/>
          <w:sz w:val="32"/>
        </w:rPr>
        <w:t xml:space="preserve">纳税人向境外单位提供的外派海员服务，属于完全 </w:t>
      </w:r>
      <w:r>
        <w:rPr>
          <w:color w:val="auto"/>
          <w:spacing w:val="-1"/>
          <w:sz w:val="32"/>
        </w:rPr>
        <w:t>在境外消费的人力资源服务。外派海员服务，是指境内单位</w:t>
      </w:r>
      <w:r>
        <w:rPr>
          <w:color w:val="auto"/>
          <w:spacing w:val="-3"/>
          <w:sz w:val="32"/>
        </w:rPr>
        <w:t>派出属于本单位员工的海员，为境外单位在境外提供的船舶驾驶和船舶管理等服务。</w:t>
      </w:r>
    </w:p>
    <w:p>
      <w:pPr>
        <w:pStyle w:val="12"/>
        <w:keepNext w:val="0"/>
        <w:keepLines w:val="0"/>
        <w:pageBreakBefore w:val="0"/>
        <w:widowControl w:val="0"/>
        <w:numPr>
          <w:ilvl w:val="0"/>
          <w:numId w:val="29"/>
        </w:numPr>
        <w:tabs>
          <w:tab w:val="left" w:pos="1446"/>
        </w:tabs>
        <w:kinsoku/>
        <w:wordWrap/>
        <w:overflowPunct/>
        <w:topLinePunct w:val="0"/>
        <w:autoSpaceDE w:val="0"/>
        <w:autoSpaceDN w:val="0"/>
        <w:bidi w:val="0"/>
        <w:adjustRightInd/>
        <w:snapToGrid/>
        <w:spacing w:before="3" w:after="0" w:line="364" w:lineRule="auto"/>
        <w:ind w:left="320" w:right="537" w:firstLine="640"/>
        <w:jc w:val="both"/>
        <w:textAlignment w:val="auto"/>
        <w:rPr>
          <w:color w:val="auto"/>
          <w:sz w:val="32"/>
        </w:rPr>
      </w:pPr>
      <w:r>
        <w:rPr>
          <w:color w:val="auto"/>
          <w:spacing w:val="6"/>
          <w:w w:val="95"/>
          <w:sz w:val="32"/>
        </w:rPr>
        <w:t xml:space="preserve">纳税人以对外劳务合作方式，向境外单位提供的完 </w:t>
      </w:r>
      <w:r>
        <w:rPr>
          <w:color w:val="auto"/>
          <w:sz w:val="32"/>
        </w:rPr>
        <w:t>全在境外发生的人力资源服务，属于完全在境外消费的人力</w:t>
      </w:r>
      <w:r>
        <w:rPr>
          <w:color w:val="auto"/>
          <w:spacing w:val="-2"/>
          <w:w w:val="95"/>
          <w:sz w:val="32"/>
        </w:rPr>
        <w:t xml:space="preserve">资源服务。对外劳务合作，是指境内单位与境外单位签订劳 </w:t>
      </w:r>
      <w:r>
        <w:rPr>
          <w:color w:val="auto"/>
          <w:spacing w:val="-5"/>
          <w:sz w:val="32"/>
        </w:rPr>
        <w:t>务合作合同，按照合同约定组织和协助中国公民赴境外工作的活动。</w:t>
      </w:r>
    </w:p>
    <w:p>
      <w:pPr>
        <w:pStyle w:val="12"/>
        <w:keepNext w:val="0"/>
        <w:keepLines w:val="0"/>
        <w:pageBreakBefore w:val="0"/>
        <w:widowControl w:val="0"/>
        <w:numPr>
          <w:ilvl w:val="0"/>
          <w:numId w:val="29"/>
        </w:numPr>
        <w:tabs>
          <w:tab w:val="left" w:pos="1441"/>
        </w:tabs>
        <w:kinsoku/>
        <w:wordWrap/>
        <w:overflowPunct/>
        <w:topLinePunct w:val="0"/>
        <w:autoSpaceDE w:val="0"/>
        <w:autoSpaceDN w:val="0"/>
        <w:bidi w:val="0"/>
        <w:adjustRightInd/>
        <w:snapToGrid/>
        <w:spacing w:before="4" w:after="0" w:line="240" w:lineRule="auto"/>
        <w:ind w:left="1440" w:right="0" w:hanging="481"/>
        <w:jc w:val="both"/>
        <w:textAlignment w:val="auto"/>
        <w:rPr>
          <w:color w:val="auto"/>
          <w:sz w:val="32"/>
        </w:rPr>
      </w:pPr>
      <w:r>
        <w:rPr>
          <w:color w:val="auto"/>
          <w:sz w:val="32"/>
        </w:rPr>
        <w:t>下列情形不属于完全在境外消费的商务辅助服务：</w:t>
      </w:r>
    </w:p>
    <w:p>
      <w:pPr>
        <w:pStyle w:val="12"/>
        <w:keepNext w:val="0"/>
        <w:keepLines w:val="0"/>
        <w:pageBreakBefore w:val="0"/>
        <w:widowControl w:val="0"/>
        <w:numPr>
          <w:ilvl w:val="0"/>
          <w:numId w:val="33"/>
        </w:numPr>
        <w:tabs>
          <w:tab w:val="left" w:pos="1761"/>
        </w:tabs>
        <w:kinsoku/>
        <w:wordWrap/>
        <w:overflowPunct/>
        <w:topLinePunct w:val="0"/>
        <w:autoSpaceDE w:val="0"/>
        <w:autoSpaceDN w:val="0"/>
        <w:bidi w:val="0"/>
        <w:adjustRightInd/>
        <w:snapToGrid/>
        <w:spacing w:before="214" w:after="0" w:line="240" w:lineRule="auto"/>
        <w:ind w:left="1760" w:right="0" w:hanging="801"/>
        <w:jc w:val="both"/>
        <w:textAlignment w:val="auto"/>
        <w:rPr>
          <w:color w:val="auto"/>
          <w:sz w:val="32"/>
        </w:rPr>
      </w:pPr>
      <w:r>
        <w:rPr>
          <w:color w:val="auto"/>
          <w:sz w:val="32"/>
        </w:rPr>
        <w:t>服务的实际接受方为境内单位或者个人。</w:t>
      </w:r>
    </w:p>
    <w:p>
      <w:pPr>
        <w:pStyle w:val="12"/>
        <w:keepNext w:val="0"/>
        <w:keepLines w:val="0"/>
        <w:pageBreakBefore w:val="0"/>
        <w:widowControl w:val="0"/>
        <w:numPr>
          <w:ilvl w:val="0"/>
          <w:numId w:val="33"/>
        </w:numPr>
        <w:tabs>
          <w:tab w:val="left" w:pos="1780"/>
        </w:tabs>
        <w:kinsoku/>
        <w:wordWrap/>
        <w:overflowPunct/>
        <w:topLinePunct w:val="0"/>
        <w:autoSpaceDE w:val="0"/>
        <w:autoSpaceDN w:val="0"/>
        <w:bidi w:val="0"/>
        <w:adjustRightInd/>
        <w:snapToGrid/>
        <w:spacing w:before="214" w:after="0" w:line="364" w:lineRule="auto"/>
        <w:ind w:left="320" w:right="537" w:firstLine="640"/>
        <w:jc w:val="both"/>
        <w:textAlignment w:val="auto"/>
        <w:rPr>
          <w:color w:val="auto"/>
          <w:sz w:val="32"/>
        </w:rPr>
      </w:pPr>
      <w:r>
        <w:rPr>
          <w:color w:val="auto"/>
          <w:spacing w:val="6"/>
          <w:w w:val="95"/>
          <w:sz w:val="32"/>
        </w:rPr>
        <w:t xml:space="preserve">对境内不动产的投资与资产管理服务、物业管理 </w:t>
      </w:r>
      <w:r>
        <w:rPr>
          <w:color w:val="auto"/>
          <w:spacing w:val="6"/>
          <w:sz w:val="32"/>
        </w:rPr>
        <w:t>服务、房地产中介服务。</w:t>
      </w:r>
    </w:p>
    <w:p>
      <w:pPr>
        <w:pStyle w:val="12"/>
        <w:keepNext w:val="0"/>
        <w:keepLines w:val="0"/>
        <w:pageBreakBefore w:val="0"/>
        <w:widowControl w:val="0"/>
        <w:numPr>
          <w:ilvl w:val="0"/>
          <w:numId w:val="33"/>
        </w:numPr>
        <w:tabs>
          <w:tab w:val="left" w:pos="1780"/>
        </w:tabs>
        <w:kinsoku/>
        <w:wordWrap/>
        <w:overflowPunct/>
        <w:topLinePunct w:val="0"/>
        <w:autoSpaceDE w:val="0"/>
        <w:autoSpaceDN w:val="0"/>
        <w:bidi w:val="0"/>
        <w:adjustRightInd/>
        <w:snapToGrid/>
        <w:spacing w:before="2" w:after="0" w:line="240" w:lineRule="auto"/>
        <w:ind w:left="1779" w:right="0" w:hanging="820"/>
        <w:jc w:val="both"/>
        <w:textAlignment w:val="auto"/>
        <w:rPr>
          <w:color w:val="auto"/>
          <w:sz w:val="32"/>
        </w:rPr>
      </w:pPr>
      <w:r>
        <w:rPr>
          <w:color w:val="auto"/>
          <w:spacing w:val="6"/>
          <w:sz w:val="32"/>
        </w:rPr>
        <w:t>拍卖境内货物或不动产过程中提供的经纪代理服</w:t>
      </w:r>
    </w:p>
    <w:p>
      <w:pPr>
        <w:pStyle w:val="4"/>
        <w:keepNext w:val="0"/>
        <w:keepLines w:val="0"/>
        <w:pageBreakBefore w:val="0"/>
        <w:widowControl w:val="0"/>
        <w:kinsoku/>
        <w:wordWrap/>
        <w:overflowPunct/>
        <w:topLinePunct w:val="0"/>
        <w:autoSpaceDE w:val="0"/>
        <w:autoSpaceDN w:val="0"/>
        <w:bidi w:val="0"/>
        <w:adjustRightInd/>
        <w:snapToGrid/>
        <w:spacing w:before="6"/>
        <w:ind w:left="0" w:firstLine="0"/>
        <w:jc w:val="both"/>
        <w:textAlignment w:val="auto"/>
        <w:rPr>
          <w:color w:val="auto"/>
          <w:sz w:val="12"/>
        </w:rPr>
      </w:pPr>
    </w:p>
    <w:p>
      <w:pPr>
        <w:pStyle w:val="4"/>
        <w:keepNext w:val="0"/>
        <w:keepLines w:val="0"/>
        <w:pageBreakBefore w:val="0"/>
        <w:widowControl w:val="0"/>
        <w:kinsoku/>
        <w:wordWrap/>
        <w:overflowPunct/>
        <w:topLinePunct w:val="0"/>
        <w:autoSpaceDE w:val="0"/>
        <w:autoSpaceDN w:val="0"/>
        <w:bidi w:val="0"/>
        <w:adjustRightInd/>
        <w:snapToGrid/>
        <w:spacing w:before="54"/>
        <w:ind w:firstLine="0"/>
        <w:jc w:val="both"/>
        <w:textAlignment w:val="auto"/>
        <w:rPr>
          <w:color w:val="auto"/>
        </w:rPr>
      </w:pPr>
      <w:r>
        <w:rPr>
          <w:color w:val="auto"/>
        </w:rPr>
        <w:t>务。</w:t>
      </w:r>
    </w:p>
    <w:p>
      <w:pPr>
        <w:pStyle w:val="12"/>
        <w:keepNext w:val="0"/>
        <w:keepLines w:val="0"/>
        <w:pageBreakBefore w:val="0"/>
        <w:widowControl w:val="0"/>
        <w:numPr>
          <w:ilvl w:val="0"/>
          <w:numId w:val="33"/>
        </w:numPr>
        <w:tabs>
          <w:tab w:val="left" w:pos="1780"/>
        </w:tabs>
        <w:kinsoku/>
        <w:wordWrap/>
        <w:overflowPunct/>
        <w:topLinePunct w:val="0"/>
        <w:autoSpaceDE w:val="0"/>
        <w:autoSpaceDN w:val="0"/>
        <w:bidi w:val="0"/>
        <w:adjustRightInd/>
        <w:snapToGrid/>
        <w:spacing w:before="214" w:after="0" w:line="240" w:lineRule="auto"/>
        <w:ind w:left="1779" w:right="0" w:hanging="820"/>
        <w:jc w:val="both"/>
        <w:textAlignment w:val="auto"/>
        <w:rPr>
          <w:color w:val="auto"/>
          <w:sz w:val="32"/>
        </w:rPr>
      </w:pPr>
      <w:r>
        <w:rPr>
          <w:color w:val="auto"/>
          <w:spacing w:val="6"/>
          <w:sz w:val="32"/>
        </w:rPr>
        <w:t>为境内货物或不动产的物权纠纷提供的法律代理</w:t>
      </w:r>
    </w:p>
    <w:p>
      <w:pPr>
        <w:pStyle w:val="4"/>
        <w:keepNext w:val="0"/>
        <w:keepLines w:val="0"/>
        <w:pageBreakBefore w:val="0"/>
        <w:widowControl w:val="0"/>
        <w:kinsoku/>
        <w:wordWrap/>
        <w:overflowPunct/>
        <w:topLinePunct w:val="0"/>
        <w:autoSpaceDE w:val="0"/>
        <w:autoSpaceDN w:val="0"/>
        <w:bidi w:val="0"/>
        <w:adjustRightInd/>
        <w:snapToGrid/>
        <w:spacing w:before="30"/>
        <w:ind w:firstLine="0"/>
        <w:jc w:val="both"/>
        <w:textAlignment w:val="auto"/>
        <w:rPr>
          <w:color w:val="auto"/>
        </w:rPr>
      </w:pPr>
      <w:r>
        <w:rPr>
          <w:color w:val="auto"/>
        </w:rPr>
        <w:t>服务。</w:t>
      </w:r>
    </w:p>
    <w:p>
      <w:pPr>
        <w:pStyle w:val="12"/>
        <w:keepNext w:val="0"/>
        <w:keepLines w:val="0"/>
        <w:pageBreakBefore w:val="0"/>
        <w:widowControl w:val="0"/>
        <w:numPr>
          <w:ilvl w:val="0"/>
          <w:numId w:val="33"/>
        </w:numPr>
        <w:tabs>
          <w:tab w:val="left" w:pos="1761"/>
        </w:tabs>
        <w:kinsoku/>
        <w:wordWrap/>
        <w:overflowPunct/>
        <w:topLinePunct w:val="0"/>
        <w:autoSpaceDE w:val="0"/>
        <w:autoSpaceDN w:val="0"/>
        <w:bidi w:val="0"/>
        <w:adjustRightInd/>
        <w:snapToGrid/>
        <w:spacing w:before="214" w:after="0" w:line="240" w:lineRule="auto"/>
        <w:ind w:left="1760" w:right="0" w:hanging="801"/>
        <w:jc w:val="both"/>
        <w:textAlignment w:val="auto"/>
        <w:rPr>
          <w:color w:val="auto"/>
          <w:sz w:val="32"/>
        </w:rPr>
      </w:pPr>
      <w:r>
        <w:rPr>
          <w:color w:val="auto"/>
          <w:sz w:val="32"/>
        </w:rPr>
        <w:t>为境内货物或不动产提供的安全保护服务。</w:t>
      </w:r>
    </w:p>
    <w:p>
      <w:pPr>
        <w:pStyle w:val="12"/>
        <w:keepNext w:val="0"/>
        <w:keepLines w:val="0"/>
        <w:pageBreakBefore w:val="0"/>
        <w:widowControl w:val="0"/>
        <w:numPr>
          <w:ilvl w:val="0"/>
          <w:numId w:val="29"/>
        </w:numPr>
        <w:tabs>
          <w:tab w:val="left" w:pos="1446"/>
        </w:tabs>
        <w:kinsoku/>
        <w:wordWrap/>
        <w:overflowPunct/>
        <w:topLinePunct w:val="0"/>
        <w:autoSpaceDE w:val="0"/>
        <w:autoSpaceDN w:val="0"/>
        <w:bidi w:val="0"/>
        <w:adjustRightInd/>
        <w:snapToGrid/>
        <w:spacing w:before="214" w:after="0" w:line="364" w:lineRule="auto"/>
        <w:ind w:left="320" w:right="540" w:firstLine="640"/>
        <w:jc w:val="both"/>
        <w:textAlignment w:val="auto"/>
        <w:rPr>
          <w:color w:val="auto"/>
          <w:sz w:val="32"/>
        </w:rPr>
      </w:pPr>
      <w:r>
        <w:rPr>
          <w:color w:val="auto"/>
          <w:spacing w:val="6"/>
          <w:w w:val="95"/>
          <w:sz w:val="32"/>
        </w:rPr>
        <w:t xml:space="preserve">广告投放地在境外的广告服务，是指为在境外发布 </w:t>
      </w:r>
      <w:r>
        <w:rPr>
          <w:color w:val="auto"/>
          <w:spacing w:val="6"/>
          <w:sz w:val="32"/>
        </w:rPr>
        <w:t>的广告提供的广告服务。</w:t>
      </w:r>
    </w:p>
    <w:p>
      <w:pPr>
        <w:pStyle w:val="12"/>
        <w:keepNext w:val="0"/>
        <w:keepLines w:val="0"/>
        <w:pageBreakBefore w:val="0"/>
        <w:widowControl w:val="0"/>
        <w:numPr>
          <w:ilvl w:val="0"/>
          <w:numId w:val="29"/>
        </w:numPr>
        <w:tabs>
          <w:tab w:val="left" w:pos="1446"/>
        </w:tabs>
        <w:kinsoku/>
        <w:wordWrap/>
        <w:overflowPunct/>
        <w:topLinePunct w:val="0"/>
        <w:autoSpaceDE w:val="0"/>
        <w:autoSpaceDN w:val="0"/>
        <w:bidi w:val="0"/>
        <w:adjustRightInd/>
        <w:snapToGrid/>
        <w:spacing w:before="1" w:after="0" w:line="364" w:lineRule="auto"/>
        <w:ind w:left="320" w:right="540" w:firstLine="640"/>
        <w:jc w:val="both"/>
        <w:textAlignment w:val="auto"/>
        <w:rPr>
          <w:color w:val="auto"/>
          <w:sz w:val="32"/>
        </w:rPr>
      </w:pPr>
      <w:r>
        <w:rPr>
          <w:color w:val="auto"/>
          <w:spacing w:val="6"/>
          <w:w w:val="95"/>
          <w:sz w:val="32"/>
        </w:rPr>
        <w:t xml:space="preserve">下列情形不属于向境外单位销售的完全在境外消费 </w:t>
      </w:r>
      <w:r>
        <w:rPr>
          <w:color w:val="auto"/>
          <w:spacing w:val="6"/>
          <w:sz w:val="32"/>
        </w:rPr>
        <w:t>的无形资产：</w:t>
      </w:r>
    </w:p>
    <w:p>
      <w:pPr>
        <w:pStyle w:val="12"/>
        <w:keepNext w:val="0"/>
        <w:keepLines w:val="0"/>
        <w:pageBreakBefore w:val="0"/>
        <w:widowControl w:val="0"/>
        <w:numPr>
          <w:ilvl w:val="0"/>
          <w:numId w:val="34"/>
        </w:numPr>
        <w:tabs>
          <w:tab w:val="left" w:pos="1761"/>
        </w:tabs>
        <w:kinsoku/>
        <w:wordWrap/>
        <w:overflowPunct/>
        <w:topLinePunct w:val="0"/>
        <w:autoSpaceDE w:val="0"/>
        <w:autoSpaceDN w:val="0"/>
        <w:bidi w:val="0"/>
        <w:adjustRightInd/>
        <w:snapToGrid/>
        <w:spacing w:before="2" w:after="0" w:line="240" w:lineRule="auto"/>
        <w:ind w:left="1760" w:right="0" w:hanging="801"/>
        <w:jc w:val="both"/>
        <w:textAlignment w:val="auto"/>
        <w:rPr>
          <w:color w:val="auto"/>
          <w:sz w:val="32"/>
        </w:rPr>
      </w:pPr>
      <w:r>
        <w:rPr>
          <w:color w:val="auto"/>
          <w:sz w:val="32"/>
        </w:rPr>
        <w:t>无形资产未完全在境外使用。</w:t>
      </w:r>
    </w:p>
    <w:p>
      <w:pPr>
        <w:pStyle w:val="12"/>
        <w:keepNext w:val="0"/>
        <w:keepLines w:val="0"/>
        <w:pageBreakBefore w:val="0"/>
        <w:widowControl w:val="0"/>
        <w:numPr>
          <w:ilvl w:val="0"/>
          <w:numId w:val="34"/>
        </w:numPr>
        <w:tabs>
          <w:tab w:val="left" w:pos="1761"/>
        </w:tabs>
        <w:kinsoku/>
        <w:wordWrap/>
        <w:overflowPunct/>
        <w:topLinePunct w:val="0"/>
        <w:autoSpaceDE w:val="0"/>
        <w:autoSpaceDN w:val="0"/>
        <w:bidi w:val="0"/>
        <w:adjustRightInd/>
        <w:snapToGrid/>
        <w:spacing w:before="214" w:after="0" w:line="240" w:lineRule="auto"/>
        <w:ind w:left="1760" w:right="0" w:hanging="801"/>
        <w:jc w:val="both"/>
        <w:textAlignment w:val="auto"/>
        <w:rPr>
          <w:color w:val="auto"/>
          <w:sz w:val="32"/>
        </w:rPr>
      </w:pPr>
      <w:r>
        <w:rPr>
          <w:color w:val="auto"/>
          <w:sz w:val="32"/>
        </w:rPr>
        <w:t>所转让的自然资源使用权与境内自然资源相关。</w:t>
      </w:r>
    </w:p>
    <w:p>
      <w:pPr>
        <w:pStyle w:val="12"/>
        <w:keepNext w:val="0"/>
        <w:keepLines w:val="0"/>
        <w:pageBreakBefore w:val="0"/>
        <w:widowControl w:val="0"/>
        <w:numPr>
          <w:ilvl w:val="0"/>
          <w:numId w:val="34"/>
        </w:numPr>
        <w:tabs>
          <w:tab w:val="left" w:pos="1780"/>
        </w:tabs>
        <w:kinsoku/>
        <w:wordWrap/>
        <w:overflowPunct/>
        <w:topLinePunct w:val="0"/>
        <w:autoSpaceDE w:val="0"/>
        <w:autoSpaceDN w:val="0"/>
        <w:bidi w:val="0"/>
        <w:adjustRightInd/>
        <w:snapToGrid/>
        <w:spacing w:before="214" w:after="0" w:line="364" w:lineRule="auto"/>
        <w:ind w:left="320" w:right="537" w:firstLine="640"/>
        <w:jc w:val="both"/>
        <w:textAlignment w:val="auto"/>
        <w:rPr>
          <w:color w:val="auto"/>
          <w:sz w:val="32"/>
        </w:rPr>
      </w:pPr>
      <w:r>
        <w:rPr>
          <w:color w:val="auto"/>
          <w:spacing w:val="6"/>
          <w:w w:val="95"/>
          <w:sz w:val="32"/>
        </w:rPr>
        <w:t xml:space="preserve">所转让的基础设施资产经营权、公共事业特许权 </w:t>
      </w:r>
      <w:r>
        <w:rPr>
          <w:color w:val="auto"/>
          <w:spacing w:val="6"/>
          <w:sz w:val="32"/>
        </w:rPr>
        <w:t>与境内货物或不动产相关。</w:t>
      </w:r>
    </w:p>
    <w:p>
      <w:pPr>
        <w:pStyle w:val="12"/>
        <w:keepNext w:val="0"/>
        <w:keepLines w:val="0"/>
        <w:pageBreakBefore w:val="0"/>
        <w:widowControl w:val="0"/>
        <w:numPr>
          <w:ilvl w:val="0"/>
          <w:numId w:val="34"/>
        </w:numPr>
        <w:tabs>
          <w:tab w:val="left" w:pos="1780"/>
        </w:tabs>
        <w:kinsoku/>
        <w:wordWrap/>
        <w:overflowPunct/>
        <w:topLinePunct w:val="0"/>
        <w:autoSpaceDE w:val="0"/>
        <w:autoSpaceDN w:val="0"/>
        <w:bidi w:val="0"/>
        <w:adjustRightInd/>
        <w:snapToGrid/>
        <w:spacing w:before="2" w:after="0" w:line="364" w:lineRule="auto"/>
        <w:ind w:left="320" w:right="525" w:firstLine="640"/>
        <w:jc w:val="both"/>
        <w:textAlignment w:val="auto"/>
        <w:rPr>
          <w:color w:val="auto"/>
          <w:sz w:val="32"/>
        </w:rPr>
      </w:pPr>
      <w:r>
        <w:rPr>
          <w:color w:val="auto"/>
          <w:spacing w:val="6"/>
          <w:w w:val="95"/>
          <w:sz w:val="32"/>
        </w:rPr>
        <w:t xml:space="preserve">向境外单位转让在境内销售货物、应税劳务、服 </w:t>
      </w:r>
      <w:r>
        <w:rPr>
          <w:color w:val="auto"/>
          <w:spacing w:val="6"/>
          <w:sz w:val="32"/>
        </w:rPr>
        <w:t>务、无形资产或不动产的配额、经营权、经销权、分销权、代理权。</w:t>
      </w:r>
    </w:p>
    <w:p>
      <w:pPr>
        <w:pStyle w:val="12"/>
        <w:keepNext w:val="0"/>
        <w:keepLines w:val="0"/>
        <w:pageBreakBefore w:val="0"/>
        <w:widowControl w:val="0"/>
        <w:numPr>
          <w:ilvl w:val="0"/>
          <w:numId w:val="29"/>
        </w:numPr>
        <w:tabs>
          <w:tab w:val="left" w:pos="1446"/>
        </w:tabs>
        <w:kinsoku/>
        <w:wordWrap/>
        <w:overflowPunct/>
        <w:topLinePunct w:val="0"/>
        <w:autoSpaceDE w:val="0"/>
        <w:autoSpaceDN w:val="0"/>
        <w:bidi w:val="0"/>
        <w:adjustRightInd/>
        <w:snapToGrid/>
        <w:spacing w:before="2" w:after="0" w:line="364" w:lineRule="auto"/>
        <w:ind w:left="320" w:right="539" w:firstLine="640"/>
        <w:jc w:val="both"/>
        <w:textAlignment w:val="auto"/>
        <w:rPr>
          <w:color w:val="auto"/>
          <w:sz w:val="32"/>
        </w:rPr>
      </w:pPr>
      <w:r>
        <w:rPr>
          <w:color w:val="auto"/>
          <w:spacing w:val="6"/>
          <w:w w:val="95"/>
          <w:sz w:val="32"/>
        </w:rPr>
        <w:t xml:space="preserve">为境外单位之间、境外单位和个人之间的外币、人 </w:t>
      </w:r>
      <w:r>
        <w:rPr>
          <w:color w:val="auto"/>
          <w:spacing w:val="-1"/>
          <w:w w:val="95"/>
          <w:sz w:val="32"/>
        </w:rPr>
        <w:t xml:space="preserve">民币资金往来提供的资金清算、资金结算、金融支付、账户 </w:t>
      </w:r>
      <w:r>
        <w:rPr>
          <w:color w:val="auto"/>
          <w:spacing w:val="-5"/>
          <w:sz w:val="32"/>
        </w:rPr>
        <w:t>管理服务，属于为境外单位之间的货币资金融通及其他金融</w:t>
      </w:r>
      <w:r>
        <w:rPr>
          <w:color w:val="auto"/>
          <w:sz w:val="32"/>
        </w:rPr>
        <w:t>业务提供的直接收费金融服务。</w:t>
      </w:r>
    </w:p>
    <w:p>
      <w:pPr>
        <w:pStyle w:val="12"/>
        <w:keepNext w:val="0"/>
        <w:keepLines w:val="0"/>
        <w:pageBreakBefore w:val="0"/>
        <w:widowControl w:val="0"/>
        <w:numPr>
          <w:ilvl w:val="0"/>
          <w:numId w:val="29"/>
        </w:numPr>
        <w:tabs>
          <w:tab w:val="left" w:pos="1446"/>
        </w:tabs>
        <w:kinsoku/>
        <w:wordWrap/>
        <w:overflowPunct/>
        <w:topLinePunct w:val="0"/>
        <w:autoSpaceDE w:val="0"/>
        <w:autoSpaceDN w:val="0"/>
        <w:bidi w:val="0"/>
        <w:adjustRightInd/>
        <w:snapToGrid/>
        <w:spacing w:before="3" w:after="0" w:line="364" w:lineRule="auto"/>
        <w:ind w:left="320" w:right="537" w:firstLine="640"/>
        <w:jc w:val="both"/>
        <w:textAlignment w:val="auto"/>
        <w:rPr>
          <w:color w:val="auto"/>
          <w:sz w:val="32"/>
        </w:rPr>
      </w:pPr>
      <w:r>
        <w:rPr>
          <w:color w:val="auto"/>
          <w:spacing w:val="6"/>
          <w:w w:val="95"/>
          <w:sz w:val="32"/>
        </w:rPr>
        <w:t xml:space="preserve">按照国家有关规定应取得相关资质的国际运输服务 </w:t>
      </w:r>
      <w:r>
        <w:rPr>
          <w:color w:val="auto"/>
          <w:spacing w:val="-2"/>
          <w:w w:val="95"/>
          <w:sz w:val="32"/>
        </w:rPr>
        <w:t xml:space="preserve">项目，纳税人取得相关资质的，适用增值税零税率政策，未 </w:t>
      </w:r>
      <w:r>
        <w:rPr>
          <w:color w:val="auto"/>
          <w:spacing w:val="-2"/>
          <w:sz w:val="32"/>
        </w:rPr>
        <w:t>取得的，适用增值税免税政策。</w:t>
      </w:r>
    </w:p>
    <w:p>
      <w:pPr>
        <w:pStyle w:val="12"/>
        <w:keepNext w:val="0"/>
        <w:keepLines w:val="0"/>
        <w:pageBreakBefore w:val="0"/>
        <w:widowControl w:val="0"/>
        <w:numPr>
          <w:ilvl w:val="0"/>
          <w:numId w:val="29"/>
        </w:numPr>
        <w:tabs>
          <w:tab w:val="left" w:pos="1446"/>
        </w:tabs>
        <w:kinsoku/>
        <w:wordWrap/>
        <w:overflowPunct/>
        <w:topLinePunct w:val="0"/>
        <w:autoSpaceDE w:val="0"/>
        <w:autoSpaceDN w:val="0"/>
        <w:bidi w:val="0"/>
        <w:adjustRightInd/>
        <w:snapToGrid/>
        <w:spacing w:before="3" w:after="0" w:line="364" w:lineRule="auto"/>
        <w:ind w:left="320" w:right="537" w:firstLine="640"/>
        <w:jc w:val="both"/>
        <w:textAlignment w:val="auto"/>
        <w:rPr>
          <w:color w:val="auto"/>
          <w:sz w:val="32"/>
        </w:rPr>
      </w:pPr>
      <w:r>
        <w:rPr>
          <w:color w:val="auto"/>
          <w:spacing w:val="6"/>
          <w:w w:val="95"/>
          <w:sz w:val="32"/>
        </w:rPr>
        <w:t xml:space="preserve">境内的单位和个人提供适用增值税零税率的服务或 </w:t>
      </w:r>
      <w:r>
        <w:rPr>
          <w:color w:val="auto"/>
          <w:spacing w:val="-1"/>
          <w:sz w:val="32"/>
        </w:rPr>
        <w:t>者无形资产，如果属于适用简易计税方法的，实行免征增值</w:t>
      </w:r>
    </w:p>
    <w:p>
      <w:pPr>
        <w:pStyle w:val="4"/>
        <w:keepNext w:val="0"/>
        <w:keepLines w:val="0"/>
        <w:pageBreakBefore w:val="0"/>
        <w:widowControl w:val="0"/>
        <w:kinsoku/>
        <w:wordWrap/>
        <w:overflowPunct/>
        <w:topLinePunct w:val="0"/>
        <w:autoSpaceDE w:val="0"/>
        <w:autoSpaceDN w:val="0"/>
        <w:bidi w:val="0"/>
        <w:adjustRightInd/>
        <w:snapToGrid/>
        <w:spacing w:before="30"/>
        <w:ind w:firstLine="0"/>
        <w:jc w:val="both"/>
        <w:textAlignment w:val="auto"/>
        <w:rPr>
          <w:color w:val="auto"/>
        </w:rPr>
      </w:pPr>
      <w:r>
        <w:rPr>
          <w:color w:val="auto"/>
        </w:rPr>
        <w:t>税办法。</w:t>
      </w:r>
    </w:p>
    <w:p>
      <w:pPr>
        <w:pStyle w:val="12"/>
        <w:keepNext w:val="0"/>
        <w:keepLines w:val="0"/>
        <w:pageBreakBefore w:val="0"/>
        <w:widowControl w:val="0"/>
        <w:numPr>
          <w:ilvl w:val="0"/>
          <w:numId w:val="29"/>
        </w:numPr>
        <w:tabs>
          <w:tab w:val="left" w:pos="1446"/>
        </w:tabs>
        <w:kinsoku/>
        <w:wordWrap/>
        <w:overflowPunct/>
        <w:topLinePunct w:val="0"/>
        <w:autoSpaceDE w:val="0"/>
        <w:autoSpaceDN w:val="0"/>
        <w:bidi w:val="0"/>
        <w:adjustRightInd/>
        <w:snapToGrid/>
        <w:spacing w:before="214" w:after="0" w:line="364" w:lineRule="auto"/>
        <w:ind w:left="320" w:right="537" w:firstLine="640"/>
        <w:jc w:val="both"/>
        <w:textAlignment w:val="auto"/>
        <w:rPr>
          <w:color w:val="auto"/>
          <w:sz w:val="32"/>
        </w:rPr>
      </w:pPr>
      <w:r>
        <w:rPr>
          <w:color w:val="auto"/>
          <w:spacing w:val="6"/>
          <w:w w:val="95"/>
          <w:sz w:val="32"/>
        </w:rPr>
        <w:t xml:space="preserve">境内的单位和个人销售适用增值税零税率的服务或 </w:t>
      </w:r>
      <w:r>
        <w:rPr>
          <w:color w:val="auto"/>
          <w:spacing w:val="-1"/>
          <w:sz w:val="32"/>
        </w:rPr>
        <w:t>无形资产的，可以放弃适用增值税零税率，选择免税或按规</w:t>
      </w:r>
      <w:r>
        <w:rPr>
          <w:color w:val="auto"/>
          <w:spacing w:val="-8"/>
          <w:sz w:val="32"/>
        </w:rPr>
        <w:t>定缴纳增值税。放弃适用增值税零税率后，</w:t>
      </w:r>
      <w:r>
        <w:rPr>
          <w:color w:val="auto"/>
          <w:spacing w:val="-15"/>
          <w:sz w:val="32"/>
        </w:rPr>
        <w:t>36</w:t>
      </w:r>
      <w:r>
        <w:rPr>
          <w:color w:val="auto"/>
          <w:spacing w:val="-14"/>
          <w:sz w:val="32"/>
        </w:rPr>
        <w:t xml:space="preserve"> 个月内不得再申请适用增值税零税率。</w:t>
      </w:r>
    </w:p>
    <w:p>
      <w:pPr>
        <w:keepNext w:val="0"/>
        <w:keepLines w:val="0"/>
        <w:pageBreakBefore w:val="0"/>
        <w:widowControl w:val="0"/>
        <w:kinsoku/>
        <w:wordWrap/>
        <w:overflowPunct/>
        <w:topLinePunct w:val="0"/>
        <w:autoSpaceDE w:val="0"/>
        <w:autoSpaceDN w:val="0"/>
        <w:bidi w:val="0"/>
        <w:adjustRightInd/>
        <w:snapToGrid/>
        <w:spacing w:before="3"/>
        <w:ind w:left="320" w:right="0" w:firstLine="0"/>
        <w:jc w:val="both"/>
        <w:textAlignment w:val="auto"/>
        <w:rPr>
          <w:rFonts w:hint="eastAsia" w:ascii="宋体" w:eastAsia="宋体"/>
          <w:b/>
          <w:color w:val="auto"/>
          <w:sz w:val="32"/>
        </w:rPr>
      </w:pPr>
      <w:r>
        <w:rPr>
          <w:rFonts w:hint="eastAsia" w:ascii="宋体" w:eastAsia="宋体"/>
          <w:b/>
          <w:color w:val="auto"/>
          <w:w w:val="95"/>
          <w:sz w:val="32"/>
        </w:rPr>
        <w:t>【政策依据】</w:t>
      </w:r>
    </w:p>
    <w:p>
      <w:pPr>
        <w:pStyle w:val="12"/>
        <w:keepNext w:val="0"/>
        <w:keepLines w:val="0"/>
        <w:pageBreakBefore w:val="0"/>
        <w:widowControl w:val="0"/>
        <w:numPr>
          <w:ilvl w:val="0"/>
          <w:numId w:val="35"/>
        </w:numPr>
        <w:tabs>
          <w:tab w:val="left" w:pos="1285"/>
        </w:tabs>
        <w:kinsoku/>
        <w:wordWrap/>
        <w:overflowPunct/>
        <w:topLinePunct w:val="0"/>
        <w:autoSpaceDE w:val="0"/>
        <w:autoSpaceDN w:val="0"/>
        <w:bidi w:val="0"/>
        <w:adjustRightInd/>
        <w:snapToGrid/>
        <w:spacing w:before="236" w:after="0" w:line="326" w:lineRule="auto"/>
        <w:ind w:left="320" w:right="535" w:firstLine="640"/>
        <w:jc w:val="both"/>
        <w:textAlignment w:val="auto"/>
        <w:rPr>
          <w:rFonts w:hint="eastAsia" w:ascii="黑体" w:eastAsia="黑体"/>
          <w:color w:val="auto"/>
          <w:sz w:val="32"/>
        </w:rPr>
      </w:pPr>
      <w:r>
        <w:rPr>
          <w:rFonts w:hint="eastAsia" w:ascii="黑体" w:eastAsia="黑体"/>
          <w:color w:val="auto"/>
          <w:spacing w:val="2"/>
          <w:sz w:val="32"/>
        </w:rPr>
        <w:t>《财政部 国家税务总局关于全面推开营业税改征增</w:t>
      </w:r>
      <w:r>
        <w:rPr>
          <w:rFonts w:hint="eastAsia" w:ascii="黑体" w:eastAsia="黑体"/>
          <w:color w:val="auto"/>
          <w:spacing w:val="1"/>
          <w:sz w:val="32"/>
        </w:rPr>
        <w:t>值税试点的通知》</w:t>
      </w:r>
      <w:r>
        <w:rPr>
          <w:rFonts w:hint="eastAsia" w:ascii="黑体" w:eastAsia="黑体"/>
          <w:color w:val="auto"/>
          <w:sz w:val="32"/>
        </w:rPr>
        <w:t>（财税〔2016</w:t>
      </w:r>
      <w:r>
        <w:rPr>
          <w:rFonts w:hint="eastAsia" w:ascii="黑体" w:eastAsia="黑体"/>
          <w:color w:val="auto"/>
          <w:spacing w:val="-3"/>
          <w:sz w:val="32"/>
        </w:rPr>
        <w:t>〕</w:t>
      </w:r>
      <w:r>
        <w:rPr>
          <w:rFonts w:hint="eastAsia" w:ascii="黑体" w:eastAsia="黑体"/>
          <w:color w:val="auto"/>
          <w:sz w:val="32"/>
        </w:rPr>
        <w:t>36</w:t>
      </w:r>
      <w:r>
        <w:rPr>
          <w:rFonts w:hint="eastAsia" w:ascii="黑体" w:eastAsia="黑体"/>
          <w:color w:val="auto"/>
          <w:spacing w:val="-43"/>
          <w:sz w:val="32"/>
        </w:rPr>
        <w:t xml:space="preserve"> 号</w:t>
      </w:r>
      <w:r>
        <w:rPr>
          <w:rFonts w:hint="eastAsia" w:ascii="黑体" w:eastAsia="黑体"/>
          <w:color w:val="auto"/>
          <w:sz w:val="32"/>
        </w:rPr>
        <w:t>）</w:t>
      </w:r>
      <w:r>
        <w:rPr>
          <w:rFonts w:hint="eastAsia" w:ascii="黑体" w:eastAsia="黑体"/>
          <w:color w:val="auto"/>
          <w:spacing w:val="-28"/>
          <w:sz w:val="32"/>
        </w:rPr>
        <w:t xml:space="preserve">附件 </w:t>
      </w:r>
      <w:r>
        <w:rPr>
          <w:rFonts w:hint="eastAsia" w:ascii="黑体" w:eastAsia="黑体"/>
          <w:color w:val="auto"/>
          <w:spacing w:val="-4"/>
          <w:sz w:val="32"/>
        </w:rPr>
        <w:t>4</w:t>
      </w:r>
      <w:r>
        <w:rPr>
          <w:rFonts w:hint="eastAsia" w:ascii="黑体" w:eastAsia="黑体"/>
          <w:color w:val="auto"/>
          <w:sz w:val="32"/>
        </w:rPr>
        <w:t>《跨境应税行为适用增值税零税率和免税政策的规定》第二至五条</w:t>
      </w:r>
    </w:p>
    <w:p>
      <w:pPr>
        <w:pStyle w:val="12"/>
        <w:keepNext w:val="0"/>
        <w:keepLines w:val="0"/>
        <w:pageBreakBefore w:val="0"/>
        <w:widowControl w:val="0"/>
        <w:numPr>
          <w:ilvl w:val="0"/>
          <w:numId w:val="35"/>
        </w:numPr>
        <w:tabs>
          <w:tab w:val="left" w:pos="1283"/>
        </w:tabs>
        <w:kinsoku/>
        <w:wordWrap/>
        <w:overflowPunct/>
        <w:topLinePunct w:val="0"/>
        <w:autoSpaceDE w:val="0"/>
        <w:autoSpaceDN w:val="0"/>
        <w:bidi w:val="0"/>
        <w:adjustRightInd/>
        <w:snapToGrid/>
        <w:spacing w:before="7" w:after="0" w:line="326" w:lineRule="auto"/>
        <w:ind w:left="320" w:right="540" w:firstLine="640"/>
        <w:jc w:val="both"/>
        <w:textAlignment w:val="auto"/>
        <w:rPr>
          <w:rFonts w:hint="eastAsia" w:ascii="黑体" w:eastAsia="黑体"/>
          <w:color w:val="auto"/>
          <w:sz w:val="32"/>
        </w:rPr>
      </w:pPr>
      <w:r>
        <w:rPr>
          <w:rFonts w:hint="eastAsia" w:ascii="黑体" w:eastAsia="黑体"/>
          <w:color w:val="auto"/>
          <w:spacing w:val="-1"/>
          <w:w w:val="95"/>
          <w:sz w:val="32"/>
        </w:rPr>
        <w:t xml:space="preserve">《国家税务总局关于发布〈营业税改征增值税跨境应 </w:t>
      </w:r>
      <w:r>
        <w:rPr>
          <w:rFonts w:hint="eastAsia" w:ascii="黑体" w:eastAsia="黑体"/>
          <w:color w:val="auto"/>
          <w:spacing w:val="-3"/>
          <w:sz w:val="32"/>
        </w:rPr>
        <w:t>税行为增值税免税管理办法</w:t>
      </w:r>
      <w:r>
        <w:rPr>
          <w:rFonts w:hint="eastAsia" w:ascii="黑体" w:eastAsia="黑体"/>
          <w:color w:val="auto"/>
          <w:sz w:val="32"/>
        </w:rPr>
        <w:t>（试行</w:t>
      </w:r>
      <w:r>
        <w:rPr>
          <w:rFonts w:hint="eastAsia" w:ascii="黑体" w:eastAsia="黑体"/>
          <w:color w:val="auto"/>
          <w:spacing w:val="-17"/>
          <w:sz w:val="32"/>
        </w:rPr>
        <w:t>）</w:t>
      </w:r>
      <w:r>
        <w:rPr>
          <w:rFonts w:hint="eastAsia" w:ascii="黑体" w:eastAsia="黑体"/>
          <w:color w:val="auto"/>
          <w:spacing w:val="-12"/>
          <w:sz w:val="32"/>
        </w:rPr>
        <w:t>〉的公告》</w:t>
      </w:r>
      <w:r>
        <w:rPr>
          <w:rFonts w:hint="eastAsia" w:ascii="黑体" w:eastAsia="黑体"/>
          <w:color w:val="auto"/>
          <w:sz w:val="32"/>
        </w:rPr>
        <w:t>（2016</w:t>
      </w:r>
      <w:r>
        <w:rPr>
          <w:rFonts w:hint="eastAsia" w:ascii="黑体" w:eastAsia="黑体"/>
          <w:color w:val="auto"/>
          <w:spacing w:val="-31"/>
          <w:sz w:val="32"/>
        </w:rPr>
        <w:t xml:space="preserve"> 年第29</w:t>
      </w:r>
      <w:r>
        <w:rPr>
          <w:rFonts w:hint="eastAsia" w:ascii="黑体" w:eastAsia="黑体"/>
          <w:color w:val="auto"/>
          <w:spacing w:val="-41"/>
          <w:sz w:val="32"/>
        </w:rPr>
        <w:t xml:space="preserve"> 号</w:t>
      </w:r>
      <w:r>
        <w:rPr>
          <w:rFonts w:hint="eastAsia" w:ascii="黑体" w:eastAsia="黑体"/>
          <w:color w:val="auto"/>
          <w:sz w:val="32"/>
        </w:rPr>
        <w:t>）</w:t>
      </w:r>
    </w:p>
    <w:p>
      <w:pPr>
        <w:pStyle w:val="12"/>
        <w:keepNext w:val="0"/>
        <w:keepLines w:val="0"/>
        <w:pageBreakBefore w:val="0"/>
        <w:widowControl w:val="0"/>
        <w:numPr>
          <w:ilvl w:val="0"/>
          <w:numId w:val="35"/>
        </w:numPr>
        <w:tabs>
          <w:tab w:val="left" w:pos="1285"/>
        </w:tabs>
        <w:kinsoku/>
        <w:wordWrap/>
        <w:overflowPunct/>
        <w:topLinePunct w:val="0"/>
        <w:autoSpaceDE w:val="0"/>
        <w:autoSpaceDN w:val="0"/>
        <w:bidi w:val="0"/>
        <w:adjustRightInd/>
        <w:snapToGrid/>
        <w:spacing w:before="7" w:after="0" w:line="326" w:lineRule="auto"/>
        <w:ind w:left="320" w:right="537" w:firstLine="640"/>
        <w:jc w:val="both"/>
        <w:textAlignment w:val="auto"/>
        <w:rPr>
          <w:rFonts w:hint="eastAsia" w:ascii="黑体" w:eastAsia="黑体"/>
          <w:color w:val="auto"/>
          <w:sz w:val="32"/>
        </w:rPr>
      </w:pPr>
      <w:r>
        <w:rPr>
          <w:rFonts w:hint="eastAsia" w:ascii="黑体" w:eastAsia="黑体"/>
          <w:color w:val="auto"/>
          <w:spacing w:val="1"/>
          <w:sz w:val="32"/>
        </w:rPr>
        <w:t>《财政部 税务总局关于出口货物保险增值税政策的公告》（2021</w:t>
      </w:r>
      <w:r>
        <w:rPr>
          <w:rFonts w:hint="eastAsia" w:ascii="黑体" w:eastAsia="黑体"/>
          <w:color w:val="auto"/>
          <w:spacing w:val="-41"/>
          <w:sz w:val="32"/>
        </w:rPr>
        <w:t xml:space="preserve"> 年第 </w:t>
      </w:r>
      <w:r>
        <w:rPr>
          <w:rFonts w:hint="eastAsia" w:ascii="黑体" w:eastAsia="黑体"/>
          <w:color w:val="auto"/>
          <w:sz w:val="32"/>
        </w:rPr>
        <w:t>37</w:t>
      </w:r>
      <w:r>
        <w:rPr>
          <w:rFonts w:hint="eastAsia" w:ascii="黑体" w:eastAsia="黑体"/>
          <w:color w:val="auto"/>
          <w:spacing w:val="-40"/>
          <w:sz w:val="32"/>
        </w:rPr>
        <w:t xml:space="preserve"> 号</w:t>
      </w:r>
      <w:r>
        <w:rPr>
          <w:rFonts w:hint="eastAsia" w:ascii="黑体" w:eastAsia="黑体"/>
          <w:color w:val="auto"/>
          <w:sz w:val="32"/>
        </w:rPr>
        <w:t>）</w:t>
      </w:r>
    </w:p>
    <w:p>
      <w:pPr>
        <w:pStyle w:val="4"/>
        <w:keepNext w:val="0"/>
        <w:keepLines w:val="0"/>
        <w:pageBreakBefore w:val="0"/>
        <w:widowControl w:val="0"/>
        <w:kinsoku/>
        <w:wordWrap/>
        <w:overflowPunct/>
        <w:topLinePunct w:val="0"/>
        <w:autoSpaceDE w:val="0"/>
        <w:autoSpaceDN w:val="0"/>
        <w:bidi w:val="0"/>
        <w:adjustRightInd/>
        <w:snapToGrid/>
        <w:spacing w:before="3"/>
        <w:ind w:left="0" w:firstLine="0"/>
        <w:jc w:val="both"/>
        <w:textAlignment w:val="auto"/>
        <w:rPr>
          <w:rFonts w:ascii="黑体"/>
          <w:color w:val="auto"/>
          <w:sz w:val="40"/>
        </w:rPr>
      </w:pPr>
    </w:p>
    <w:p>
      <w:pPr>
        <w:keepNext w:val="0"/>
        <w:keepLines w:val="0"/>
        <w:pageBreakBefore w:val="0"/>
        <w:widowControl w:val="0"/>
        <w:kinsoku/>
        <w:wordWrap/>
        <w:overflowPunct/>
        <w:topLinePunct w:val="0"/>
        <w:autoSpaceDE w:val="0"/>
        <w:autoSpaceDN w:val="0"/>
        <w:bidi w:val="0"/>
        <w:adjustRightInd/>
        <w:snapToGrid/>
        <w:spacing w:before="0"/>
        <w:ind w:left="320" w:right="0" w:firstLine="0"/>
        <w:jc w:val="both"/>
        <w:textAlignment w:val="auto"/>
        <w:rPr>
          <w:rFonts w:hint="eastAsia" w:ascii="楷体_GB2312" w:eastAsia="楷体_GB2312"/>
          <w:b/>
          <w:color w:val="auto"/>
          <w:sz w:val="36"/>
        </w:rPr>
      </w:pPr>
      <w:bookmarkStart w:id="12" w:name="_TOC_250037"/>
      <w:bookmarkEnd w:id="12"/>
      <w:r>
        <w:rPr>
          <w:rFonts w:hint="eastAsia" w:ascii="楷体_GB2312" w:eastAsia="楷体_GB2312"/>
          <w:b/>
          <w:color w:val="auto"/>
          <w:sz w:val="36"/>
        </w:rPr>
        <w:t>（三）外贸新业态税收政策</w:t>
      </w:r>
    </w:p>
    <w:p>
      <w:pPr>
        <w:pStyle w:val="12"/>
        <w:keepNext w:val="0"/>
        <w:keepLines w:val="0"/>
        <w:pageBreakBefore w:val="0"/>
        <w:widowControl w:val="0"/>
        <w:numPr>
          <w:ilvl w:val="0"/>
          <w:numId w:val="36"/>
        </w:numPr>
        <w:tabs>
          <w:tab w:val="left" w:pos="805"/>
        </w:tabs>
        <w:kinsoku/>
        <w:wordWrap/>
        <w:overflowPunct/>
        <w:topLinePunct w:val="0"/>
        <w:autoSpaceDE w:val="0"/>
        <w:autoSpaceDN w:val="0"/>
        <w:bidi w:val="0"/>
        <w:adjustRightInd/>
        <w:snapToGrid/>
        <w:spacing w:before="191" w:after="0" w:line="364" w:lineRule="auto"/>
        <w:ind w:left="320" w:right="535" w:firstLine="0"/>
        <w:jc w:val="both"/>
        <w:textAlignment w:val="auto"/>
        <w:rPr>
          <w:rFonts w:hint="eastAsia" w:ascii="宋体" w:eastAsia="宋体"/>
          <w:b/>
          <w:color w:val="auto"/>
          <w:sz w:val="32"/>
        </w:rPr>
      </w:pPr>
      <w:bookmarkStart w:id="13" w:name="_TOC_250036"/>
      <w:r>
        <w:rPr>
          <w:rFonts w:hint="eastAsia" w:ascii="宋体" w:eastAsia="宋体"/>
          <w:b/>
          <w:color w:val="auto"/>
          <w:spacing w:val="7"/>
          <w:w w:val="95"/>
          <w:sz w:val="32"/>
        </w:rPr>
        <w:t>跨境电子商务零售出口适用增值税、消费税退（免）</w:t>
      </w:r>
      <w:r>
        <w:rPr>
          <w:rFonts w:hint="eastAsia" w:ascii="宋体" w:eastAsia="宋体"/>
          <w:b/>
          <w:color w:val="auto"/>
          <w:w w:val="95"/>
          <w:sz w:val="32"/>
        </w:rPr>
        <w:t xml:space="preserve">税 </w:t>
      </w:r>
      <w:bookmarkEnd w:id="13"/>
      <w:r>
        <w:rPr>
          <w:rFonts w:hint="eastAsia" w:ascii="宋体" w:eastAsia="宋体"/>
          <w:b/>
          <w:color w:val="auto"/>
          <w:sz w:val="32"/>
        </w:rPr>
        <w:t>政策</w:t>
      </w:r>
    </w:p>
    <w:p>
      <w:pPr>
        <w:keepNext w:val="0"/>
        <w:keepLines w:val="0"/>
        <w:pageBreakBefore w:val="0"/>
        <w:widowControl w:val="0"/>
        <w:kinsoku/>
        <w:wordWrap/>
        <w:overflowPunct/>
        <w:topLinePunct w:val="0"/>
        <w:autoSpaceDE w:val="0"/>
        <w:autoSpaceDN w:val="0"/>
        <w:bidi w:val="0"/>
        <w:adjustRightInd/>
        <w:snapToGrid/>
        <w:spacing w:before="1"/>
        <w:ind w:left="320" w:right="0" w:firstLine="0"/>
        <w:jc w:val="both"/>
        <w:textAlignment w:val="auto"/>
        <w:rPr>
          <w:rFonts w:hint="eastAsia" w:ascii="宋体" w:eastAsia="宋体"/>
          <w:b/>
          <w:color w:val="auto"/>
          <w:sz w:val="32"/>
        </w:rPr>
      </w:pPr>
      <w:r>
        <w:rPr>
          <w:rFonts w:hint="eastAsia" w:ascii="宋体" w:eastAsia="宋体"/>
          <w:b/>
          <w:color w:val="auto"/>
          <w:sz w:val="32"/>
        </w:rPr>
        <w:t>【适用主体】</w:t>
      </w:r>
    </w:p>
    <w:p>
      <w:pPr>
        <w:pStyle w:val="4"/>
        <w:keepNext w:val="0"/>
        <w:keepLines w:val="0"/>
        <w:pageBreakBefore w:val="0"/>
        <w:widowControl w:val="0"/>
        <w:kinsoku/>
        <w:wordWrap/>
        <w:overflowPunct/>
        <w:topLinePunct w:val="0"/>
        <w:autoSpaceDE w:val="0"/>
        <w:autoSpaceDN w:val="0"/>
        <w:bidi w:val="0"/>
        <w:adjustRightInd/>
        <w:snapToGrid/>
        <w:ind w:left="960" w:firstLine="0"/>
        <w:jc w:val="both"/>
        <w:textAlignment w:val="auto"/>
        <w:rPr>
          <w:color w:val="auto"/>
        </w:rPr>
      </w:pPr>
      <w:r>
        <w:rPr>
          <w:color w:val="auto"/>
        </w:rPr>
        <w:t>符合条件的电子商务出口企业</w:t>
      </w:r>
    </w:p>
    <w:p>
      <w:pPr>
        <w:keepNext w:val="0"/>
        <w:keepLines w:val="0"/>
        <w:pageBreakBefore w:val="0"/>
        <w:widowControl w:val="0"/>
        <w:kinsoku/>
        <w:wordWrap/>
        <w:overflowPunct/>
        <w:topLinePunct w:val="0"/>
        <w:autoSpaceDE w:val="0"/>
        <w:autoSpaceDN w:val="0"/>
        <w:bidi w:val="0"/>
        <w:adjustRightInd/>
        <w:snapToGrid/>
        <w:spacing w:before="214"/>
        <w:ind w:left="320" w:right="0" w:firstLine="0"/>
        <w:jc w:val="both"/>
        <w:textAlignment w:val="auto"/>
        <w:rPr>
          <w:rFonts w:hint="eastAsia" w:ascii="宋体" w:eastAsia="宋体"/>
          <w:b/>
          <w:color w:val="auto"/>
          <w:sz w:val="32"/>
        </w:rPr>
      </w:pPr>
      <w:r>
        <w:rPr>
          <w:rFonts w:hint="eastAsia" w:ascii="宋体" w:eastAsia="宋体"/>
          <w:b/>
          <w:color w:val="auto"/>
          <w:sz w:val="32"/>
        </w:rPr>
        <w:t>【政策内容】</w:t>
      </w:r>
    </w:p>
    <w:p>
      <w:pPr>
        <w:pStyle w:val="4"/>
        <w:keepNext w:val="0"/>
        <w:keepLines w:val="0"/>
        <w:pageBreakBefore w:val="0"/>
        <w:widowControl w:val="0"/>
        <w:kinsoku/>
        <w:wordWrap/>
        <w:overflowPunct/>
        <w:topLinePunct w:val="0"/>
        <w:autoSpaceDE w:val="0"/>
        <w:autoSpaceDN w:val="0"/>
        <w:bidi w:val="0"/>
        <w:adjustRightInd/>
        <w:snapToGrid/>
        <w:spacing w:line="364" w:lineRule="auto"/>
        <w:ind w:right="540"/>
        <w:jc w:val="both"/>
        <w:textAlignment w:val="auto"/>
        <w:rPr>
          <w:color w:val="auto"/>
        </w:rPr>
      </w:pPr>
      <w:r>
        <w:rPr>
          <w:color w:val="auto"/>
          <w:spacing w:val="-42"/>
        </w:rPr>
        <w:t xml:space="preserve">自 </w:t>
      </w:r>
      <w:r>
        <w:rPr>
          <w:color w:val="auto"/>
        </w:rPr>
        <w:t>2014</w:t>
      </w:r>
      <w:r>
        <w:rPr>
          <w:color w:val="auto"/>
          <w:spacing w:val="-55"/>
        </w:rPr>
        <w:t xml:space="preserve"> 年 </w:t>
      </w:r>
      <w:r>
        <w:rPr>
          <w:color w:val="auto"/>
        </w:rPr>
        <w:t>1</w:t>
      </w:r>
      <w:r>
        <w:rPr>
          <w:color w:val="auto"/>
          <w:spacing w:val="-56"/>
        </w:rPr>
        <w:t xml:space="preserve"> 月 </w:t>
      </w:r>
      <w:r>
        <w:rPr>
          <w:color w:val="auto"/>
        </w:rPr>
        <w:t>1</w:t>
      </w:r>
      <w:r>
        <w:rPr>
          <w:color w:val="auto"/>
          <w:spacing w:val="-11"/>
        </w:rPr>
        <w:t xml:space="preserve"> 日起，电子商务出口企业出口货物[财</w:t>
      </w:r>
      <w:r>
        <w:rPr>
          <w:color w:val="auto"/>
          <w:spacing w:val="-5"/>
          <w:w w:val="95"/>
        </w:rPr>
        <w:t>政部、国家税务总局明确不予出口退</w:t>
      </w:r>
      <w:r>
        <w:rPr>
          <w:color w:val="auto"/>
          <w:w w:val="95"/>
        </w:rPr>
        <w:t>（免</w:t>
      </w:r>
      <w:r>
        <w:rPr>
          <w:color w:val="auto"/>
          <w:spacing w:val="-5"/>
          <w:w w:val="95"/>
        </w:rPr>
        <w:t>）</w:t>
      </w:r>
      <w:r>
        <w:rPr>
          <w:color w:val="auto"/>
          <w:w w:val="95"/>
        </w:rPr>
        <w:t>税或免税的货物</w:t>
      </w:r>
    </w:p>
    <w:p>
      <w:pPr>
        <w:pStyle w:val="4"/>
        <w:keepNext w:val="0"/>
        <w:keepLines w:val="0"/>
        <w:pageBreakBefore w:val="0"/>
        <w:widowControl w:val="0"/>
        <w:kinsoku/>
        <w:wordWrap/>
        <w:overflowPunct/>
        <w:topLinePunct w:val="0"/>
        <w:autoSpaceDE w:val="0"/>
        <w:autoSpaceDN w:val="0"/>
        <w:bidi w:val="0"/>
        <w:adjustRightInd/>
        <w:snapToGrid/>
        <w:spacing w:before="30" w:line="364" w:lineRule="auto"/>
        <w:ind w:right="334" w:firstLine="0"/>
        <w:jc w:val="both"/>
        <w:textAlignment w:val="auto"/>
        <w:rPr>
          <w:color w:val="auto"/>
        </w:rPr>
      </w:pPr>
      <w:r>
        <w:rPr>
          <w:color w:val="auto"/>
        </w:rPr>
        <w:t>除外]，同时符合相关条件的，适用增值税、消费税退（免） 税政策。</w:t>
      </w:r>
    </w:p>
    <w:p>
      <w:pPr>
        <w:keepNext w:val="0"/>
        <w:keepLines w:val="0"/>
        <w:pageBreakBefore w:val="0"/>
        <w:widowControl w:val="0"/>
        <w:kinsoku/>
        <w:wordWrap/>
        <w:overflowPunct/>
        <w:topLinePunct w:val="0"/>
        <w:autoSpaceDE w:val="0"/>
        <w:autoSpaceDN w:val="0"/>
        <w:bidi w:val="0"/>
        <w:adjustRightInd/>
        <w:snapToGrid/>
        <w:spacing w:before="1"/>
        <w:ind w:left="320" w:right="0" w:firstLine="0"/>
        <w:jc w:val="both"/>
        <w:textAlignment w:val="auto"/>
        <w:rPr>
          <w:rFonts w:hint="eastAsia" w:ascii="宋体" w:eastAsia="宋体"/>
          <w:b/>
          <w:color w:val="auto"/>
          <w:sz w:val="32"/>
        </w:rPr>
      </w:pPr>
      <w:r>
        <w:rPr>
          <w:rFonts w:hint="eastAsia" w:ascii="宋体" w:eastAsia="宋体"/>
          <w:b/>
          <w:color w:val="auto"/>
          <w:w w:val="95"/>
          <w:sz w:val="32"/>
        </w:rPr>
        <w:t>【适用条件】</w:t>
      </w:r>
    </w:p>
    <w:p>
      <w:pPr>
        <w:pStyle w:val="12"/>
        <w:keepNext w:val="0"/>
        <w:keepLines w:val="0"/>
        <w:pageBreakBefore w:val="0"/>
        <w:widowControl w:val="0"/>
        <w:numPr>
          <w:ilvl w:val="1"/>
          <w:numId w:val="36"/>
        </w:numPr>
        <w:tabs>
          <w:tab w:val="left" w:pos="1283"/>
        </w:tabs>
        <w:kinsoku/>
        <w:wordWrap/>
        <w:overflowPunct/>
        <w:topLinePunct w:val="0"/>
        <w:autoSpaceDE w:val="0"/>
        <w:autoSpaceDN w:val="0"/>
        <w:bidi w:val="0"/>
        <w:adjustRightInd/>
        <w:snapToGrid/>
        <w:spacing w:before="214" w:after="0" w:line="364" w:lineRule="auto"/>
        <w:ind w:left="320" w:right="540" w:firstLine="640"/>
        <w:jc w:val="both"/>
        <w:textAlignment w:val="auto"/>
        <w:rPr>
          <w:color w:val="auto"/>
          <w:sz w:val="32"/>
        </w:rPr>
      </w:pPr>
      <w:r>
        <w:rPr>
          <w:color w:val="auto"/>
          <w:spacing w:val="-2"/>
          <w:w w:val="95"/>
          <w:sz w:val="32"/>
        </w:rPr>
        <w:t xml:space="preserve">电子商务出口企业，是指自建跨境电子商务销售平台 </w:t>
      </w:r>
      <w:r>
        <w:rPr>
          <w:color w:val="auto"/>
          <w:spacing w:val="11"/>
          <w:w w:val="95"/>
          <w:sz w:val="32"/>
        </w:rPr>
        <w:t xml:space="preserve">的电子商务出口企业和利用第三方跨境电子商务平台开展 </w:t>
      </w:r>
      <w:r>
        <w:rPr>
          <w:color w:val="auto"/>
          <w:spacing w:val="11"/>
          <w:sz w:val="32"/>
        </w:rPr>
        <w:t>电子商务出口的企业。</w:t>
      </w:r>
    </w:p>
    <w:p>
      <w:pPr>
        <w:pStyle w:val="12"/>
        <w:keepNext w:val="0"/>
        <w:keepLines w:val="0"/>
        <w:pageBreakBefore w:val="0"/>
        <w:widowControl w:val="0"/>
        <w:numPr>
          <w:ilvl w:val="1"/>
          <w:numId w:val="36"/>
        </w:numPr>
        <w:tabs>
          <w:tab w:val="left" w:pos="1283"/>
        </w:tabs>
        <w:kinsoku/>
        <w:wordWrap/>
        <w:overflowPunct/>
        <w:topLinePunct w:val="0"/>
        <w:autoSpaceDE w:val="0"/>
        <w:autoSpaceDN w:val="0"/>
        <w:bidi w:val="0"/>
        <w:adjustRightInd/>
        <w:snapToGrid/>
        <w:spacing w:before="3" w:after="0" w:line="364" w:lineRule="auto"/>
        <w:ind w:left="320" w:right="537" w:firstLine="640"/>
        <w:jc w:val="both"/>
        <w:textAlignment w:val="auto"/>
        <w:rPr>
          <w:color w:val="auto"/>
          <w:sz w:val="32"/>
        </w:rPr>
      </w:pPr>
      <w:r>
        <w:rPr>
          <w:color w:val="auto"/>
          <w:spacing w:val="-2"/>
          <w:w w:val="95"/>
          <w:sz w:val="32"/>
        </w:rPr>
        <w:t>适用增值税、消费税退</w:t>
      </w:r>
      <w:r>
        <w:rPr>
          <w:color w:val="auto"/>
          <w:w w:val="95"/>
          <w:sz w:val="32"/>
        </w:rPr>
        <w:t>（免</w:t>
      </w:r>
      <w:r>
        <w:rPr>
          <w:color w:val="auto"/>
          <w:spacing w:val="-3"/>
          <w:w w:val="95"/>
          <w:sz w:val="32"/>
        </w:rPr>
        <w:t>）</w:t>
      </w:r>
      <w:r>
        <w:rPr>
          <w:color w:val="auto"/>
          <w:spacing w:val="-1"/>
          <w:w w:val="95"/>
          <w:sz w:val="32"/>
        </w:rPr>
        <w:t xml:space="preserve">税政策，须同时符合下 </w:t>
      </w:r>
      <w:r>
        <w:rPr>
          <w:color w:val="auto"/>
          <w:spacing w:val="-1"/>
          <w:sz w:val="32"/>
        </w:rPr>
        <w:t>列条件：</w:t>
      </w:r>
    </w:p>
    <w:p>
      <w:pPr>
        <w:pStyle w:val="12"/>
        <w:keepNext w:val="0"/>
        <w:keepLines w:val="0"/>
        <w:pageBreakBefore w:val="0"/>
        <w:widowControl w:val="0"/>
        <w:numPr>
          <w:ilvl w:val="0"/>
          <w:numId w:val="37"/>
        </w:numPr>
        <w:tabs>
          <w:tab w:val="left" w:pos="1780"/>
        </w:tabs>
        <w:kinsoku/>
        <w:wordWrap/>
        <w:overflowPunct/>
        <w:topLinePunct w:val="0"/>
        <w:autoSpaceDE w:val="0"/>
        <w:autoSpaceDN w:val="0"/>
        <w:bidi w:val="0"/>
        <w:adjustRightInd/>
        <w:snapToGrid/>
        <w:spacing w:before="1" w:after="0" w:line="364" w:lineRule="auto"/>
        <w:ind w:left="320" w:right="537" w:firstLine="640"/>
        <w:jc w:val="both"/>
        <w:textAlignment w:val="auto"/>
        <w:rPr>
          <w:color w:val="auto"/>
          <w:sz w:val="32"/>
        </w:rPr>
      </w:pPr>
      <w:r>
        <w:rPr>
          <w:color w:val="auto"/>
          <w:spacing w:val="6"/>
          <w:w w:val="95"/>
          <w:sz w:val="32"/>
        </w:rPr>
        <w:t xml:space="preserve">电子商务出口企业属于增值税一般纳税人并已向 </w:t>
      </w:r>
      <w:r>
        <w:rPr>
          <w:color w:val="auto"/>
          <w:spacing w:val="6"/>
          <w:sz w:val="32"/>
        </w:rPr>
        <w:t>主管税务机关办理出口退（免）税资格认定；</w:t>
      </w:r>
    </w:p>
    <w:p>
      <w:pPr>
        <w:pStyle w:val="12"/>
        <w:keepNext w:val="0"/>
        <w:keepLines w:val="0"/>
        <w:pageBreakBefore w:val="0"/>
        <w:widowControl w:val="0"/>
        <w:numPr>
          <w:ilvl w:val="0"/>
          <w:numId w:val="37"/>
        </w:numPr>
        <w:tabs>
          <w:tab w:val="left" w:pos="1799"/>
        </w:tabs>
        <w:kinsoku/>
        <w:wordWrap/>
        <w:overflowPunct/>
        <w:topLinePunct w:val="0"/>
        <w:autoSpaceDE w:val="0"/>
        <w:autoSpaceDN w:val="0"/>
        <w:bidi w:val="0"/>
        <w:adjustRightInd/>
        <w:snapToGrid/>
        <w:spacing w:before="2" w:after="0" w:line="364" w:lineRule="auto"/>
        <w:ind w:left="320" w:right="537" w:firstLine="640"/>
        <w:jc w:val="both"/>
        <w:textAlignment w:val="auto"/>
        <w:rPr>
          <w:color w:val="auto"/>
          <w:sz w:val="32"/>
        </w:rPr>
      </w:pPr>
      <w:r>
        <w:rPr>
          <w:color w:val="auto"/>
          <w:spacing w:val="11"/>
          <w:w w:val="95"/>
          <w:sz w:val="32"/>
        </w:rPr>
        <w:t xml:space="preserve">出口货物取得海关出口货物报关单(出口退税专 </w:t>
      </w:r>
      <w:r>
        <w:rPr>
          <w:color w:val="auto"/>
          <w:spacing w:val="11"/>
          <w:sz w:val="32"/>
        </w:rPr>
        <w:t>用)，且与海关出口货物报关单电子信息一致;</w:t>
      </w:r>
    </w:p>
    <w:p>
      <w:pPr>
        <w:pStyle w:val="12"/>
        <w:keepNext w:val="0"/>
        <w:keepLines w:val="0"/>
        <w:pageBreakBefore w:val="0"/>
        <w:widowControl w:val="0"/>
        <w:numPr>
          <w:ilvl w:val="0"/>
          <w:numId w:val="37"/>
        </w:numPr>
        <w:tabs>
          <w:tab w:val="left" w:pos="1761"/>
        </w:tabs>
        <w:kinsoku/>
        <w:wordWrap/>
        <w:overflowPunct/>
        <w:topLinePunct w:val="0"/>
        <w:autoSpaceDE w:val="0"/>
        <w:autoSpaceDN w:val="0"/>
        <w:bidi w:val="0"/>
        <w:adjustRightInd/>
        <w:snapToGrid/>
        <w:spacing w:before="2" w:after="0" w:line="240" w:lineRule="auto"/>
        <w:ind w:left="1760" w:right="0" w:hanging="801"/>
        <w:jc w:val="both"/>
        <w:textAlignment w:val="auto"/>
        <w:rPr>
          <w:color w:val="auto"/>
          <w:sz w:val="32"/>
        </w:rPr>
      </w:pPr>
      <w:r>
        <w:rPr>
          <w:color w:val="auto"/>
          <w:sz w:val="32"/>
        </w:rPr>
        <w:t>出口货物在退（免）税申报期截止之日内收汇;</w:t>
      </w:r>
    </w:p>
    <w:p>
      <w:pPr>
        <w:pStyle w:val="12"/>
        <w:keepNext w:val="0"/>
        <w:keepLines w:val="0"/>
        <w:pageBreakBefore w:val="0"/>
        <w:widowControl w:val="0"/>
        <w:numPr>
          <w:ilvl w:val="0"/>
          <w:numId w:val="37"/>
        </w:numPr>
        <w:tabs>
          <w:tab w:val="left" w:pos="1780"/>
        </w:tabs>
        <w:kinsoku/>
        <w:wordWrap/>
        <w:overflowPunct/>
        <w:topLinePunct w:val="0"/>
        <w:autoSpaceDE w:val="0"/>
        <w:autoSpaceDN w:val="0"/>
        <w:bidi w:val="0"/>
        <w:adjustRightInd/>
        <w:snapToGrid/>
        <w:spacing w:before="214" w:after="0" w:line="364" w:lineRule="auto"/>
        <w:ind w:left="320" w:right="379" w:firstLine="640"/>
        <w:jc w:val="both"/>
        <w:textAlignment w:val="auto"/>
        <w:rPr>
          <w:color w:val="auto"/>
          <w:sz w:val="32"/>
        </w:rPr>
      </w:pPr>
      <w:r>
        <w:rPr>
          <w:color w:val="auto"/>
          <w:spacing w:val="6"/>
          <w:sz w:val="32"/>
        </w:rPr>
        <w:t>电子商务出口企业属于外贸企业的，购进出口货</w:t>
      </w:r>
      <w:r>
        <w:rPr>
          <w:color w:val="auto"/>
          <w:spacing w:val="-5"/>
          <w:w w:val="95"/>
          <w:sz w:val="32"/>
        </w:rPr>
        <w:t>物取得相应的增值税专用发票、消费税专用缴款书</w:t>
      </w:r>
      <w:r>
        <w:rPr>
          <w:color w:val="auto"/>
          <w:w w:val="95"/>
          <w:sz w:val="32"/>
        </w:rPr>
        <w:t xml:space="preserve">（分割单） </w:t>
      </w:r>
      <w:r>
        <w:rPr>
          <w:color w:val="auto"/>
          <w:spacing w:val="-2"/>
          <w:sz w:val="32"/>
        </w:rPr>
        <w:t>或海关进口增值税、消费税专用缴款书，且上述凭证有关内容与出口货物报关单（出口退税专用）有关内容相匹配。</w:t>
      </w:r>
    </w:p>
    <w:p>
      <w:pPr>
        <w:keepNext w:val="0"/>
        <w:keepLines w:val="0"/>
        <w:pageBreakBefore w:val="0"/>
        <w:widowControl w:val="0"/>
        <w:kinsoku/>
        <w:wordWrap/>
        <w:overflowPunct/>
        <w:topLinePunct w:val="0"/>
        <w:autoSpaceDE w:val="0"/>
        <w:autoSpaceDN w:val="0"/>
        <w:bidi w:val="0"/>
        <w:adjustRightInd/>
        <w:snapToGrid/>
        <w:spacing w:before="3"/>
        <w:ind w:left="320" w:right="0" w:firstLine="0"/>
        <w:jc w:val="both"/>
        <w:textAlignment w:val="auto"/>
        <w:rPr>
          <w:rFonts w:hint="eastAsia" w:ascii="宋体" w:eastAsia="宋体"/>
          <w:b/>
          <w:color w:val="auto"/>
          <w:sz w:val="32"/>
        </w:rPr>
      </w:pPr>
      <w:r>
        <w:rPr>
          <w:rFonts w:hint="eastAsia" w:ascii="宋体" w:eastAsia="宋体"/>
          <w:b/>
          <w:color w:val="auto"/>
          <w:sz w:val="32"/>
        </w:rPr>
        <w:t>【政策依据】</w:t>
      </w:r>
    </w:p>
    <w:p>
      <w:pPr>
        <w:pStyle w:val="4"/>
        <w:keepNext w:val="0"/>
        <w:keepLines w:val="0"/>
        <w:pageBreakBefore w:val="0"/>
        <w:widowControl w:val="0"/>
        <w:kinsoku/>
        <w:wordWrap/>
        <w:overflowPunct/>
        <w:topLinePunct w:val="0"/>
        <w:autoSpaceDE w:val="0"/>
        <w:autoSpaceDN w:val="0"/>
        <w:bidi w:val="0"/>
        <w:adjustRightInd/>
        <w:snapToGrid/>
        <w:spacing w:before="236" w:line="326" w:lineRule="auto"/>
        <w:ind w:right="537"/>
        <w:jc w:val="both"/>
        <w:textAlignment w:val="auto"/>
        <w:rPr>
          <w:rFonts w:hint="eastAsia" w:ascii="黑体" w:eastAsia="黑体"/>
          <w:color w:val="auto"/>
        </w:rPr>
      </w:pPr>
      <w:r>
        <w:rPr>
          <w:rFonts w:hint="eastAsia" w:ascii="黑体" w:eastAsia="黑体"/>
          <w:color w:val="auto"/>
          <w:spacing w:val="1"/>
        </w:rPr>
        <w:t>《财政部 国家税务总局关于跨境电子商务零售出口税</w:t>
      </w:r>
      <w:r>
        <w:rPr>
          <w:rFonts w:hint="eastAsia" w:ascii="黑体" w:eastAsia="黑体"/>
          <w:color w:val="auto"/>
          <w:spacing w:val="-4"/>
        </w:rPr>
        <w:t>收政策的通知》</w:t>
      </w:r>
      <w:r>
        <w:rPr>
          <w:rFonts w:hint="eastAsia" w:ascii="黑体" w:eastAsia="黑体"/>
          <w:color w:val="auto"/>
        </w:rPr>
        <w:t>（</w:t>
      </w:r>
      <w:r>
        <w:rPr>
          <w:rFonts w:hint="eastAsia" w:ascii="黑体" w:eastAsia="黑体"/>
          <w:color w:val="auto"/>
          <w:spacing w:val="-4"/>
        </w:rPr>
        <w:t>财税〔</w:t>
      </w:r>
      <w:r>
        <w:rPr>
          <w:rFonts w:hint="eastAsia" w:ascii="黑体" w:eastAsia="黑体"/>
          <w:color w:val="auto"/>
        </w:rPr>
        <w:t>2013</w:t>
      </w:r>
      <w:r>
        <w:rPr>
          <w:rFonts w:hint="eastAsia" w:ascii="黑体" w:eastAsia="黑体"/>
          <w:color w:val="auto"/>
          <w:spacing w:val="-17"/>
        </w:rPr>
        <w:t>〕</w:t>
      </w:r>
      <w:r>
        <w:rPr>
          <w:rFonts w:hint="eastAsia" w:ascii="黑体" w:eastAsia="黑体"/>
          <w:color w:val="auto"/>
        </w:rPr>
        <w:t>96</w:t>
      </w:r>
      <w:r>
        <w:rPr>
          <w:rFonts w:hint="eastAsia" w:ascii="黑体" w:eastAsia="黑体"/>
          <w:color w:val="auto"/>
          <w:spacing w:val="-47"/>
        </w:rPr>
        <w:t xml:space="preserve"> 号</w:t>
      </w:r>
      <w:r>
        <w:rPr>
          <w:rFonts w:hint="eastAsia" w:ascii="黑体" w:eastAsia="黑体"/>
          <w:color w:val="auto"/>
          <w:spacing w:val="-15"/>
        </w:rPr>
        <w:t>）</w:t>
      </w:r>
      <w:r>
        <w:rPr>
          <w:rFonts w:hint="eastAsia" w:ascii="黑体" w:eastAsia="黑体"/>
          <w:color w:val="auto"/>
          <w:spacing w:val="-4"/>
        </w:rPr>
        <w:t>第一条、第三至六条</w:t>
      </w:r>
    </w:p>
    <w:p>
      <w:pPr>
        <w:pStyle w:val="12"/>
        <w:keepNext w:val="0"/>
        <w:keepLines w:val="0"/>
        <w:pageBreakBefore w:val="0"/>
        <w:widowControl w:val="0"/>
        <w:numPr>
          <w:ilvl w:val="0"/>
          <w:numId w:val="36"/>
        </w:numPr>
        <w:tabs>
          <w:tab w:val="left" w:pos="805"/>
        </w:tabs>
        <w:kinsoku/>
        <w:wordWrap/>
        <w:overflowPunct/>
        <w:topLinePunct w:val="0"/>
        <w:autoSpaceDE w:val="0"/>
        <w:autoSpaceDN w:val="0"/>
        <w:bidi w:val="0"/>
        <w:adjustRightInd/>
        <w:snapToGrid/>
        <w:spacing w:before="0" w:after="0" w:line="240" w:lineRule="auto"/>
        <w:ind w:left="804" w:right="0" w:hanging="485"/>
        <w:jc w:val="both"/>
        <w:textAlignment w:val="auto"/>
        <w:rPr>
          <w:rFonts w:hint="eastAsia" w:ascii="宋体" w:eastAsia="宋体"/>
          <w:b/>
          <w:color w:val="auto"/>
          <w:sz w:val="32"/>
        </w:rPr>
      </w:pPr>
      <w:bookmarkStart w:id="14" w:name="_TOC_250035"/>
      <w:bookmarkEnd w:id="14"/>
      <w:r>
        <w:rPr>
          <w:rFonts w:hint="eastAsia" w:ascii="宋体" w:eastAsia="宋体"/>
          <w:b/>
          <w:color w:val="auto"/>
          <w:sz w:val="32"/>
        </w:rPr>
        <w:t>跨境电子商务零售出口免征增值税、消费税</w:t>
      </w:r>
    </w:p>
    <w:p>
      <w:pPr>
        <w:keepNext w:val="0"/>
        <w:keepLines w:val="0"/>
        <w:pageBreakBefore w:val="0"/>
        <w:widowControl w:val="0"/>
        <w:kinsoku/>
        <w:wordWrap/>
        <w:overflowPunct/>
        <w:topLinePunct w:val="0"/>
        <w:autoSpaceDE w:val="0"/>
        <w:autoSpaceDN w:val="0"/>
        <w:bidi w:val="0"/>
        <w:adjustRightInd/>
        <w:snapToGrid/>
        <w:spacing w:before="30"/>
        <w:ind w:left="320" w:right="0" w:firstLine="0"/>
        <w:jc w:val="both"/>
        <w:textAlignment w:val="auto"/>
        <w:rPr>
          <w:rFonts w:hint="eastAsia" w:ascii="宋体" w:eastAsia="宋体"/>
          <w:b/>
          <w:color w:val="auto"/>
          <w:sz w:val="32"/>
        </w:rPr>
      </w:pPr>
      <w:r>
        <w:rPr>
          <w:rFonts w:hint="eastAsia" w:ascii="宋体" w:eastAsia="宋体"/>
          <w:b/>
          <w:color w:val="auto"/>
          <w:sz w:val="32"/>
        </w:rPr>
        <w:t>【适用主体】</w:t>
      </w:r>
    </w:p>
    <w:p>
      <w:pPr>
        <w:pStyle w:val="4"/>
        <w:keepNext w:val="0"/>
        <w:keepLines w:val="0"/>
        <w:pageBreakBefore w:val="0"/>
        <w:widowControl w:val="0"/>
        <w:kinsoku/>
        <w:wordWrap/>
        <w:overflowPunct/>
        <w:topLinePunct w:val="0"/>
        <w:autoSpaceDE w:val="0"/>
        <w:autoSpaceDN w:val="0"/>
        <w:bidi w:val="0"/>
        <w:adjustRightInd/>
        <w:snapToGrid/>
        <w:ind w:left="960" w:firstLine="0"/>
        <w:jc w:val="both"/>
        <w:textAlignment w:val="auto"/>
        <w:rPr>
          <w:color w:val="auto"/>
        </w:rPr>
      </w:pPr>
      <w:r>
        <w:rPr>
          <w:color w:val="auto"/>
        </w:rPr>
        <w:t>符合条件的电子商务出口企业</w:t>
      </w:r>
    </w:p>
    <w:p>
      <w:pPr>
        <w:keepNext w:val="0"/>
        <w:keepLines w:val="0"/>
        <w:pageBreakBefore w:val="0"/>
        <w:widowControl w:val="0"/>
        <w:kinsoku/>
        <w:wordWrap/>
        <w:overflowPunct/>
        <w:topLinePunct w:val="0"/>
        <w:autoSpaceDE w:val="0"/>
        <w:autoSpaceDN w:val="0"/>
        <w:bidi w:val="0"/>
        <w:adjustRightInd/>
        <w:snapToGrid/>
        <w:spacing w:before="214"/>
        <w:ind w:left="320" w:right="0" w:firstLine="0"/>
        <w:jc w:val="both"/>
        <w:textAlignment w:val="auto"/>
        <w:rPr>
          <w:rFonts w:hint="eastAsia" w:ascii="宋体" w:eastAsia="宋体"/>
          <w:b/>
          <w:color w:val="auto"/>
          <w:sz w:val="32"/>
        </w:rPr>
      </w:pPr>
      <w:r>
        <w:rPr>
          <w:rFonts w:hint="eastAsia" w:ascii="宋体" w:eastAsia="宋体"/>
          <w:b/>
          <w:color w:val="auto"/>
          <w:sz w:val="32"/>
        </w:rPr>
        <w:t>【政策内容】</w:t>
      </w:r>
    </w:p>
    <w:p>
      <w:pPr>
        <w:pStyle w:val="4"/>
        <w:keepNext w:val="0"/>
        <w:keepLines w:val="0"/>
        <w:pageBreakBefore w:val="0"/>
        <w:widowControl w:val="0"/>
        <w:kinsoku/>
        <w:wordWrap/>
        <w:overflowPunct/>
        <w:topLinePunct w:val="0"/>
        <w:autoSpaceDE w:val="0"/>
        <w:autoSpaceDN w:val="0"/>
        <w:bidi w:val="0"/>
        <w:adjustRightInd/>
        <w:snapToGrid/>
        <w:spacing w:line="364" w:lineRule="auto"/>
        <w:ind w:right="535"/>
        <w:jc w:val="both"/>
        <w:textAlignment w:val="auto"/>
        <w:rPr>
          <w:color w:val="auto"/>
        </w:rPr>
      </w:pPr>
      <w:r>
        <w:rPr>
          <w:color w:val="auto"/>
          <w:spacing w:val="-42"/>
        </w:rPr>
        <w:t xml:space="preserve">自 </w:t>
      </w:r>
      <w:r>
        <w:rPr>
          <w:color w:val="auto"/>
        </w:rPr>
        <w:t>2014</w:t>
      </w:r>
      <w:r>
        <w:rPr>
          <w:color w:val="auto"/>
          <w:spacing w:val="-55"/>
        </w:rPr>
        <w:t xml:space="preserve"> 年 </w:t>
      </w:r>
      <w:r>
        <w:rPr>
          <w:color w:val="auto"/>
        </w:rPr>
        <w:t>1</w:t>
      </w:r>
      <w:r>
        <w:rPr>
          <w:color w:val="auto"/>
          <w:spacing w:val="-55"/>
        </w:rPr>
        <w:t xml:space="preserve"> 月 </w:t>
      </w:r>
      <w:r>
        <w:rPr>
          <w:color w:val="auto"/>
        </w:rPr>
        <w:t>1</w:t>
      </w:r>
      <w:r>
        <w:rPr>
          <w:color w:val="auto"/>
          <w:spacing w:val="-19"/>
        </w:rPr>
        <w:t xml:space="preserve"> 日起，电子商务出口企业出口货物</w:t>
      </w:r>
      <w:r>
        <w:rPr>
          <w:color w:val="auto"/>
        </w:rPr>
        <w:t>（财</w:t>
      </w:r>
      <w:r>
        <w:rPr>
          <w:color w:val="auto"/>
          <w:spacing w:val="-3"/>
        </w:rPr>
        <w:t>政部、国家税务总局明确不予出口退</w:t>
      </w:r>
      <w:r>
        <w:rPr>
          <w:color w:val="auto"/>
        </w:rPr>
        <w:t>（免</w:t>
      </w:r>
      <w:r>
        <w:rPr>
          <w:color w:val="auto"/>
          <w:spacing w:val="-5"/>
        </w:rPr>
        <w:t>）</w:t>
      </w:r>
      <w:r>
        <w:rPr>
          <w:color w:val="auto"/>
        </w:rPr>
        <w:t>税或免税的货物除外</w:t>
      </w:r>
      <w:r>
        <w:rPr>
          <w:color w:val="auto"/>
          <w:spacing w:val="-3"/>
        </w:rPr>
        <w:t>），</w:t>
      </w:r>
      <w:r>
        <w:rPr>
          <w:color w:val="auto"/>
          <w:spacing w:val="-1"/>
        </w:rPr>
        <w:t>如不符合增值税、消费税退</w:t>
      </w:r>
      <w:r>
        <w:rPr>
          <w:color w:val="auto"/>
        </w:rPr>
        <w:t>（免）</w:t>
      </w:r>
      <w:r>
        <w:rPr>
          <w:color w:val="auto"/>
          <w:spacing w:val="-1"/>
        </w:rPr>
        <w:t>税政策条件，但同时符合相关条件的，适用增值税、消费税免税政策。</w:t>
      </w:r>
    </w:p>
    <w:p>
      <w:pPr>
        <w:keepNext w:val="0"/>
        <w:keepLines w:val="0"/>
        <w:pageBreakBefore w:val="0"/>
        <w:widowControl w:val="0"/>
        <w:kinsoku/>
        <w:wordWrap/>
        <w:overflowPunct/>
        <w:topLinePunct w:val="0"/>
        <w:autoSpaceDE w:val="0"/>
        <w:autoSpaceDN w:val="0"/>
        <w:bidi w:val="0"/>
        <w:adjustRightInd/>
        <w:snapToGrid/>
        <w:spacing w:before="3"/>
        <w:ind w:left="320" w:right="0" w:firstLine="0"/>
        <w:jc w:val="both"/>
        <w:textAlignment w:val="auto"/>
        <w:rPr>
          <w:rFonts w:hint="eastAsia" w:ascii="宋体" w:eastAsia="宋体"/>
          <w:b/>
          <w:color w:val="auto"/>
          <w:sz w:val="32"/>
        </w:rPr>
      </w:pPr>
      <w:r>
        <w:rPr>
          <w:rFonts w:hint="eastAsia" w:ascii="宋体" w:eastAsia="宋体"/>
          <w:b/>
          <w:color w:val="auto"/>
          <w:w w:val="95"/>
          <w:sz w:val="32"/>
        </w:rPr>
        <w:t>【适用条件】</w:t>
      </w:r>
    </w:p>
    <w:p>
      <w:pPr>
        <w:pStyle w:val="12"/>
        <w:keepNext w:val="0"/>
        <w:keepLines w:val="0"/>
        <w:pageBreakBefore w:val="0"/>
        <w:widowControl w:val="0"/>
        <w:numPr>
          <w:ilvl w:val="1"/>
          <w:numId w:val="36"/>
        </w:numPr>
        <w:tabs>
          <w:tab w:val="left" w:pos="1283"/>
        </w:tabs>
        <w:kinsoku/>
        <w:wordWrap/>
        <w:overflowPunct/>
        <w:topLinePunct w:val="0"/>
        <w:autoSpaceDE w:val="0"/>
        <w:autoSpaceDN w:val="0"/>
        <w:bidi w:val="0"/>
        <w:adjustRightInd/>
        <w:snapToGrid/>
        <w:spacing w:before="214" w:after="0" w:line="364" w:lineRule="auto"/>
        <w:ind w:left="320" w:right="540" w:firstLine="640"/>
        <w:jc w:val="both"/>
        <w:textAlignment w:val="auto"/>
        <w:rPr>
          <w:color w:val="auto"/>
          <w:sz w:val="32"/>
        </w:rPr>
      </w:pPr>
      <w:r>
        <w:rPr>
          <w:color w:val="auto"/>
          <w:spacing w:val="-2"/>
          <w:w w:val="95"/>
          <w:sz w:val="32"/>
        </w:rPr>
        <w:t xml:space="preserve">电子商务出口企业，是指自建跨境电子商务销售平台 </w:t>
      </w:r>
      <w:r>
        <w:rPr>
          <w:color w:val="auto"/>
          <w:spacing w:val="11"/>
          <w:w w:val="95"/>
          <w:sz w:val="32"/>
        </w:rPr>
        <w:t xml:space="preserve">的电子商务出口企业和利用第三方跨境电子商务平台开展 </w:t>
      </w:r>
      <w:r>
        <w:rPr>
          <w:color w:val="auto"/>
          <w:spacing w:val="11"/>
          <w:sz w:val="32"/>
        </w:rPr>
        <w:t>电子商务出口的企业。</w:t>
      </w:r>
    </w:p>
    <w:p>
      <w:pPr>
        <w:pStyle w:val="12"/>
        <w:keepNext w:val="0"/>
        <w:keepLines w:val="0"/>
        <w:pageBreakBefore w:val="0"/>
        <w:widowControl w:val="0"/>
        <w:numPr>
          <w:ilvl w:val="1"/>
          <w:numId w:val="36"/>
        </w:numPr>
        <w:tabs>
          <w:tab w:val="left" w:pos="1283"/>
        </w:tabs>
        <w:kinsoku/>
        <w:wordWrap/>
        <w:overflowPunct/>
        <w:topLinePunct w:val="0"/>
        <w:autoSpaceDE w:val="0"/>
        <w:autoSpaceDN w:val="0"/>
        <w:bidi w:val="0"/>
        <w:adjustRightInd/>
        <w:snapToGrid/>
        <w:spacing w:before="2" w:after="0" w:line="240" w:lineRule="auto"/>
        <w:ind w:left="1282" w:right="0" w:hanging="323"/>
        <w:jc w:val="both"/>
        <w:textAlignment w:val="auto"/>
        <w:rPr>
          <w:color w:val="auto"/>
          <w:sz w:val="32"/>
        </w:rPr>
      </w:pPr>
      <w:r>
        <w:rPr>
          <w:color w:val="auto"/>
          <w:spacing w:val="-15"/>
          <w:sz w:val="32"/>
        </w:rPr>
        <w:t>适用增值税、消费税免税政策，须同时符合下列条件：</w:t>
      </w:r>
    </w:p>
    <w:p>
      <w:pPr>
        <w:pStyle w:val="12"/>
        <w:keepNext w:val="0"/>
        <w:keepLines w:val="0"/>
        <w:pageBreakBefore w:val="0"/>
        <w:widowControl w:val="0"/>
        <w:numPr>
          <w:ilvl w:val="0"/>
          <w:numId w:val="38"/>
        </w:numPr>
        <w:tabs>
          <w:tab w:val="left" w:pos="1761"/>
        </w:tabs>
        <w:kinsoku/>
        <w:wordWrap/>
        <w:overflowPunct/>
        <w:topLinePunct w:val="0"/>
        <w:autoSpaceDE w:val="0"/>
        <w:autoSpaceDN w:val="0"/>
        <w:bidi w:val="0"/>
        <w:adjustRightInd/>
        <w:snapToGrid/>
        <w:spacing w:before="214" w:after="0" w:line="240" w:lineRule="auto"/>
        <w:ind w:left="1760" w:right="0" w:hanging="801"/>
        <w:jc w:val="both"/>
        <w:textAlignment w:val="auto"/>
        <w:rPr>
          <w:color w:val="auto"/>
          <w:sz w:val="32"/>
        </w:rPr>
      </w:pPr>
      <w:r>
        <w:rPr>
          <w:color w:val="auto"/>
          <w:sz w:val="32"/>
        </w:rPr>
        <w:t>电子商务出口企业已办理税务登记;</w:t>
      </w:r>
    </w:p>
    <w:p>
      <w:pPr>
        <w:pStyle w:val="12"/>
        <w:keepNext w:val="0"/>
        <w:keepLines w:val="0"/>
        <w:pageBreakBefore w:val="0"/>
        <w:widowControl w:val="0"/>
        <w:numPr>
          <w:ilvl w:val="0"/>
          <w:numId w:val="38"/>
        </w:numPr>
        <w:tabs>
          <w:tab w:val="left" w:pos="1761"/>
        </w:tabs>
        <w:kinsoku/>
        <w:wordWrap/>
        <w:overflowPunct/>
        <w:topLinePunct w:val="0"/>
        <w:autoSpaceDE w:val="0"/>
        <w:autoSpaceDN w:val="0"/>
        <w:bidi w:val="0"/>
        <w:adjustRightInd/>
        <w:snapToGrid/>
        <w:spacing w:before="214" w:after="0" w:line="240" w:lineRule="auto"/>
        <w:ind w:left="1760" w:right="0" w:hanging="801"/>
        <w:jc w:val="both"/>
        <w:textAlignment w:val="auto"/>
        <w:rPr>
          <w:color w:val="auto"/>
          <w:sz w:val="32"/>
        </w:rPr>
      </w:pPr>
      <w:r>
        <w:rPr>
          <w:color w:val="auto"/>
          <w:sz w:val="32"/>
        </w:rPr>
        <w:t>出口货物取得海关签发的出口货物报关单;</w:t>
      </w:r>
    </w:p>
    <w:p>
      <w:pPr>
        <w:pStyle w:val="12"/>
        <w:keepNext w:val="0"/>
        <w:keepLines w:val="0"/>
        <w:pageBreakBefore w:val="0"/>
        <w:widowControl w:val="0"/>
        <w:numPr>
          <w:ilvl w:val="0"/>
          <w:numId w:val="38"/>
        </w:numPr>
        <w:tabs>
          <w:tab w:val="left" w:pos="1761"/>
        </w:tabs>
        <w:kinsoku/>
        <w:wordWrap/>
        <w:overflowPunct/>
        <w:topLinePunct w:val="0"/>
        <w:autoSpaceDE w:val="0"/>
        <w:autoSpaceDN w:val="0"/>
        <w:bidi w:val="0"/>
        <w:adjustRightInd/>
        <w:snapToGrid/>
        <w:spacing w:before="214" w:after="0" w:line="240" w:lineRule="auto"/>
        <w:ind w:left="1760" w:right="0" w:hanging="801"/>
        <w:jc w:val="both"/>
        <w:textAlignment w:val="auto"/>
        <w:rPr>
          <w:color w:val="auto"/>
          <w:sz w:val="32"/>
        </w:rPr>
      </w:pPr>
      <w:r>
        <w:rPr>
          <w:color w:val="auto"/>
          <w:sz w:val="32"/>
        </w:rPr>
        <w:t>购进出口货物取得合法有效的进货凭证。</w:t>
      </w:r>
    </w:p>
    <w:p>
      <w:pPr>
        <w:keepNext w:val="0"/>
        <w:keepLines w:val="0"/>
        <w:pageBreakBefore w:val="0"/>
        <w:widowControl w:val="0"/>
        <w:kinsoku/>
        <w:wordWrap/>
        <w:overflowPunct/>
        <w:topLinePunct w:val="0"/>
        <w:autoSpaceDE w:val="0"/>
        <w:autoSpaceDN w:val="0"/>
        <w:bidi w:val="0"/>
        <w:adjustRightInd/>
        <w:snapToGrid/>
        <w:spacing w:before="214"/>
        <w:ind w:left="320" w:right="0" w:firstLine="0"/>
        <w:jc w:val="both"/>
        <w:textAlignment w:val="auto"/>
        <w:rPr>
          <w:rFonts w:hint="eastAsia" w:ascii="宋体" w:eastAsia="宋体"/>
          <w:b/>
          <w:color w:val="auto"/>
          <w:sz w:val="32"/>
        </w:rPr>
      </w:pPr>
      <w:r>
        <w:rPr>
          <w:rFonts w:hint="eastAsia" w:ascii="宋体" w:eastAsia="宋体"/>
          <w:b/>
          <w:color w:val="auto"/>
          <w:sz w:val="32"/>
        </w:rPr>
        <w:t>【政策依据】</w:t>
      </w:r>
    </w:p>
    <w:p>
      <w:pPr>
        <w:pStyle w:val="4"/>
        <w:keepNext w:val="0"/>
        <w:keepLines w:val="0"/>
        <w:pageBreakBefore w:val="0"/>
        <w:widowControl w:val="0"/>
        <w:kinsoku/>
        <w:wordWrap/>
        <w:overflowPunct/>
        <w:topLinePunct w:val="0"/>
        <w:autoSpaceDE w:val="0"/>
        <w:autoSpaceDN w:val="0"/>
        <w:bidi w:val="0"/>
        <w:adjustRightInd/>
        <w:snapToGrid/>
        <w:spacing w:before="236" w:line="326" w:lineRule="auto"/>
        <w:ind w:right="537"/>
        <w:jc w:val="both"/>
        <w:textAlignment w:val="auto"/>
        <w:rPr>
          <w:rFonts w:hint="eastAsia" w:ascii="黑体" w:eastAsia="黑体"/>
          <w:color w:val="auto"/>
        </w:rPr>
      </w:pPr>
      <w:r>
        <w:rPr>
          <w:rFonts w:hint="eastAsia" w:ascii="黑体" w:eastAsia="黑体"/>
          <w:color w:val="auto"/>
        </w:rPr>
        <w:t>《财政部 国家税务总局关于跨境电子商务零售出口税收政策的通知》（财税〔2013〕96 号）第二至六条</w:t>
      </w:r>
    </w:p>
    <w:p>
      <w:pPr>
        <w:pStyle w:val="4"/>
        <w:keepNext w:val="0"/>
        <w:keepLines w:val="0"/>
        <w:pageBreakBefore w:val="0"/>
        <w:widowControl w:val="0"/>
        <w:kinsoku/>
        <w:wordWrap/>
        <w:overflowPunct/>
        <w:topLinePunct w:val="0"/>
        <w:autoSpaceDE w:val="0"/>
        <w:autoSpaceDN w:val="0"/>
        <w:bidi w:val="0"/>
        <w:adjustRightInd/>
        <w:snapToGrid/>
        <w:spacing w:before="5"/>
        <w:ind w:left="0" w:firstLine="0"/>
        <w:jc w:val="both"/>
        <w:textAlignment w:val="auto"/>
        <w:rPr>
          <w:rFonts w:ascii="黑体"/>
          <w:color w:val="auto"/>
          <w:sz w:val="42"/>
        </w:rPr>
      </w:pPr>
    </w:p>
    <w:p>
      <w:pPr>
        <w:pStyle w:val="12"/>
        <w:keepNext w:val="0"/>
        <w:keepLines w:val="0"/>
        <w:pageBreakBefore w:val="0"/>
        <w:widowControl w:val="0"/>
        <w:numPr>
          <w:ilvl w:val="0"/>
          <w:numId w:val="36"/>
        </w:numPr>
        <w:tabs>
          <w:tab w:val="left" w:pos="805"/>
        </w:tabs>
        <w:kinsoku/>
        <w:wordWrap/>
        <w:overflowPunct/>
        <w:topLinePunct w:val="0"/>
        <w:autoSpaceDE w:val="0"/>
        <w:autoSpaceDN w:val="0"/>
        <w:bidi w:val="0"/>
        <w:adjustRightInd/>
        <w:snapToGrid/>
        <w:spacing w:before="0" w:after="0" w:line="240" w:lineRule="auto"/>
        <w:ind w:left="804" w:right="0" w:hanging="485"/>
        <w:jc w:val="both"/>
        <w:textAlignment w:val="auto"/>
        <w:rPr>
          <w:rFonts w:hint="eastAsia" w:ascii="宋体" w:eastAsia="宋体"/>
          <w:b/>
          <w:color w:val="auto"/>
          <w:sz w:val="32"/>
        </w:rPr>
      </w:pPr>
      <w:bookmarkStart w:id="15" w:name="_TOC_250034"/>
      <w:bookmarkEnd w:id="15"/>
      <w:r>
        <w:rPr>
          <w:rFonts w:hint="eastAsia" w:ascii="宋体" w:eastAsia="宋体"/>
          <w:b/>
          <w:color w:val="auto"/>
          <w:sz w:val="32"/>
        </w:rPr>
        <w:t>跨境电子商务综试区零售出口无票免税政策</w:t>
      </w:r>
    </w:p>
    <w:p>
      <w:pPr>
        <w:keepNext w:val="0"/>
        <w:keepLines w:val="0"/>
        <w:pageBreakBefore w:val="0"/>
        <w:widowControl w:val="0"/>
        <w:kinsoku/>
        <w:wordWrap/>
        <w:overflowPunct/>
        <w:topLinePunct w:val="0"/>
        <w:autoSpaceDE w:val="0"/>
        <w:autoSpaceDN w:val="0"/>
        <w:bidi w:val="0"/>
        <w:adjustRightInd/>
        <w:snapToGrid/>
        <w:spacing w:before="214"/>
        <w:ind w:left="320" w:right="0" w:firstLine="0"/>
        <w:jc w:val="both"/>
        <w:textAlignment w:val="auto"/>
        <w:rPr>
          <w:rFonts w:hint="eastAsia" w:ascii="宋体" w:eastAsia="宋体"/>
          <w:b/>
          <w:color w:val="auto"/>
          <w:sz w:val="32"/>
        </w:rPr>
      </w:pPr>
      <w:r>
        <w:rPr>
          <w:rFonts w:hint="eastAsia" w:ascii="宋体" w:eastAsia="宋体"/>
          <w:b/>
          <w:color w:val="auto"/>
          <w:sz w:val="32"/>
        </w:rPr>
        <w:t>【适用主体】</w:t>
      </w:r>
    </w:p>
    <w:p>
      <w:pPr>
        <w:pStyle w:val="4"/>
        <w:keepNext w:val="0"/>
        <w:keepLines w:val="0"/>
        <w:pageBreakBefore w:val="0"/>
        <w:widowControl w:val="0"/>
        <w:kinsoku/>
        <w:wordWrap/>
        <w:overflowPunct/>
        <w:topLinePunct w:val="0"/>
        <w:autoSpaceDE w:val="0"/>
        <w:autoSpaceDN w:val="0"/>
        <w:bidi w:val="0"/>
        <w:adjustRightInd/>
        <w:snapToGrid/>
        <w:ind w:left="960" w:firstLine="0"/>
        <w:jc w:val="both"/>
        <w:textAlignment w:val="auto"/>
        <w:rPr>
          <w:color w:val="auto"/>
        </w:rPr>
      </w:pPr>
      <w:r>
        <w:rPr>
          <w:color w:val="auto"/>
        </w:rPr>
        <w:t>符合条件的电子商务出口企业</w:t>
      </w:r>
    </w:p>
    <w:p>
      <w:pPr>
        <w:keepNext w:val="0"/>
        <w:keepLines w:val="0"/>
        <w:pageBreakBefore w:val="0"/>
        <w:widowControl w:val="0"/>
        <w:kinsoku/>
        <w:wordWrap/>
        <w:overflowPunct/>
        <w:topLinePunct w:val="0"/>
        <w:autoSpaceDE w:val="0"/>
        <w:autoSpaceDN w:val="0"/>
        <w:bidi w:val="0"/>
        <w:adjustRightInd/>
        <w:snapToGrid/>
        <w:spacing w:before="30"/>
        <w:ind w:left="320" w:right="0" w:firstLine="0"/>
        <w:jc w:val="both"/>
        <w:textAlignment w:val="auto"/>
        <w:rPr>
          <w:rFonts w:hint="eastAsia" w:ascii="宋体" w:eastAsia="宋体"/>
          <w:b/>
          <w:color w:val="auto"/>
          <w:sz w:val="32"/>
        </w:rPr>
      </w:pPr>
      <w:r>
        <w:rPr>
          <w:rFonts w:hint="eastAsia" w:ascii="宋体" w:eastAsia="宋体"/>
          <w:b/>
          <w:color w:val="auto"/>
          <w:sz w:val="32"/>
        </w:rPr>
        <w:t>【政策内容】</w:t>
      </w:r>
    </w:p>
    <w:p>
      <w:pPr>
        <w:pStyle w:val="4"/>
        <w:keepNext w:val="0"/>
        <w:keepLines w:val="0"/>
        <w:pageBreakBefore w:val="0"/>
        <w:widowControl w:val="0"/>
        <w:kinsoku/>
        <w:wordWrap/>
        <w:overflowPunct/>
        <w:topLinePunct w:val="0"/>
        <w:autoSpaceDE w:val="0"/>
        <w:autoSpaceDN w:val="0"/>
        <w:bidi w:val="0"/>
        <w:adjustRightInd/>
        <w:snapToGrid/>
        <w:spacing w:line="364" w:lineRule="auto"/>
        <w:ind w:right="535"/>
        <w:jc w:val="both"/>
        <w:textAlignment w:val="auto"/>
        <w:rPr>
          <w:color w:val="auto"/>
        </w:rPr>
      </w:pPr>
      <w:r>
        <w:rPr>
          <w:color w:val="auto"/>
          <w:spacing w:val="-43"/>
        </w:rPr>
        <w:t xml:space="preserve">自 </w:t>
      </w:r>
      <w:r>
        <w:rPr>
          <w:color w:val="auto"/>
        </w:rPr>
        <w:t>2018</w:t>
      </w:r>
      <w:r>
        <w:rPr>
          <w:color w:val="auto"/>
          <w:spacing w:val="-56"/>
        </w:rPr>
        <w:t xml:space="preserve"> 年 </w:t>
      </w:r>
      <w:r>
        <w:rPr>
          <w:color w:val="auto"/>
        </w:rPr>
        <w:t>10</w:t>
      </w:r>
      <w:r>
        <w:rPr>
          <w:color w:val="auto"/>
          <w:spacing w:val="-56"/>
        </w:rPr>
        <w:t xml:space="preserve"> 月 </w:t>
      </w:r>
      <w:r>
        <w:rPr>
          <w:color w:val="auto"/>
        </w:rPr>
        <w:t>1</w:t>
      </w:r>
      <w:r>
        <w:rPr>
          <w:color w:val="auto"/>
          <w:spacing w:val="-29"/>
        </w:rPr>
        <w:t xml:space="preserve"> 日起，对跨境电子商务综合试验区</w:t>
      </w:r>
      <w:r>
        <w:rPr>
          <w:color w:val="auto"/>
        </w:rPr>
        <w:t>（以下简称综试区</w:t>
      </w:r>
      <w:r>
        <w:rPr>
          <w:color w:val="auto"/>
          <w:spacing w:val="-15"/>
        </w:rPr>
        <w:t>）</w:t>
      </w:r>
      <w:r>
        <w:rPr>
          <w:color w:val="auto"/>
        </w:rPr>
        <w:t>内电子商务出口企业出口未取得有效进货凭</w:t>
      </w:r>
      <w:r>
        <w:rPr>
          <w:color w:val="auto"/>
          <w:spacing w:val="-3"/>
        </w:rPr>
        <w:t>证的货物，同时符合相关条件的，试行增值税、消费税免税政策。</w:t>
      </w:r>
    </w:p>
    <w:p>
      <w:pPr>
        <w:keepNext w:val="0"/>
        <w:keepLines w:val="0"/>
        <w:pageBreakBefore w:val="0"/>
        <w:widowControl w:val="0"/>
        <w:kinsoku/>
        <w:wordWrap/>
        <w:overflowPunct/>
        <w:topLinePunct w:val="0"/>
        <w:autoSpaceDE w:val="0"/>
        <w:autoSpaceDN w:val="0"/>
        <w:bidi w:val="0"/>
        <w:adjustRightInd/>
        <w:snapToGrid/>
        <w:spacing w:before="3"/>
        <w:ind w:left="320" w:right="0" w:firstLine="0"/>
        <w:jc w:val="both"/>
        <w:textAlignment w:val="auto"/>
        <w:rPr>
          <w:rFonts w:hint="eastAsia" w:ascii="宋体" w:eastAsia="宋体"/>
          <w:b/>
          <w:color w:val="auto"/>
          <w:sz w:val="32"/>
        </w:rPr>
      </w:pPr>
      <w:r>
        <w:rPr>
          <w:rFonts w:hint="eastAsia" w:ascii="宋体" w:eastAsia="宋体"/>
          <w:b/>
          <w:color w:val="auto"/>
          <w:sz w:val="32"/>
        </w:rPr>
        <w:t>【适用条件】</w:t>
      </w:r>
    </w:p>
    <w:p>
      <w:pPr>
        <w:pStyle w:val="12"/>
        <w:keepNext w:val="0"/>
        <w:keepLines w:val="0"/>
        <w:pageBreakBefore w:val="0"/>
        <w:widowControl w:val="0"/>
        <w:numPr>
          <w:ilvl w:val="1"/>
          <w:numId w:val="36"/>
        </w:numPr>
        <w:tabs>
          <w:tab w:val="left" w:pos="1283"/>
        </w:tabs>
        <w:kinsoku/>
        <w:wordWrap/>
        <w:overflowPunct/>
        <w:topLinePunct w:val="0"/>
        <w:autoSpaceDE w:val="0"/>
        <w:autoSpaceDN w:val="0"/>
        <w:bidi w:val="0"/>
        <w:adjustRightInd/>
        <w:snapToGrid/>
        <w:spacing w:before="214" w:after="0" w:line="240" w:lineRule="auto"/>
        <w:ind w:left="1282" w:right="0" w:hanging="323"/>
        <w:jc w:val="both"/>
        <w:textAlignment w:val="auto"/>
        <w:rPr>
          <w:color w:val="auto"/>
          <w:sz w:val="32"/>
        </w:rPr>
      </w:pPr>
      <w:r>
        <w:rPr>
          <w:color w:val="auto"/>
          <w:spacing w:val="-4"/>
          <w:sz w:val="32"/>
        </w:rPr>
        <w:t>综试区，是指经国务院批准的跨境电子商务综合试验</w:t>
      </w:r>
    </w:p>
    <w:p>
      <w:pPr>
        <w:pStyle w:val="4"/>
        <w:keepNext w:val="0"/>
        <w:keepLines w:val="0"/>
        <w:pageBreakBefore w:val="0"/>
        <w:widowControl w:val="0"/>
        <w:kinsoku/>
        <w:wordWrap/>
        <w:overflowPunct/>
        <w:topLinePunct w:val="0"/>
        <w:autoSpaceDE w:val="0"/>
        <w:autoSpaceDN w:val="0"/>
        <w:bidi w:val="0"/>
        <w:adjustRightInd/>
        <w:snapToGrid/>
        <w:spacing w:before="6"/>
        <w:ind w:left="0" w:firstLine="0"/>
        <w:jc w:val="both"/>
        <w:textAlignment w:val="auto"/>
        <w:rPr>
          <w:color w:val="auto"/>
          <w:sz w:val="12"/>
        </w:rPr>
      </w:pPr>
    </w:p>
    <w:p>
      <w:pPr>
        <w:pStyle w:val="4"/>
        <w:keepNext w:val="0"/>
        <w:keepLines w:val="0"/>
        <w:pageBreakBefore w:val="0"/>
        <w:widowControl w:val="0"/>
        <w:kinsoku/>
        <w:wordWrap/>
        <w:overflowPunct/>
        <w:topLinePunct w:val="0"/>
        <w:autoSpaceDE w:val="0"/>
        <w:autoSpaceDN w:val="0"/>
        <w:bidi w:val="0"/>
        <w:adjustRightInd/>
        <w:snapToGrid/>
        <w:spacing w:before="54"/>
        <w:ind w:firstLine="0"/>
        <w:jc w:val="both"/>
        <w:textAlignment w:val="auto"/>
        <w:rPr>
          <w:color w:val="auto"/>
        </w:rPr>
      </w:pPr>
      <w:r>
        <w:rPr>
          <w:color w:val="auto"/>
        </w:rPr>
        <w:t>区。</w:t>
      </w:r>
    </w:p>
    <w:p>
      <w:pPr>
        <w:pStyle w:val="12"/>
        <w:keepNext w:val="0"/>
        <w:keepLines w:val="0"/>
        <w:pageBreakBefore w:val="0"/>
        <w:widowControl w:val="0"/>
        <w:numPr>
          <w:ilvl w:val="1"/>
          <w:numId w:val="36"/>
        </w:numPr>
        <w:tabs>
          <w:tab w:val="left" w:pos="1283"/>
        </w:tabs>
        <w:kinsoku/>
        <w:wordWrap/>
        <w:overflowPunct/>
        <w:topLinePunct w:val="0"/>
        <w:autoSpaceDE w:val="0"/>
        <w:autoSpaceDN w:val="0"/>
        <w:bidi w:val="0"/>
        <w:adjustRightInd/>
        <w:snapToGrid/>
        <w:spacing w:before="214" w:after="0" w:line="240" w:lineRule="auto"/>
        <w:ind w:left="1282" w:right="0" w:hanging="323"/>
        <w:jc w:val="both"/>
        <w:textAlignment w:val="auto"/>
        <w:rPr>
          <w:color w:val="auto"/>
          <w:sz w:val="32"/>
        </w:rPr>
      </w:pPr>
      <w:r>
        <w:rPr>
          <w:color w:val="auto"/>
          <w:spacing w:val="-2"/>
          <w:sz w:val="32"/>
        </w:rPr>
        <w:t>电子商务出口企业，是指自建跨境电子商务销售平台</w:t>
      </w:r>
    </w:p>
    <w:p>
      <w:pPr>
        <w:pStyle w:val="4"/>
        <w:keepNext w:val="0"/>
        <w:keepLines w:val="0"/>
        <w:pageBreakBefore w:val="0"/>
        <w:widowControl w:val="0"/>
        <w:kinsoku/>
        <w:wordWrap/>
        <w:overflowPunct/>
        <w:topLinePunct w:val="0"/>
        <w:autoSpaceDE w:val="0"/>
        <w:autoSpaceDN w:val="0"/>
        <w:bidi w:val="0"/>
        <w:adjustRightInd/>
        <w:snapToGrid/>
        <w:spacing w:before="6"/>
        <w:ind w:left="0" w:firstLine="0"/>
        <w:jc w:val="both"/>
        <w:textAlignment w:val="auto"/>
        <w:rPr>
          <w:color w:val="auto"/>
          <w:sz w:val="12"/>
        </w:rPr>
      </w:pPr>
    </w:p>
    <w:p>
      <w:pPr>
        <w:pStyle w:val="4"/>
        <w:keepNext w:val="0"/>
        <w:keepLines w:val="0"/>
        <w:pageBreakBefore w:val="0"/>
        <w:widowControl w:val="0"/>
        <w:kinsoku/>
        <w:wordWrap/>
        <w:overflowPunct/>
        <w:topLinePunct w:val="0"/>
        <w:autoSpaceDE w:val="0"/>
        <w:autoSpaceDN w:val="0"/>
        <w:bidi w:val="0"/>
        <w:adjustRightInd/>
        <w:snapToGrid/>
        <w:spacing w:before="55" w:line="364" w:lineRule="auto"/>
        <w:ind w:right="540" w:firstLine="0"/>
        <w:jc w:val="both"/>
        <w:textAlignment w:val="auto"/>
        <w:rPr>
          <w:color w:val="auto"/>
        </w:rPr>
      </w:pPr>
      <w:r>
        <w:rPr>
          <w:color w:val="auto"/>
          <w:spacing w:val="11"/>
          <w:w w:val="95"/>
        </w:rPr>
        <w:t xml:space="preserve">或利用第三方跨境电子商务平台开展电子商务出口的单位 </w:t>
      </w:r>
      <w:r>
        <w:rPr>
          <w:color w:val="auto"/>
          <w:spacing w:val="11"/>
        </w:rPr>
        <w:t>和个体工商户。</w:t>
      </w:r>
    </w:p>
    <w:p>
      <w:pPr>
        <w:pStyle w:val="12"/>
        <w:keepNext w:val="0"/>
        <w:keepLines w:val="0"/>
        <w:pageBreakBefore w:val="0"/>
        <w:widowControl w:val="0"/>
        <w:numPr>
          <w:ilvl w:val="1"/>
          <w:numId w:val="36"/>
        </w:numPr>
        <w:tabs>
          <w:tab w:val="left" w:pos="1283"/>
        </w:tabs>
        <w:kinsoku/>
        <w:wordWrap/>
        <w:overflowPunct/>
        <w:topLinePunct w:val="0"/>
        <w:autoSpaceDE w:val="0"/>
        <w:autoSpaceDN w:val="0"/>
        <w:bidi w:val="0"/>
        <w:adjustRightInd/>
        <w:snapToGrid/>
        <w:spacing w:before="1" w:after="0" w:line="240" w:lineRule="auto"/>
        <w:ind w:left="1282" w:right="0" w:hanging="323"/>
        <w:jc w:val="both"/>
        <w:textAlignment w:val="auto"/>
        <w:rPr>
          <w:color w:val="auto"/>
          <w:sz w:val="32"/>
        </w:rPr>
      </w:pPr>
      <w:r>
        <w:rPr>
          <w:color w:val="auto"/>
          <w:spacing w:val="-15"/>
          <w:sz w:val="32"/>
        </w:rPr>
        <w:t>适用增值税、消费税免税政策，须同时符合下列条件：</w:t>
      </w:r>
    </w:p>
    <w:p>
      <w:pPr>
        <w:pStyle w:val="12"/>
        <w:keepNext w:val="0"/>
        <w:keepLines w:val="0"/>
        <w:pageBreakBefore w:val="0"/>
        <w:widowControl w:val="0"/>
        <w:numPr>
          <w:ilvl w:val="0"/>
          <w:numId w:val="39"/>
        </w:numPr>
        <w:tabs>
          <w:tab w:val="left" w:pos="1780"/>
        </w:tabs>
        <w:kinsoku/>
        <w:wordWrap/>
        <w:overflowPunct/>
        <w:topLinePunct w:val="0"/>
        <w:autoSpaceDE w:val="0"/>
        <w:autoSpaceDN w:val="0"/>
        <w:bidi w:val="0"/>
        <w:adjustRightInd/>
        <w:snapToGrid/>
        <w:spacing w:before="214" w:after="0" w:line="364" w:lineRule="auto"/>
        <w:ind w:left="320" w:right="537" w:firstLine="640"/>
        <w:jc w:val="both"/>
        <w:textAlignment w:val="auto"/>
        <w:rPr>
          <w:color w:val="auto"/>
          <w:sz w:val="32"/>
        </w:rPr>
      </w:pPr>
      <w:r>
        <w:rPr>
          <w:color w:val="auto"/>
          <w:spacing w:val="6"/>
          <w:w w:val="95"/>
          <w:sz w:val="32"/>
        </w:rPr>
        <w:t xml:space="preserve">电子商务出口企业在综试区注册，并在注册地跨 </w:t>
      </w:r>
      <w:r>
        <w:rPr>
          <w:color w:val="auto"/>
          <w:w w:val="95"/>
          <w:sz w:val="32"/>
        </w:rPr>
        <w:t xml:space="preserve">境电子商务线上综合服务平台登记出口日期、货物名称、计 </w:t>
      </w:r>
      <w:r>
        <w:rPr>
          <w:color w:val="auto"/>
          <w:sz w:val="32"/>
        </w:rPr>
        <w:t>量单位、数量、单价、金额。</w:t>
      </w:r>
    </w:p>
    <w:p>
      <w:pPr>
        <w:pStyle w:val="12"/>
        <w:keepNext w:val="0"/>
        <w:keepLines w:val="0"/>
        <w:pageBreakBefore w:val="0"/>
        <w:widowControl w:val="0"/>
        <w:numPr>
          <w:ilvl w:val="0"/>
          <w:numId w:val="39"/>
        </w:numPr>
        <w:tabs>
          <w:tab w:val="left" w:pos="1780"/>
        </w:tabs>
        <w:kinsoku/>
        <w:wordWrap/>
        <w:overflowPunct/>
        <w:topLinePunct w:val="0"/>
        <w:autoSpaceDE w:val="0"/>
        <w:autoSpaceDN w:val="0"/>
        <w:bidi w:val="0"/>
        <w:adjustRightInd/>
        <w:snapToGrid/>
        <w:spacing w:before="3" w:after="0" w:line="364" w:lineRule="auto"/>
        <w:ind w:left="320" w:right="537" w:firstLine="640"/>
        <w:jc w:val="both"/>
        <w:textAlignment w:val="auto"/>
        <w:rPr>
          <w:color w:val="auto"/>
          <w:sz w:val="32"/>
        </w:rPr>
      </w:pPr>
      <w:r>
        <w:rPr>
          <w:color w:val="auto"/>
          <w:spacing w:val="6"/>
          <w:w w:val="95"/>
          <w:sz w:val="32"/>
        </w:rPr>
        <w:t xml:space="preserve">出口货物通过综试区所在地海关办理电子商务出 </w:t>
      </w:r>
      <w:r>
        <w:rPr>
          <w:color w:val="auto"/>
          <w:spacing w:val="6"/>
          <w:sz w:val="32"/>
        </w:rPr>
        <w:t>口申报手续。</w:t>
      </w:r>
    </w:p>
    <w:p>
      <w:pPr>
        <w:pStyle w:val="12"/>
        <w:keepNext w:val="0"/>
        <w:keepLines w:val="0"/>
        <w:pageBreakBefore w:val="0"/>
        <w:widowControl w:val="0"/>
        <w:numPr>
          <w:ilvl w:val="0"/>
          <w:numId w:val="39"/>
        </w:numPr>
        <w:tabs>
          <w:tab w:val="left" w:pos="1780"/>
        </w:tabs>
        <w:kinsoku/>
        <w:wordWrap/>
        <w:overflowPunct/>
        <w:topLinePunct w:val="0"/>
        <w:autoSpaceDE w:val="0"/>
        <w:autoSpaceDN w:val="0"/>
        <w:bidi w:val="0"/>
        <w:adjustRightInd/>
        <w:snapToGrid/>
        <w:spacing w:before="1" w:after="0" w:line="364" w:lineRule="auto"/>
        <w:ind w:left="320" w:right="537" w:firstLine="640"/>
        <w:jc w:val="both"/>
        <w:textAlignment w:val="auto"/>
        <w:rPr>
          <w:color w:val="auto"/>
          <w:sz w:val="32"/>
        </w:rPr>
      </w:pPr>
      <w:r>
        <w:rPr>
          <w:color w:val="auto"/>
          <w:spacing w:val="6"/>
          <w:w w:val="95"/>
          <w:sz w:val="32"/>
        </w:rPr>
        <w:t xml:space="preserve">出口货物不属于财政部和税务总局根据国务院决 </w:t>
      </w:r>
      <w:r>
        <w:rPr>
          <w:color w:val="auto"/>
          <w:spacing w:val="6"/>
          <w:sz w:val="32"/>
        </w:rPr>
        <w:t>定明确取消出口退（免）税的货物。</w:t>
      </w:r>
    </w:p>
    <w:p>
      <w:pPr>
        <w:keepNext w:val="0"/>
        <w:keepLines w:val="0"/>
        <w:pageBreakBefore w:val="0"/>
        <w:widowControl w:val="0"/>
        <w:kinsoku/>
        <w:wordWrap/>
        <w:overflowPunct/>
        <w:topLinePunct w:val="0"/>
        <w:autoSpaceDE w:val="0"/>
        <w:autoSpaceDN w:val="0"/>
        <w:bidi w:val="0"/>
        <w:adjustRightInd/>
        <w:snapToGrid/>
        <w:spacing w:before="2"/>
        <w:ind w:left="320" w:right="0" w:firstLine="0"/>
        <w:jc w:val="both"/>
        <w:textAlignment w:val="auto"/>
        <w:rPr>
          <w:rFonts w:hint="eastAsia" w:ascii="宋体" w:eastAsia="宋体"/>
          <w:b/>
          <w:color w:val="auto"/>
          <w:sz w:val="32"/>
        </w:rPr>
      </w:pPr>
      <w:r>
        <w:rPr>
          <w:rFonts w:hint="eastAsia" w:ascii="宋体" w:eastAsia="宋体"/>
          <w:b/>
          <w:color w:val="auto"/>
          <w:sz w:val="32"/>
        </w:rPr>
        <w:t>【政策依据】</w:t>
      </w:r>
    </w:p>
    <w:p>
      <w:pPr>
        <w:pStyle w:val="4"/>
        <w:keepNext w:val="0"/>
        <w:keepLines w:val="0"/>
        <w:pageBreakBefore w:val="0"/>
        <w:widowControl w:val="0"/>
        <w:kinsoku/>
        <w:wordWrap/>
        <w:overflowPunct/>
        <w:topLinePunct w:val="0"/>
        <w:autoSpaceDE w:val="0"/>
        <w:autoSpaceDN w:val="0"/>
        <w:bidi w:val="0"/>
        <w:adjustRightInd/>
        <w:snapToGrid/>
        <w:spacing w:before="235" w:line="326" w:lineRule="auto"/>
        <w:ind w:right="379"/>
        <w:jc w:val="both"/>
        <w:textAlignment w:val="auto"/>
        <w:rPr>
          <w:rFonts w:hint="eastAsia" w:ascii="黑体" w:eastAsia="黑体"/>
          <w:color w:val="auto"/>
        </w:rPr>
      </w:pPr>
      <w:r>
        <w:rPr>
          <w:rFonts w:hint="eastAsia" w:ascii="黑体" w:eastAsia="黑体"/>
          <w:color w:val="auto"/>
        </w:rPr>
        <w:t>《财政部 税务总局 商务部 海关总署关于跨境电子商</w:t>
      </w:r>
      <w:r>
        <w:rPr>
          <w:rFonts w:hint="eastAsia" w:ascii="黑体" w:eastAsia="黑体"/>
          <w:color w:val="auto"/>
          <w:w w:val="95"/>
        </w:rPr>
        <w:t>务综合试验区零售出口货物税收政策的通知》（财税〔2018〕</w:t>
      </w:r>
    </w:p>
    <w:p>
      <w:pPr>
        <w:pStyle w:val="4"/>
        <w:keepNext w:val="0"/>
        <w:keepLines w:val="0"/>
        <w:pageBreakBefore w:val="0"/>
        <w:widowControl w:val="0"/>
        <w:kinsoku/>
        <w:wordWrap/>
        <w:overflowPunct/>
        <w:topLinePunct w:val="0"/>
        <w:autoSpaceDE w:val="0"/>
        <w:autoSpaceDN w:val="0"/>
        <w:bidi w:val="0"/>
        <w:adjustRightInd/>
        <w:snapToGrid/>
        <w:spacing w:before="32"/>
        <w:ind w:firstLine="0"/>
        <w:jc w:val="both"/>
        <w:textAlignment w:val="auto"/>
        <w:rPr>
          <w:rFonts w:hint="eastAsia" w:ascii="黑体" w:eastAsia="黑体"/>
          <w:color w:val="auto"/>
        </w:rPr>
      </w:pPr>
      <w:r>
        <w:rPr>
          <w:rFonts w:hint="eastAsia" w:ascii="黑体" w:eastAsia="黑体"/>
          <w:color w:val="auto"/>
        </w:rPr>
        <w:t>103 号）</w:t>
      </w:r>
    </w:p>
    <w:p>
      <w:pPr>
        <w:pStyle w:val="12"/>
        <w:keepNext w:val="0"/>
        <w:keepLines w:val="0"/>
        <w:pageBreakBefore w:val="0"/>
        <w:widowControl w:val="0"/>
        <w:numPr>
          <w:ilvl w:val="0"/>
          <w:numId w:val="36"/>
        </w:numPr>
        <w:tabs>
          <w:tab w:val="left" w:pos="805"/>
        </w:tabs>
        <w:kinsoku/>
        <w:wordWrap/>
        <w:overflowPunct/>
        <w:topLinePunct w:val="0"/>
        <w:autoSpaceDE w:val="0"/>
        <w:autoSpaceDN w:val="0"/>
        <w:bidi w:val="0"/>
        <w:adjustRightInd/>
        <w:snapToGrid/>
        <w:spacing w:before="279" w:after="0" w:line="240" w:lineRule="auto"/>
        <w:ind w:left="804" w:right="0" w:hanging="485"/>
        <w:jc w:val="both"/>
        <w:textAlignment w:val="auto"/>
        <w:rPr>
          <w:rFonts w:hint="eastAsia" w:ascii="宋体" w:eastAsia="宋体"/>
          <w:b/>
          <w:color w:val="auto"/>
          <w:sz w:val="32"/>
        </w:rPr>
      </w:pPr>
      <w:bookmarkStart w:id="16" w:name="_TOC_250033"/>
      <w:bookmarkEnd w:id="16"/>
      <w:r>
        <w:rPr>
          <w:rFonts w:hint="eastAsia" w:ascii="宋体" w:eastAsia="宋体"/>
          <w:b/>
          <w:color w:val="auto"/>
          <w:sz w:val="32"/>
        </w:rPr>
        <w:t>跨境电子商务综试区零售出口企业所得税核定征收政策</w:t>
      </w:r>
    </w:p>
    <w:p>
      <w:pPr>
        <w:keepNext w:val="0"/>
        <w:keepLines w:val="0"/>
        <w:pageBreakBefore w:val="0"/>
        <w:widowControl w:val="0"/>
        <w:kinsoku/>
        <w:wordWrap/>
        <w:overflowPunct/>
        <w:topLinePunct w:val="0"/>
        <w:autoSpaceDE w:val="0"/>
        <w:autoSpaceDN w:val="0"/>
        <w:bidi w:val="0"/>
        <w:adjustRightInd/>
        <w:snapToGrid/>
        <w:spacing w:before="214"/>
        <w:ind w:left="320" w:right="0" w:firstLine="0"/>
        <w:jc w:val="both"/>
        <w:textAlignment w:val="auto"/>
        <w:rPr>
          <w:rFonts w:hint="eastAsia" w:ascii="宋体" w:eastAsia="宋体"/>
          <w:b/>
          <w:color w:val="auto"/>
          <w:sz w:val="32"/>
        </w:rPr>
      </w:pPr>
      <w:r>
        <w:rPr>
          <w:rFonts w:hint="eastAsia" w:ascii="宋体" w:eastAsia="宋体"/>
          <w:b/>
          <w:color w:val="auto"/>
          <w:sz w:val="32"/>
        </w:rPr>
        <w:t>【适用主体】</w:t>
      </w:r>
    </w:p>
    <w:p>
      <w:pPr>
        <w:pStyle w:val="4"/>
        <w:keepNext w:val="0"/>
        <w:keepLines w:val="0"/>
        <w:pageBreakBefore w:val="0"/>
        <w:widowControl w:val="0"/>
        <w:kinsoku/>
        <w:wordWrap/>
        <w:overflowPunct/>
        <w:topLinePunct w:val="0"/>
        <w:autoSpaceDE w:val="0"/>
        <w:autoSpaceDN w:val="0"/>
        <w:bidi w:val="0"/>
        <w:adjustRightInd/>
        <w:snapToGrid/>
        <w:spacing w:line="364" w:lineRule="auto"/>
        <w:ind w:right="525"/>
        <w:jc w:val="both"/>
        <w:textAlignment w:val="auto"/>
        <w:rPr>
          <w:color w:val="auto"/>
        </w:rPr>
      </w:pPr>
      <w:r>
        <w:rPr>
          <w:color w:val="auto"/>
        </w:rPr>
        <w:t>跨境电子商务综合试验区（以下简称“综试区”）内的跨境电子商务零售出口企业（以下简称“跨境电商企业”）</w:t>
      </w:r>
    </w:p>
    <w:p>
      <w:pPr>
        <w:keepNext w:val="0"/>
        <w:keepLines w:val="0"/>
        <w:pageBreakBefore w:val="0"/>
        <w:widowControl w:val="0"/>
        <w:kinsoku/>
        <w:wordWrap/>
        <w:overflowPunct/>
        <w:topLinePunct w:val="0"/>
        <w:autoSpaceDE w:val="0"/>
        <w:autoSpaceDN w:val="0"/>
        <w:bidi w:val="0"/>
        <w:adjustRightInd/>
        <w:snapToGrid/>
        <w:spacing w:before="1"/>
        <w:ind w:left="320" w:right="0" w:firstLine="0"/>
        <w:jc w:val="both"/>
        <w:textAlignment w:val="auto"/>
        <w:rPr>
          <w:rFonts w:hint="eastAsia" w:ascii="宋体" w:eastAsia="宋体"/>
          <w:b/>
          <w:color w:val="auto"/>
          <w:sz w:val="32"/>
        </w:rPr>
      </w:pPr>
      <w:r>
        <w:rPr>
          <w:rFonts w:hint="eastAsia" w:ascii="宋体" w:eastAsia="宋体"/>
          <w:b/>
          <w:color w:val="auto"/>
          <w:sz w:val="32"/>
        </w:rPr>
        <w:t>【政策内容】</w:t>
      </w:r>
    </w:p>
    <w:p>
      <w:pPr>
        <w:pStyle w:val="4"/>
        <w:keepNext w:val="0"/>
        <w:keepLines w:val="0"/>
        <w:pageBreakBefore w:val="0"/>
        <w:widowControl w:val="0"/>
        <w:kinsoku/>
        <w:wordWrap/>
        <w:overflowPunct/>
        <w:topLinePunct w:val="0"/>
        <w:autoSpaceDE w:val="0"/>
        <w:autoSpaceDN w:val="0"/>
        <w:bidi w:val="0"/>
        <w:adjustRightInd/>
        <w:snapToGrid/>
        <w:spacing w:line="367" w:lineRule="auto"/>
        <w:ind w:right="540"/>
        <w:jc w:val="both"/>
        <w:textAlignment w:val="auto"/>
        <w:rPr>
          <w:color w:val="auto"/>
        </w:rPr>
      </w:pPr>
      <w:r>
        <w:rPr>
          <w:color w:val="auto"/>
          <w:spacing w:val="-39"/>
        </w:rPr>
        <w:t xml:space="preserve">自 </w:t>
      </w:r>
      <w:r>
        <w:rPr>
          <w:color w:val="auto"/>
        </w:rPr>
        <w:t>2020</w:t>
      </w:r>
      <w:r>
        <w:rPr>
          <w:color w:val="auto"/>
          <w:spacing w:val="-52"/>
        </w:rPr>
        <w:t xml:space="preserve"> 年 </w:t>
      </w:r>
      <w:r>
        <w:rPr>
          <w:color w:val="auto"/>
        </w:rPr>
        <w:t>1</w:t>
      </w:r>
      <w:r>
        <w:rPr>
          <w:color w:val="auto"/>
          <w:spacing w:val="-51"/>
        </w:rPr>
        <w:t xml:space="preserve"> 月 </w:t>
      </w:r>
      <w:r>
        <w:rPr>
          <w:color w:val="auto"/>
        </w:rPr>
        <w:t>1</w:t>
      </w:r>
      <w:r>
        <w:rPr>
          <w:color w:val="auto"/>
          <w:spacing w:val="-3"/>
        </w:rPr>
        <w:t xml:space="preserve"> 日起，对综试区内适用“无票免税” </w:t>
      </w:r>
      <w:r>
        <w:rPr>
          <w:color w:val="auto"/>
          <w:spacing w:val="-6"/>
        </w:rPr>
        <w:t>政策的跨境电商企业，符合相关条件的，采用应税所得率方</w:t>
      </w:r>
      <w:r>
        <w:rPr>
          <w:color w:val="auto"/>
        </w:rPr>
        <w:t>式核定征收企业所得税，应税所得率统一按照</w:t>
      </w:r>
      <w:r>
        <w:rPr>
          <w:color w:val="auto"/>
          <w:spacing w:val="-87"/>
        </w:rPr>
        <w:t xml:space="preserve"> </w:t>
      </w:r>
      <w:r>
        <w:rPr>
          <w:color w:val="auto"/>
          <w:spacing w:val="11"/>
        </w:rPr>
        <w:t>4</w:t>
      </w:r>
      <w:r>
        <w:rPr>
          <w:color w:val="auto"/>
          <w:spacing w:val="11"/>
          <w:w w:val="99"/>
        </w:rPr>
        <w:drawing>
          <wp:inline distT="0" distB="0" distL="0" distR="0">
            <wp:extent cx="85090" cy="154940"/>
            <wp:effectExtent l="0" t="0" r="0" b="0"/>
            <wp:docPr id="1" name="image1.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true"/>
                    </pic:cNvPicPr>
                  </pic:nvPicPr>
                  <pic:blipFill>
                    <a:blip r:embed="rId13" cstate="print"/>
                    <a:stretch>
                      <a:fillRect/>
                    </a:stretch>
                  </pic:blipFill>
                  <pic:spPr>
                    <a:xfrm>
                      <a:off x="0" y="0"/>
                      <a:ext cx="85724" cy="155574"/>
                    </a:xfrm>
                    <a:prstGeom prst="rect">
                      <a:avLst/>
                    </a:prstGeom>
                  </pic:spPr>
                </pic:pic>
              </a:graphicData>
            </a:graphic>
          </wp:inline>
        </w:drawing>
      </w:r>
      <w:r>
        <w:rPr>
          <w:color w:val="auto"/>
        </w:rPr>
        <w:t>确定。</w:t>
      </w:r>
    </w:p>
    <w:p>
      <w:pPr>
        <w:keepNext w:val="0"/>
        <w:keepLines w:val="0"/>
        <w:pageBreakBefore w:val="0"/>
        <w:widowControl w:val="0"/>
        <w:kinsoku/>
        <w:wordWrap/>
        <w:overflowPunct/>
        <w:topLinePunct w:val="0"/>
        <w:autoSpaceDE w:val="0"/>
        <w:autoSpaceDN w:val="0"/>
        <w:bidi w:val="0"/>
        <w:adjustRightInd/>
        <w:snapToGrid/>
        <w:spacing w:before="0" w:line="400" w:lineRule="exact"/>
        <w:ind w:left="320" w:right="0" w:firstLine="0"/>
        <w:jc w:val="both"/>
        <w:textAlignment w:val="auto"/>
        <w:rPr>
          <w:rFonts w:hint="eastAsia" w:ascii="宋体" w:eastAsia="宋体"/>
          <w:b/>
          <w:color w:val="auto"/>
          <w:sz w:val="32"/>
        </w:rPr>
      </w:pPr>
      <w:r>
        <w:rPr>
          <w:rFonts w:hint="eastAsia" w:ascii="宋体" w:eastAsia="宋体"/>
          <w:b/>
          <w:color w:val="auto"/>
          <w:sz w:val="32"/>
        </w:rPr>
        <w:t>【适用条件】</w:t>
      </w:r>
    </w:p>
    <w:p>
      <w:pPr>
        <w:pStyle w:val="12"/>
        <w:keepNext w:val="0"/>
        <w:keepLines w:val="0"/>
        <w:pageBreakBefore w:val="0"/>
        <w:widowControl w:val="0"/>
        <w:numPr>
          <w:ilvl w:val="1"/>
          <w:numId w:val="36"/>
        </w:numPr>
        <w:tabs>
          <w:tab w:val="left" w:pos="1283"/>
        </w:tabs>
        <w:kinsoku/>
        <w:wordWrap/>
        <w:overflowPunct/>
        <w:topLinePunct w:val="0"/>
        <w:autoSpaceDE w:val="0"/>
        <w:autoSpaceDN w:val="0"/>
        <w:bidi w:val="0"/>
        <w:adjustRightInd/>
        <w:snapToGrid/>
        <w:spacing w:before="214" w:after="0" w:line="240" w:lineRule="auto"/>
        <w:ind w:left="1282" w:right="0" w:hanging="323"/>
        <w:jc w:val="both"/>
        <w:textAlignment w:val="auto"/>
        <w:rPr>
          <w:color w:val="auto"/>
          <w:sz w:val="32"/>
        </w:rPr>
      </w:pPr>
      <w:r>
        <w:rPr>
          <w:color w:val="auto"/>
          <w:spacing w:val="-4"/>
          <w:sz w:val="32"/>
        </w:rPr>
        <w:t>综试区，是指经国务院批准的跨境电子商务综合试验</w:t>
      </w:r>
    </w:p>
    <w:p>
      <w:pPr>
        <w:pStyle w:val="4"/>
        <w:keepNext w:val="0"/>
        <w:keepLines w:val="0"/>
        <w:pageBreakBefore w:val="0"/>
        <w:widowControl w:val="0"/>
        <w:kinsoku/>
        <w:wordWrap/>
        <w:overflowPunct/>
        <w:topLinePunct w:val="0"/>
        <w:autoSpaceDE w:val="0"/>
        <w:autoSpaceDN w:val="0"/>
        <w:bidi w:val="0"/>
        <w:adjustRightInd/>
        <w:snapToGrid/>
        <w:spacing w:before="6"/>
        <w:ind w:left="0" w:firstLine="0"/>
        <w:jc w:val="both"/>
        <w:textAlignment w:val="auto"/>
        <w:rPr>
          <w:color w:val="auto"/>
          <w:sz w:val="12"/>
        </w:rPr>
      </w:pPr>
    </w:p>
    <w:p>
      <w:pPr>
        <w:pStyle w:val="4"/>
        <w:keepNext w:val="0"/>
        <w:keepLines w:val="0"/>
        <w:pageBreakBefore w:val="0"/>
        <w:widowControl w:val="0"/>
        <w:kinsoku/>
        <w:wordWrap/>
        <w:overflowPunct/>
        <w:topLinePunct w:val="0"/>
        <w:autoSpaceDE w:val="0"/>
        <w:autoSpaceDN w:val="0"/>
        <w:bidi w:val="0"/>
        <w:adjustRightInd/>
        <w:snapToGrid/>
        <w:spacing w:before="55"/>
        <w:ind w:firstLine="0"/>
        <w:jc w:val="both"/>
        <w:textAlignment w:val="auto"/>
        <w:rPr>
          <w:color w:val="auto"/>
        </w:rPr>
      </w:pPr>
      <w:r>
        <w:rPr>
          <w:color w:val="auto"/>
        </w:rPr>
        <w:t>区。</w:t>
      </w:r>
    </w:p>
    <w:p>
      <w:pPr>
        <w:pStyle w:val="12"/>
        <w:keepNext w:val="0"/>
        <w:keepLines w:val="0"/>
        <w:pageBreakBefore w:val="0"/>
        <w:widowControl w:val="0"/>
        <w:numPr>
          <w:ilvl w:val="1"/>
          <w:numId w:val="36"/>
        </w:numPr>
        <w:tabs>
          <w:tab w:val="left" w:pos="1283"/>
        </w:tabs>
        <w:kinsoku/>
        <w:wordWrap/>
        <w:overflowPunct/>
        <w:topLinePunct w:val="0"/>
        <w:autoSpaceDE w:val="0"/>
        <w:autoSpaceDN w:val="0"/>
        <w:bidi w:val="0"/>
        <w:adjustRightInd/>
        <w:snapToGrid/>
        <w:spacing w:before="214" w:after="0" w:line="240" w:lineRule="auto"/>
        <w:ind w:left="1282" w:right="0" w:hanging="323"/>
        <w:jc w:val="both"/>
        <w:textAlignment w:val="auto"/>
        <w:rPr>
          <w:color w:val="auto"/>
          <w:sz w:val="32"/>
        </w:rPr>
      </w:pPr>
      <w:r>
        <w:rPr>
          <w:color w:val="auto"/>
          <w:spacing w:val="-3"/>
          <w:sz w:val="32"/>
        </w:rPr>
        <w:t>跨境电商企业，是指自建跨境电子商务销售平台或利</w:t>
      </w:r>
    </w:p>
    <w:p>
      <w:pPr>
        <w:pStyle w:val="4"/>
        <w:keepNext w:val="0"/>
        <w:keepLines w:val="0"/>
        <w:pageBreakBefore w:val="0"/>
        <w:widowControl w:val="0"/>
        <w:kinsoku/>
        <w:wordWrap/>
        <w:overflowPunct/>
        <w:topLinePunct w:val="0"/>
        <w:autoSpaceDE w:val="0"/>
        <w:autoSpaceDN w:val="0"/>
        <w:bidi w:val="0"/>
        <w:adjustRightInd/>
        <w:snapToGrid/>
        <w:spacing w:before="5"/>
        <w:ind w:left="0" w:firstLine="0"/>
        <w:jc w:val="both"/>
        <w:textAlignment w:val="auto"/>
        <w:rPr>
          <w:color w:val="auto"/>
          <w:sz w:val="12"/>
        </w:rPr>
      </w:pPr>
    </w:p>
    <w:p>
      <w:pPr>
        <w:pStyle w:val="4"/>
        <w:keepNext w:val="0"/>
        <w:keepLines w:val="0"/>
        <w:pageBreakBefore w:val="0"/>
        <w:widowControl w:val="0"/>
        <w:kinsoku/>
        <w:wordWrap/>
        <w:overflowPunct/>
        <w:topLinePunct w:val="0"/>
        <w:autoSpaceDE w:val="0"/>
        <w:autoSpaceDN w:val="0"/>
        <w:bidi w:val="0"/>
        <w:adjustRightInd/>
        <w:snapToGrid/>
        <w:spacing w:before="55"/>
        <w:ind w:firstLine="0"/>
        <w:jc w:val="both"/>
        <w:textAlignment w:val="auto"/>
        <w:rPr>
          <w:color w:val="auto"/>
        </w:rPr>
      </w:pPr>
      <w:r>
        <w:rPr>
          <w:color w:val="auto"/>
        </w:rPr>
        <w:t>用第三方跨境电子商务平台开展电子商务出口的企业。</w:t>
      </w:r>
    </w:p>
    <w:p>
      <w:pPr>
        <w:pStyle w:val="12"/>
        <w:keepNext w:val="0"/>
        <w:keepLines w:val="0"/>
        <w:pageBreakBefore w:val="0"/>
        <w:widowControl w:val="0"/>
        <w:numPr>
          <w:ilvl w:val="1"/>
          <w:numId w:val="36"/>
        </w:numPr>
        <w:tabs>
          <w:tab w:val="left" w:pos="1283"/>
        </w:tabs>
        <w:kinsoku/>
        <w:wordWrap/>
        <w:overflowPunct/>
        <w:topLinePunct w:val="0"/>
        <w:autoSpaceDE w:val="0"/>
        <w:autoSpaceDN w:val="0"/>
        <w:bidi w:val="0"/>
        <w:adjustRightInd/>
        <w:snapToGrid/>
        <w:spacing w:before="214" w:after="0" w:line="364" w:lineRule="auto"/>
        <w:ind w:left="320" w:right="537" w:firstLine="640"/>
        <w:jc w:val="both"/>
        <w:textAlignment w:val="auto"/>
        <w:rPr>
          <w:color w:val="auto"/>
          <w:sz w:val="32"/>
        </w:rPr>
      </w:pPr>
      <w:r>
        <w:rPr>
          <w:color w:val="auto"/>
          <w:spacing w:val="-1"/>
          <w:w w:val="95"/>
          <w:sz w:val="32"/>
        </w:rPr>
        <w:t xml:space="preserve">跨境电商企业适用核定征收企业所得税办法，须同时 </w:t>
      </w:r>
      <w:r>
        <w:rPr>
          <w:color w:val="auto"/>
          <w:spacing w:val="-1"/>
          <w:sz w:val="32"/>
        </w:rPr>
        <w:t>符合下列条件：</w:t>
      </w:r>
    </w:p>
    <w:p>
      <w:pPr>
        <w:pStyle w:val="12"/>
        <w:keepNext w:val="0"/>
        <w:keepLines w:val="0"/>
        <w:pageBreakBefore w:val="0"/>
        <w:widowControl w:val="0"/>
        <w:numPr>
          <w:ilvl w:val="0"/>
          <w:numId w:val="40"/>
        </w:numPr>
        <w:tabs>
          <w:tab w:val="left" w:pos="1780"/>
        </w:tabs>
        <w:kinsoku/>
        <w:wordWrap/>
        <w:overflowPunct/>
        <w:topLinePunct w:val="0"/>
        <w:autoSpaceDE w:val="0"/>
        <w:autoSpaceDN w:val="0"/>
        <w:bidi w:val="0"/>
        <w:adjustRightInd/>
        <w:snapToGrid/>
        <w:spacing w:before="1" w:after="0" w:line="364" w:lineRule="auto"/>
        <w:ind w:left="320" w:right="537" w:firstLine="640"/>
        <w:jc w:val="both"/>
        <w:textAlignment w:val="auto"/>
        <w:rPr>
          <w:color w:val="auto"/>
          <w:sz w:val="32"/>
        </w:rPr>
      </w:pPr>
      <w:r>
        <w:rPr>
          <w:color w:val="auto"/>
          <w:spacing w:val="6"/>
          <w:w w:val="95"/>
          <w:sz w:val="32"/>
        </w:rPr>
        <w:t xml:space="preserve">在综试区注册，并在注册地跨境电子商务线上综 </w:t>
      </w:r>
      <w:r>
        <w:rPr>
          <w:color w:val="auto"/>
          <w:spacing w:val="-1"/>
          <w:w w:val="95"/>
          <w:sz w:val="32"/>
        </w:rPr>
        <w:t xml:space="preserve">合服务平台登记出口货物日期、名称、计量单位、数量、单 </w:t>
      </w:r>
      <w:r>
        <w:rPr>
          <w:color w:val="auto"/>
          <w:spacing w:val="-1"/>
          <w:sz w:val="32"/>
        </w:rPr>
        <w:t>价、金额的；</w:t>
      </w:r>
    </w:p>
    <w:p>
      <w:pPr>
        <w:pStyle w:val="12"/>
        <w:keepNext w:val="0"/>
        <w:keepLines w:val="0"/>
        <w:pageBreakBefore w:val="0"/>
        <w:widowControl w:val="0"/>
        <w:numPr>
          <w:ilvl w:val="0"/>
          <w:numId w:val="40"/>
        </w:numPr>
        <w:tabs>
          <w:tab w:val="left" w:pos="1780"/>
        </w:tabs>
        <w:kinsoku/>
        <w:wordWrap/>
        <w:overflowPunct/>
        <w:topLinePunct w:val="0"/>
        <w:autoSpaceDE w:val="0"/>
        <w:autoSpaceDN w:val="0"/>
        <w:bidi w:val="0"/>
        <w:adjustRightInd/>
        <w:snapToGrid/>
        <w:spacing w:before="3" w:after="0" w:line="364" w:lineRule="auto"/>
        <w:ind w:left="320" w:right="537" w:firstLine="640"/>
        <w:jc w:val="both"/>
        <w:textAlignment w:val="auto"/>
        <w:rPr>
          <w:color w:val="auto"/>
          <w:sz w:val="32"/>
        </w:rPr>
      </w:pPr>
      <w:r>
        <w:rPr>
          <w:color w:val="auto"/>
          <w:spacing w:val="6"/>
          <w:w w:val="95"/>
          <w:sz w:val="32"/>
        </w:rPr>
        <w:t xml:space="preserve">出口货物通过综试区所在地海关办理电子商务出 </w:t>
      </w:r>
      <w:r>
        <w:rPr>
          <w:color w:val="auto"/>
          <w:spacing w:val="6"/>
          <w:sz w:val="32"/>
        </w:rPr>
        <w:t>口申报手续的；</w:t>
      </w:r>
    </w:p>
    <w:p>
      <w:pPr>
        <w:pStyle w:val="12"/>
        <w:keepNext w:val="0"/>
        <w:keepLines w:val="0"/>
        <w:pageBreakBefore w:val="0"/>
        <w:widowControl w:val="0"/>
        <w:numPr>
          <w:ilvl w:val="0"/>
          <w:numId w:val="40"/>
        </w:numPr>
        <w:tabs>
          <w:tab w:val="left" w:pos="1780"/>
        </w:tabs>
        <w:kinsoku/>
        <w:wordWrap/>
        <w:overflowPunct/>
        <w:topLinePunct w:val="0"/>
        <w:autoSpaceDE w:val="0"/>
        <w:autoSpaceDN w:val="0"/>
        <w:bidi w:val="0"/>
        <w:adjustRightInd/>
        <w:snapToGrid/>
        <w:spacing w:before="30" w:after="0" w:line="364" w:lineRule="auto"/>
        <w:ind w:left="320" w:right="537" w:firstLine="640"/>
        <w:jc w:val="both"/>
        <w:textAlignment w:val="auto"/>
        <w:rPr>
          <w:color w:val="auto"/>
          <w:sz w:val="32"/>
        </w:rPr>
      </w:pPr>
      <w:r>
        <w:rPr>
          <w:color w:val="auto"/>
          <w:spacing w:val="6"/>
          <w:w w:val="95"/>
          <w:sz w:val="32"/>
        </w:rPr>
        <w:t xml:space="preserve">出口货物未取得有效进货凭证，其增值税、消费 </w:t>
      </w:r>
      <w:r>
        <w:rPr>
          <w:color w:val="auto"/>
          <w:spacing w:val="6"/>
          <w:sz w:val="32"/>
        </w:rPr>
        <w:t>税享受免税政策的。</w:t>
      </w:r>
    </w:p>
    <w:p>
      <w:pPr>
        <w:pStyle w:val="12"/>
        <w:keepNext w:val="0"/>
        <w:keepLines w:val="0"/>
        <w:pageBreakBefore w:val="0"/>
        <w:widowControl w:val="0"/>
        <w:numPr>
          <w:ilvl w:val="1"/>
          <w:numId w:val="36"/>
        </w:numPr>
        <w:tabs>
          <w:tab w:val="left" w:pos="1292"/>
        </w:tabs>
        <w:kinsoku/>
        <w:wordWrap/>
        <w:overflowPunct/>
        <w:topLinePunct w:val="0"/>
        <w:autoSpaceDE w:val="0"/>
        <w:autoSpaceDN w:val="0"/>
        <w:bidi w:val="0"/>
        <w:adjustRightInd/>
        <w:snapToGrid/>
        <w:spacing w:before="1" w:after="0" w:line="364" w:lineRule="auto"/>
        <w:ind w:left="320" w:right="537" w:firstLine="640"/>
        <w:jc w:val="both"/>
        <w:textAlignment w:val="auto"/>
        <w:rPr>
          <w:color w:val="auto"/>
          <w:sz w:val="32"/>
        </w:rPr>
      </w:pPr>
      <w:r>
        <w:rPr>
          <w:color w:val="auto"/>
          <w:spacing w:val="13"/>
          <w:w w:val="95"/>
          <w:sz w:val="32"/>
        </w:rPr>
        <w:t xml:space="preserve">综试区内实行核定征收的跨境电商企业符合小型微 </w:t>
      </w:r>
      <w:r>
        <w:rPr>
          <w:color w:val="auto"/>
          <w:sz w:val="32"/>
        </w:rPr>
        <w:t>利企业优惠政策条件的，可享受小型微利企业所得税优惠政</w:t>
      </w:r>
      <w:r>
        <w:rPr>
          <w:color w:val="auto"/>
          <w:spacing w:val="-3"/>
          <w:w w:val="95"/>
          <w:sz w:val="32"/>
        </w:rPr>
        <w:t xml:space="preserve">策；其取得的收入属于《中华人民共和国企业所得税法》第 </w:t>
      </w:r>
      <w:r>
        <w:rPr>
          <w:color w:val="auto"/>
          <w:spacing w:val="-3"/>
          <w:sz w:val="32"/>
        </w:rPr>
        <w:t>二十六条规定的免税收入的，可享受免税收入优惠政策。</w:t>
      </w:r>
    </w:p>
    <w:p>
      <w:pPr>
        <w:keepNext w:val="0"/>
        <w:keepLines w:val="0"/>
        <w:pageBreakBefore w:val="0"/>
        <w:widowControl w:val="0"/>
        <w:kinsoku/>
        <w:wordWrap/>
        <w:overflowPunct/>
        <w:topLinePunct w:val="0"/>
        <w:autoSpaceDE w:val="0"/>
        <w:autoSpaceDN w:val="0"/>
        <w:bidi w:val="0"/>
        <w:adjustRightInd/>
        <w:snapToGrid/>
        <w:spacing w:before="4"/>
        <w:ind w:left="320" w:right="0" w:firstLine="0"/>
        <w:jc w:val="both"/>
        <w:textAlignment w:val="auto"/>
        <w:rPr>
          <w:rFonts w:hint="eastAsia" w:ascii="宋体" w:eastAsia="宋体"/>
          <w:b/>
          <w:color w:val="auto"/>
          <w:sz w:val="32"/>
        </w:rPr>
      </w:pPr>
      <w:r>
        <w:rPr>
          <w:rFonts w:hint="eastAsia" w:ascii="宋体" w:eastAsia="宋体"/>
          <w:b/>
          <w:color w:val="auto"/>
          <w:sz w:val="32"/>
        </w:rPr>
        <w:t>【政策依据】</w:t>
      </w:r>
    </w:p>
    <w:p>
      <w:pPr>
        <w:pStyle w:val="4"/>
        <w:keepNext w:val="0"/>
        <w:keepLines w:val="0"/>
        <w:pageBreakBefore w:val="0"/>
        <w:widowControl w:val="0"/>
        <w:kinsoku/>
        <w:wordWrap/>
        <w:overflowPunct/>
        <w:topLinePunct w:val="0"/>
        <w:autoSpaceDE w:val="0"/>
        <w:autoSpaceDN w:val="0"/>
        <w:bidi w:val="0"/>
        <w:adjustRightInd/>
        <w:snapToGrid/>
        <w:spacing w:before="235" w:line="326" w:lineRule="auto"/>
        <w:ind w:right="379"/>
        <w:jc w:val="both"/>
        <w:textAlignment w:val="auto"/>
        <w:rPr>
          <w:rFonts w:hint="eastAsia" w:ascii="黑体" w:eastAsia="黑体"/>
          <w:color w:val="auto"/>
        </w:rPr>
      </w:pPr>
      <w:r>
        <w:rPr>
          <w:rFonts w:hint="eastAsia" w:ascii="黑体" w:eastAsia="黑体"/>
          <w:color w:val="auto"/>
          <w:spacing w:val="13"/>
        </w:rPr>
        <w:t>《国家税务总局关于跨境电子商务综合试验区零售出</w:t>
      </w:r>
      <w:r>
        <w:rPr>
          <w:rFonts w:hint="eastAsia" w:ascii="黑体" w:eastAsia="黑体"/>
          <w:color w:val="auto"/>
          <w:spacing w:val="7"/>
        </w:rPr>
        <w:t>口企业所得税核定征收有关问题的公告》</w:t>
      </w:r>
      <w:r>
        <w:rPr>
          <w:rFonts w:hint="eastAsia" w:ascii="黑体" w:eastAsia="黑体"/>
          <w:color w:val="auto"/>
        </w:rPr>
        <w:t>（2019</w:t>
      </w:r>
      <w:r>
        <w:rPr>
          <w:rFonts w:hint="eastAsia" w:ascii="黑体" w:eastAsia="黑体"/>
          <w:color w:val="auto"/>
          <w:spacing w:val="-43"/>
        </w:rPr>
        <w:t xml:space="preserve"> 年第 </w:t>
      </w:r>
      <w:r>
        <w:rPr>
          <w:rFonts w:hint="eastAsia" w:ascii="黑体" w:eastAsia="黑体"/>
          <w:color w:val="auto"/>
        </w:rPr>
        <w:t>36</w:t>
      </w:r>
      <w:r>
        <w:rPr>
          <w:rFonts w:hint="eastAsia" w:ascii="黑体" w:eastAsia="黑体"/>
          <w:color w:val="auto"/>
          <w:spacing w:val="-42"/>
        </w:rPr>
        <w:t xml:space="preserve"> 号</w:t>
      </w:r>
      <w:r>
        <w:rPr>
          <w:rFonts w:hint="eastAsia" w:ascii="黑体" w:eastAsia="黑体"/>
          <w:color w:val="auto"/>
        </w:rPr>
        <w:t>）</w:t>
      </w:r>
    </w:p>
    <w:p>
      <w:pPr>
        <w:pStyle w:val="4"/>
        <w:keepNext w:val="0"/>
        <w:keepLines w:val="0"/>
        <w:pageBreakBefore w:val="0"/>
        <w:widowControl w:val="0"/>
        <w:kinsoku/>
        <w:wordWrap/>
        <w:overflowPunct/>
        <w:topLinePunct w:val="0"/>
        <w:autoSpaceDE w:val="0"/>
        <w:autoSpaceDN w:val="0"/>
        <w:bidi w:val="0"/>
        <w:adjustRightInd/>
        <w:snapToGrid/>
        <w:spacing w:before="5"/>
        <w:ind w:left="0" w:firstLine="0"/>
        <w:jc w:val="both"/>
        <w:textAlignment w:val="auto"/>
        <w:rPr>
          <w:rFonts w:ascii="黑体"/>
          <w:color w:val="auto"/>
          <w:sz w:val="42"/>
        </w:rPr>
      </w:pPr>
    </w:p>
    <w:p>
      <w:pPr>
        <w:pStyle w:val="12"/>
        <w:keepNext w:val="0"/>
        <w:keepLines w:val="0"/>
        <w:pageBreakBefore w:val="0"/>
        <w:widowControl w:val="0"/>
        <w:numPr>
          <w:ilvl w:val="0"/>
          <w:numId w:val="36"/>
        </w:numPr>
        <w:tabs>
          <w:tab w:val="left" w:pos="805"/>
        </w:tabs>
        <w:kinsoku/>
        <w:wordWrap/>
        <w:overflowPunct/>
        <w:topLinePunct w:val="0"/>
        <w:autoSpaceDE w:val="0"/>
        <w:autoSpaceDN w:val="0"/>
        <w:bidi w:val="0"/>
        <w:adjustRightInd/>
        <w:snapToGrid/>
        <w:spacing w:before="0" w:after="0" w:line="240" w:lineRule="auto"/>
        <w:ind w:left="804" w:right="0" w:hanging="485"/>
        <w:jc w:val="both"/>
        <w:textAlignment w:val="auto"/>
        <w:rPr>
          <w:rFonts w:hint="eastAsia" w:ascii="宋体" w:eastAsia="宋体"/>
          <w:b/>
          <w:color w:val="auto"/>
          <w:sz w:val="32"/>
        </w:rPr>
      </w:pPr>
      <w:bookmarkStart w:id="17" w:name="_TOC_250032"/>
      <w:bookmarkEnd w:id="17"/>
      <w:r>
        <w:rPr>
          <w:rFonts w:hint="eastAsia" w:ascii="宋体" w:eastAsia="宋体"/>
          <w:b/>
          <w:color w:val="auto"/>
          <w:sz w:val="32"/>
        </w:rPr>
        <w:t>市场采购贸易方式出口货物免征增值税政策</w:t>
      </w:r>
    </w:p>
    <w:p>
      <w:pPr>
        <w:keepNext w:val="0"/>
        <w:keepLines w:val="0"/>
        <w:pageBreakBefore w:val="0"/>
        <w:widowControl w:val="0"/>
        <w:kinsoku/>
        <w:wordWrap/>
        <w:overflowPunct/>
        <w:topLinePunct w:val="0"/>
        <w:autoSpaceDE w:val="0"/>
        <w:autoSpaceDN w:val="0"/>
        <w:bidi w:val="0"/>
        <w:adjustRightInd/>
        <w:snapToGrid/>
        <w:spacing w:before="214"/>
        <w:ind w:left="320" w:right="0" w:firstLine="0"/>
        <w:jc w:val="both"/>
        <w:textAlignment w:val="auto"/>
        <w:rPr>
          <w:rFonts w:hint="eastAsia" w:ascii="宋体" w:eastAsia="宋体"/>
          <w:b/>
          <w:color w:val="auto"/>
          <w:sz w:val="32"/>
        </w:rPr>
      </w:pPr>
      <w:r>
        <w:rPr>
          <w:rFonts w:hint="eastAsia" w:ascii="宋体" w:eastAsia="宋体"/>
          <w:b/>
          <w:color w:val="auto"/>
          <w:sz w:val="32"/>
        </w:rPr>
        <w:t>【适用主体】</w:t>
      </w:r>
    </w:p>
    <w:p>
      <w:pPr>
        <w:pStyle w:val="4"/>
        <w:keepNext w:val="0"/>
        <w:keepLines w:val="0"/>
        <w:pageBreakBefore w:val="0"/>
        <w:widowControl w:val="0"/>
        <w:kinsoku/>
        <w:wordWrap/>
        <w:overflowPunct/>
        <w:topLinePunct w:val="0"/>
        <w:autoSpaceDE w:val="0"/>
        <w:autoSpaceDN w:val="0"/>
        <w:bidi w:val="0"/>
        <w:adjustRightInd/>
        <w:snapToGrid/>
        <w:spacing w:line="364" w:lineRule="auto"/>
        <w:ind w:right="493"/>
        <w:jc w:val="both"/>
        <w:textAlignment w:val="auto"/>
        <w:rPr>
          <w:color w:val="auto"/>
        </w:rPr>
      </w:pPr>
      <w:r>
        <w:rPr>
          <w:color w:val="auto"/>
        </w:rPr>
        <w:t>经国家批准的专业市场集聚区内的市场经营户（以下简</w:t>
      </w:r>
      <w:r>
        <w:rPr>
          <w:color w:val="auto"/>
          <w:w w:val="95"/>
        </w:rPr>
        <w:t>称市场经营户）自营或委托从事市场采购贸易经营的单位</w:t>
      </w:r>
    </w:p>
    <w:p>
      <w:pPr>
        <w:pStyle w:val="4"/>
        <w:keepNext w:val="0"/>
        <w:keepLines w:val="0"/>
        <w:pageBreakBefore w:val="0"/>
        <w:widowControl w:val="0"/>
        <w:kinsoku/>
        <w:wordWrap/>
        <w:overflowPunct/>
        <w:topLinePunct w:val="0"/>
        <w:autoSpaceDE w:val="0"/>
        <w:autoSpaceDN w:val="0"/>
        <w:bidi w:val="0"/>
        <w:adjustRightInd/>
        <w:snapToGrid/>
        <w:spacing w:before="2"/>
        <w:ind w:firstLine="0"/>
        <w:jc w:val="both"/>
        <w:textAlignment w:val="auto"/>
        <w:rPr>
          <w:color w:val="auto"/>
        </w:rPr>
      </w:pPr>
      <w:r>
        <w:rPr>
          <w:color w:val="auto"/>
        </w:rPr>
        <w:t>（以下简称市场采购贸易经营者）</w:t>
      </w:r>
    </w:p>
    <w:p>
      <w:pPr>
        <w:keepNext w:val="0"/>
        <w:keepLines w:val="0"/>
        <w:pageBreakBefore w:val="0"/>
        <w:widowControl w:val="0"/>
        <w:kinsoku/>
        <w:wordWrap/>
        <w:overflowPunct/>
        <w:topLinePunct w:val="0"/>
        <w:autoSpaceDE w:val="0"/>
        <w:autoSpaceDN w:val="0"/>
        <w:bidi w:val="0"/>
        <w:adjustRightInd/>
        <w:snapToGrid/>
        <w:spacing w:before="214"/>
        <w:ind w:left="320" w:right="0" w:firstLine="0"/>
        <w:jc w:val="both"/>
        <w:textAlignment w:val="auto"/>
        <w:rPr>
          <w:rFonts w:hint="eastAsia" w:ascii="宋体" w:eastAsia="宋体"/>
          <w:b/>
          <w:color w:val="auto"/>
          <w:sz w:val="32"/>
        </w:rPr>
      </w:pPr>
      <w:r>
        <w:rPr>
          <w:rFonts w:hint="eastAsia" w:ascii="宋体" w:eastAsia="宋体"/>
          <w:b/>
          <w:color w:val="auto"/>
          <w:sz w:val="32"/>
        </w:rPr>
        <w:t>【政策内容】</w:t>
      </w:r>
    </w:p>
    <w:p>
      <w:pPr>
        <w:pStyle w:val="4"/>
        <w:keepNext w:val="0"/>
        <w:keepLines w:val="0"/>
        <w:pageBreakBefore w:val="0"/>
        <w:widowControl w:val="0"/>
        <w:kinsoku/>
        <w:wordWrap/>
        <w:overflowPunct/>
        <w:topLinePunct w:val="0"/>
        <w:autoSpaceDE w:val="0"/>
        <w:autoSpaceDN w:val="0"/>
        <w:bidi w:val="0"/>
        <w:adjustRightInd/>
        <w:snapToGrid/>
        <w:spacing w:line="364" w:lineRule="auto"/>
        <w:ind w:right="537"/>
        <w:jc w:val="both"/>
        <w:textAlignment w:val="auto"/>
        <w:rPr>
          <w:color w:val="auto"/>
        </w:rPr>
      </w:pPr>
      <w:r>
        <w:rPr>
          <w:color w:val="auto"/>
          <w:spacing w:val="13"/>
          <w:w w:val="95"/>
        </w:rPr>
        <w:t xml:space="preserve">市场经营户自营或委托市场采购贸易经营者在经国家 </w:t>
      </w:r>
      <w:r>
        <w:rPr>
          <w:color w:val="auto"/>
          <w:spacing w:val="5"/>
        </w:rPr>
        <w:t>商务主管等部门认定的市场集聚区内采购的、单票报关单商</w:t>
      </w:r>
      <w:r>
        <w:rPr>
          <w:color w:val="auto"/>
          <w:spacing w:val="-18"/>
        </w:rPr>
        <w:t xml:space="preserve">品货值 </w:t>
      </w:r>
      <w:r>
        <w:rPr>
          <w:color w:val="auto"/>
        </w:rPr>
        <w:t>15</w:t>
      </w:r>
      <w:r>
        <w:rPr>
          <w:color w:val="auto"/>
          <w:spacing w:val="-43"/>
        </w:rPr>
        <w:t xml:space="preserve"> 万</w:t>
      </w:r>
      <w:r>
        <w:rPr>
          <w:color w:val="auto"/>
        </w:rPr>
        <w:t>（</w:t>
      </w:r>
      <w:r>
        <w:rPr>
          <w:color w:val="auto"/>
          <w:spacing w:val="-42"/>
        </w:rPr>
        <w:t xml:space="preserve">含 </w:t>
      </w:r>
      <w:r>
        <w:rPr>
          <w:color w:val="auto"/>
        </w:rPr>
        <w:t>15</w:t>
      </w:r>
      <w:r>
        <w:rPr>
          <w:color w:val="auto"/>
          <w:spacing w:val="-42"/>
        </w:rPr>
        <w:t xml:space="preserve"> 万</w:t>
      </w:r>
      <w:r>
        <w:rPr>
          <w:color w:val="auto"/>
          <w:spacing w:val="-3"/>
        </w:rPr>
        <w:t>）</w:t>
      </w:r>
      <w:r>
        <w:rPr>
          <w:color w:val="auto"/>
          <w:spacing w:val="-1"/>
        </w:rPr>
        <w:t>美元以下、并在采购地办理出口商品通关手续的货物免征增值税。</w:t>
      </w:r>
    </w:p>
    <w:p>
      <w:pPr>
        <w:keepNext w:val="0"/>
        <w:keepLines w:val="0"/>
        <w:pageBreakBefore w:val="0"/>
        <w:widowControl w:val="0"/>
        <w:kinsoku/>
        <w:wordWrap/>
        <w:overflowPunct/>
        <w:topLinePunct w:val="0"/>
        <w:autoSpaceDE w:val="0"/>
        <w:autoSpaceDN w:val="0"/>
        <w:bidi w:val="0"/>
        <w:adjustRightInd/>
        <w:snapToGrid/>
        <w:spacing w:before="3"/>
        <w:ind w:left="320" w:right="0" w:firstLine="0"/>
        <w:jc w:val="both"/>
        <w:textAlignment w:val="auto"/>
        <w:rPr>
          <w:rFonts w:hint="eastAsia" w:ascii="宋体" w:eastAsia="宋体"/>
          <w:b/>
          <w:color w:val="auto"/>
          <w:sz w:val="32"/>
        </w:rPr>
      </w:pPr>
      <w:r>
        <w:rPr>
          <w:rFonts w:hint="eastAsia" w:ascii="宋体" w:eastAsia="宋体"/>
          <w:b/>
          <w:color w:val="auto"/>
          <w:sz w:val="32"/>
        </w:rPr>
        <w:t>【适用条件】</w:t>
      </w:r>
    </w:p>
    <w:p>
      <w:pPr>
        <w:pStyle w:val="12"/>
        <w:keepNext w:val="0"/>
        <w:keepLines w:val="0"/>
        <w:pageBreakBefore w:val="0"/>
        <w:widowControl w:val="0"/>
        <w:numPr>
          <w:ilvl w:val="1"/>
          <w:numId w:val="36"/>
        </w:numPr>
        <w:tabs>
          <w:tab w:val="left" w:pos="1283"/>
        </w:tabs>
        <w:kinsoku/>
        <w:wordWrap/>
        <w:overflowPunct/>
        <w:topLinePunct w:val="0"/>
        <w:autoSpaceDE w:val="0"/>
        <w:autoSpaceDN w:val="0"/>
        <w:bidi w:val="0"/>
        <w:adjustRightInd/>
        <w:snapToGrid/>
        <w:spacing w:before="214" w:after="0" w:line="240" w:lineRule="auto"/>
        <w:ind w:left="1282" w:right="0" w:hanging="323"/>
        <w:jc w:val="both"/>
        <w:textAlignment w:val="auto"/>
        <w:rPr>
          <w:color w:val="auto"/>
          <w:sz w:val="32"/>
        </w:rPr>
      </w:pPr>
      <w:r>
        <w:rPr>
          <w:color w:val="auto"/>
          <w:spacing w:val="-2"/>
          <w:sz w:val="32"/>
        </w:rPr>
        <w:t>市场采购贸易方式出口货物，是指市场经营户自营或</w:t>
      </w:r>
    </w:p>
    <w:p>
      <w:pPr>
        <w:pStyle w:val="4"/>
        <w:keepNext w:val="0"/>
        <w:keepLines w:val="0"/>
        <w:pageBreakBefore w:val="0"/>
        <w:widowControl w:val="0"/>
        <w:kinsoku/>
        <w:wordWrap/>
        <w:overflowPunct/>
        <w:topLinePunct w:val="0"/>
        <w:autoSpaceDE w:val="0"/>
        <w:autoSpaceDN w:val="0"/>
        <w:bidi w:val="0"/>
        <w:adjustRightInd/>
        <w:snapToGrid/>
        <w:spacing w:before="30" w:line="364" w:lineRule="auto"/>
        <w:ind w:right="366" w:firstLine="0"/>
        <w:jc w:val="both"/>
        <w:textAlignment w:val="auto"/>
        <w:rPr>
          <w:color w:val="auto"/>
        </w:rPr>
      </w:pPr>
      <w:r>
        <w:rPr>
          <w:color w:val="auto"/>
          <w:spacing w:val="-2"/>
        </w:rPr>
        <w:t>委托市场采购贸易经营者，按照海关总署规定的市场采购贸</w:t>
      </w:r>
      <w:r>
        <w:rPr>
          <w:color w:val="auto"/>
          <w:spacing w:val="-4"/>
        </w:rPr>
        <w:t>易监管办法办理通关手续，并纳入涵盖市场采购贸易各方经</w:t>
      </w:r>
      <w:r>
        <w:rPr>
          <w:color w:val="auto"/>
          <w:spacing w:val="11"/>
        </w:rPr>
        <w:t>营主体和贸易全流程的市场采购贸易综合管理系统管理的</w:t>
      </w:r>
      <w:r>
        <w:rPr>
          <w:color w:val="auto"/>
          <w:spacing w:val="-35"/>
        </w:rPr>
        <w:t>货物</w:t>
      </w:r>
      <w:r>
        <w:rPr>
          <w:color w:val="auto"/>
        </w:rPr>
        <w:t>（国家规定不适用市场采购贸易方式出口的商品除外</w:t>
      </w:r>
      <w:r>
        <w:rPr>
          <w:color w:val="auto"/>
          <w:spacing w:val="-79"/>
        </w:rPr>
        <w:t>）</w:t>
      </w:r>
      <w:r>
        <w:rPr>
          <w:color w:val="auto"/>
          <w:spacing w:val="-12"/>
        </w:rPr>
        <w:t>。</w:t>
      </w:r>
    </w:p>
    <w:p>
      <w:pPr>
        <w:pStyle w:val="12"/>
        <w:keepNext w:val="0"/>
        <w:keepLines w:val="0"/>
        <w:pageBreakBefore w:val="0"/>
        <w:widowControl w:val="0"/>
        <w:numPr>
          <w:ilvl w:val="1"/>
          <w:numId w:val="36"/>
        </w:numPr>
        <w:tabs>
          <w:tab w:val="left" w:pos="1292"/>
        </w:tabs>
        <w:kinsoku/>
        <w:wordWrap/>
        <w:overflowPunct/>
        <w:topLinePunct w:val="0"/>
        <w:autoSpaceDE w:val="0"/>
        <w:autoSpaceDN w:val="0"/>
        <w:bidi w:val="0"/>
        <w:adjustRightInd/>
        <w:snapToGrid/>
        <w:spacing w:before="3" w:after="0" w:line="364" w:lineRule="auto"/>
        <w:ind w:left="320" w:right="537" w:firstLine="640"/>
        <w:jc w:val="both"/>
        <w:textAlignment w:val="auto"/>
        <w:rPr>
          <w:color w:val="auto"/>
          <w:sz w:val="32"/>
        </w:rPr>
      </w:pPr>
      <w:r>
        <w:rPr>
          <w:color w:val="auto"/>
          <w:spacing w:val="13"/>
          <w:w w:val="95"/>
          <w:sz w:val="32"/>
        </w:rPr>
        <w:t xml:space="preserve">委托出口的市场经营户应与市场采购贸易经营者签 </w:t>
      </w:r>
      <w:r>
        <w:rPr>
          <w:color w:val="auto"/>
          <w:spacing w:val="-4"/>
          <w:w w:val="95"/>
          <w:sz w:val="32"/>
        </w:rPr>
        <w:t xml:space="preserve">订《委托代理出口货物协议》。受托出口的市场采购贸易经 </w:t>
      </w:r>
      <w:r>
        <w:rPr>
          <w:color w:val="auto"/>
          <w:spacing w:val="-5"/>
          <w:sz w:val="32"/>
        </w:rPr>
        <w:t>营者在货物报关出口后，应在规定的期限内向主管税务机关申请开具《代理出口货物证明》。</w:t>
      </w:r>
    </w:p>
    <w:p>
      <w:pPr>
        <w:pStyle w:val="12"/>
        <w:keepNext w:val="0"/>
        <w:keepLines w:val="0"/>
        <w:pageBreakBefore w:val="0"/>
        <w:widowControl w:val="0"/>
        <w:numPr>
          <w:ilvl w:val="1"/>
          <w:numId w:val="36"/>
        </w:numPr>
        <w:tabs>
          <w:tab w:val="left" w:pos="1292"/>
        </w:tabs>
        <w:kinsoku/>
        <w:wordWrap/>
        <w:overflowPunct/>
        <w:topLinePunct w:val="0"/>
        <w:autoSpaceDE w:val="0"/>
        <w:autoSpaceDN w:val="0"/>
        <w:bidi w:val="0"/>
        <w:adjustRightInd/>
        <w:snapToGrid/>
        <w:spacing w:before="3" w:after="0" w:line="364" w:lineRule="auto"/>
        <w:ind w:left="320" w:right="535" w:firstLine="640"/>
        <w:jc w:val="both"/>
        <w:textAlignment w:val="auto"/>
        <w:rPr>
          <w:color w:val="auto"/>
          <w:sz w:val="32"/>
        </w:rPr>
      </w:pPr>
      <w:r>
        <w:rPr>
          <w:color w:val="auto"/>
          <w:spacing w:val="13"/>
          <w:w w:val="95"/>
          <w:sz w:val="32"/>
        </w:rPr>
        <w:t xml:space="preserve">市场经营户或市场采购贸易经营者应按以下要求时 </w:t>
      </w:r>
      <w:r>
        <w:rPr>
          <w:color w:val="auto"/>
          <w:spacing w:val="-1"/>
          <w:sz w:val="32"/>
        </w:rPr>
        <w:t>限，在市场采购贸易综合管理系统中准确、及时录入商品名</w:t>
      </w:r>
      <w:r>
        <w:rPr>
          <w:color w:val="auto"/>
          <w:spacing w:val="-3"/>
          <w:w w:val="95"/>
          <w:sz w:val="32"/>
        </w:rPr>
        <w:t xml:space="preserve">称、规格型号、计量单位、数量、单价和金额等相关内容形 </w:t>
      </w:r>
      <w:r>
        <w:rPr>
          <w:color w:val="auto"/>
          <w:spacing w:val="-3"/>
          <w:sz w:val="32"/>
        </w:rPr>
        <w:t>成交易清单。</w:t>
      </w:r>
    </w:p>
    <w:p>
      <w:pPr>
        <w:pStyle w:val="12"/>
        <w:keepNext w:val="0"/>
        <w:keepLines w:val="0"/>
        <w:pageBreakBefore w:val="0"/>
        <w:widowControl w:val="0"/>
        <w:numPr>
          <w:ilvl w:val="0"/>
          <w:numId w:val="41"/>
        </w:numPr>
        <w:tabs>
          <w:tab w:val="left" w:pos="1780"/>
        </w:tabs>
        <w:kinsoku/>
        <w:wordWrap/>
        <w:overflowPunct/>
        <w:topLinePunct w:val="0"/>
        <w:autoSpaceDE w:val="0"/>
        <w:autoSpaceDN w:val="0"/>
        <w:bidi w:val="0"/>
        <w:adjustRightInd/>
        <w:snapToGrid/>
        <w:spacing w:before="3" w:after="0" w:line="364" w:lineRule="auto"/>
        <w:ind w:left="320" w:right="537" w:firstLine="640"/>
        <w:jc w:val="both"/>
        <w:textAlignment w:val="auto"/>
        <w:rPr>
          <w:color w:val="auto"/>
          <w:sz w:val="32"/>
        </w:rPr>
      </w:pPr>
      <w:r>
        <w:rPr>
          <w:color w:val="auto"/>
          <w:spacing w:val="6"/>
          <w:w w:val="95"/>
          <w:sz w:val="32"/>
        </w:rPr>
        <w:t xml:space="preserve">自营出口，市场经营户应当于同外商签订采购合 </w:t>
      </w:r>
      <w:r>
        <w:rPr>
          <w:color w:val="auto"/>
          <w:spacing w:val="6"/>
          <w:sz w:val="32"/>
        </w:rPr>
        <w:t>同时自行录入；</w:t>
      </w:r>
    </w:p>
    <w:p>
      <w:pPr>
        <w:pStyle w:val="12"/>
        <w:keepNext w:val="0"/>
        <w:keepLines w:val="0"/>
        <w:pageBreakBefore w:val="0"/>
        <w:widowControl w:val="0"/>
        <w:numPr>
          <w:ilvl w:val="0"/>
          <w:numId w:val="41"/>
        </w:numPr>
        <w:tabs>
          <w:tab w:val="left" w:pos="1780"/>
        </w:tabs>
        <w:kinsoku/>
        <w:wordWrap/>
        <w:overflowPunct/>
        <w:topLinePunct w:val="0"/>
        <w:autoSpaceDE w:val="0"/>
        <w:autoSpaceDN w:val="0"/>
        <w:bidi w:val="0"/>
        <w:adjustRightInd/>
        <w:snapToGrid/>
        <w:spacing w:before="2" w:after="0" w:line="364" w:lineRule="auto"/>
        <w:ind w:left="320" w:right="537" w:firstLine="640"/>
        <w:jc w:val="both"/>
        <w:textAlignment w:val="auto"/>
        <w:rPr>
          <w:color w:val="auto"/>
          <w:sz w:val="32"/>
        </w:rPr>
      </w:pPr>
      <w:r>
        <w:rPr>
          <w:color w:val="auto"/>
          <w:spacing w:val="6"/>
          <w:w w:val="95"/>
          <w:sz w:val="32"/>
        </w:rPr>
        <w:t xml:space="preserve">委托出口，市场经营户将货物交付市场采购贸易 </w:t>
      </w:r>
      <w:r>
        <w:rPr>
          <w:color w:val="auto"/>
          <w:spacing w:val="6"/>
          <w:sz w:val="32"/>
        </w:rPr>
        <w:t>经营者时自行录入，或由市场采购贸易经营者录入。</w:t>
      </w:r>
    </w:p>
    <w:p>
      <w:pPr>
        <w:pStyle w:val="12"/>
        <w:keepNext w:val="0"/>
        <w:keepLines w:val="0"/>
        <w:pageBreakBefore w:val="0"/>
        <w:widowControl w:val="0"/>
        <w:numPr>
          <w:ilvl w:val="1"/>
          <w:numId w:val="36"/>
        </w:numPr>
        <w:tabs>
          <w:tab w:val="left" w:pos="1292"/>
        </w:tabs>
        <w:kinsoku/>
        <w:wordWrap/>
        <w:overflowPunct/>
        <w:topLinePunct w:val="0"/>
        <w:autoSpaceDE w:val="0"/>
        <w:autoSpaceDN w:val="0"/>
        <w:bidi w:val="0"/>
        <w:adjustRightInd/>
        <w:snapToGrid/>
        <w:spacing w:before="2" w:after="0" w:line="364" w:lineRule="auto"/>
        <w:ind w:left="320" w:right="537" w:firstLine="640"/>
        <w:jc w:val="both"/>
        <w:textAlignment w:val="auto"/>
        <w:rPr>
          <w:color w:val="auto"/>
          <w:sz w:val="32"/>
        </w:rPr>
      </w:pPr>
      <w:r>
        <w:rPr>
          <w:color w:val="auto"/>
          <w:spacing w:val="13"/>
          <w:w w:val="95"/>
          <w:sz w:val="32"/>
        </w:rPr>
        <w:t xml:space="preserve">市场经营户应在货物报关出口次月的增值税纳税申 </w:t>
      </w:r>
      <w:r>
        <w:rPr>
          <w:color w:val="auto"/>
          <w:spacing w:val="11"/>
          <w:w w:val="95"/>
          <w:sz w:val="32"/>
        </w:rPr>
        <w:t xml:space="preserve">报期内按规定向主管税务机关办理市场采购贸易出口货物 </w:t>
      </w:r>
      <w:r>
        <w:rPr>
          <w:color w:val="auto"/>
          <w:w w:val="95"/>
          <w:sz w:val="32"/>
        </w:rPr>
        <w:t xml:space="preserve">免税申报；委托出口的，市场采购贸易经营者可以代为办理 </w:t>
      </w:r>
      <w:r>
        <w:rPr>
          <w:color w:val="auto"/>
          <w:sz w:val="32"/>
        </w:rPr>
        <w:t>免税申报手续。</w:t>
      </w:r>
    </w:p>
    <w:p>
      <w:pPr>
        <w:pStyle w:val="12"/>
        <w:keepNext w:val="0"/>
        <w:keepLines w:val="0"/>
        <w:pageBreakBefore w:val="0"/>
        <w:widowControl w:val="0"/>
        <w:numPr>
          <w:ilvl w:val="1"/>
          <w:numId w:val="36"/>
        </w:numPr>
        <w:tabs>
          <w:tab w:val="left" w:pos="1283"/>
        </w:tabs>
        <w:kinsoku/>
        <w:wordWrap/>
        <w:overflowPunct/>
        <w:topLinePunct w:val="0"/>
        <w:autoSpaceDE w:val="0"/>
        <w:autoSpaceDN w:val="0"/>
        <w:bidi w:val="0"/>
        <w:adjustRightInd/>
        <w:snapToGrid/>
        <w:spacing w:before="3" w:after="0" w:line="364" w:lineRule="auto"/>
        <w:ind w:left="320" w:right="540" w:firstLine="640"/>
        <w:jc w:val="both"/>
        <w:textAlignment w:val="auto"/>
        <w:rPr>
          <w:color w:val="auto"/>
          <w:sz w:val="32"/>
        </w:rPr>
      </w:pPr>
      <w:r>
        <w:rPr>
          <w:color w:val="auto"/>
          <w:spacing w:val="-2"/>
          <w:w w:val="95"/>
          <w:sz w:val="32"/>
        </w:rPr>
        <w:t xml:space="preserve">试点范围包括：浙江义乌国际小商品城、江苏海门叠 </w:t>
      </w:r>
      <w:r>
        <w:rPr>
          <w:color w:val="auto"/>
          <w:spacing w:val="-4"/>
          <w:w w:val="95"/>
          <w:sz w:val="32"/>
        </w:rPr>
        <w:t>石桥国际家纺城，浙江海宁皮革城、江苏常熟服装城、广东</w:t>
      </w:r>
    </w:p>
    <w:p>
      <w:pPr>
        <w:pStyle w:val="4"/>
        <w:keepNext w:val="0"/>
        <w:keepLines w:val="0"/>
        <w:pageBreakBefore w:val="0"/>
        <w:widowControl w:val="0"/>
        <w:kinsoku/>
        <w:wordWrap/>
        <w:overflowPunct/>
        <w:topLinePunct w:val="0"/>
        <w:autoSpaceDE w:val="0"/>
        <w:autoSpaceDN w:val="0"/>
        <w:bidi w:val="0"/>
        <w:adjustRightInd/>
        <w:snapToGrid/>
        <w:spacing w:before="30" w:line="364" w:lineRule="auto"/>
        <w:ind w:right="379" w:firstLine="0"/>
        <w:jc w:val="both"/>
        <w:textAlignment w:val="auto"/>
        <w:rPr>
          <w:color w:val="auto"/>
        </w:rPr>
      </w:pPr>
      <w:r>
        <w:rPr>
          <w:color w:val="auto"/>
          <w:spacing w:val="-2"/>
        </w:rPr>
        <w:t>广州花都皮革皮具市场、山东临沂商城工程物资市场、武汉</w:t>
      </w:r>
      <w:r>
        <w:rPr>
          <w:color w:val="auto"/>
          <w:spacing w:val="-21"/>
        </w:rPr>
        <w:t>汉口北国际商品交易中心、河北白沟箱包市场、浙江温州</w:t>
      </w:r>
      <w:r>
        <w:rPr>
          <w:color w:val="auto"/>
        </w:rPr>
        <w:t>（鹿城</w:t>
      </w:r>
      <w:r>
        <w:rPr>
          <w:color w:val="auto"/>
          <w:spacing w:val="-3"/>
        </w:rPr>
        <w:t>）</w:t>
      </w:r>
      <w:r>
        <w:rPr>
          <w:color w:val="auto"/>
          <w:spacing w:val="-2"/>
        </w:rPr>
        <w:t>轻工产品交易中心、福建泉州石狮服装城、湖南长沙高</w:t>
      </w:r>
      <w:r>
        <w:rPr>
          <w:color w:val="auto"/>
          <w:spacing w:val="-4"/>
        </w:rPr>
        <w:t>桥大市场、广东佛山亚洲国际家具材料交易中心、广东中山</w:t>
      </w:r>
      <w:r>
        <w:rPr>
          <w:color w:val="auto"/>
          <w:spacing w:val="-16"/>
          <w:w w:val="95"/>
        </w:rPr>
        <w:t xml:space="preserve">利和灯博中心、四川成都国际商贸城、辽宁鞍山西柳服装城、 </w:t>
      </w:r>
      <w:r>
        <w:rPr>
          <w:color w:val="auto"/>
          <w:spacing w:val="-14"/>
        </w:rPr>
        <w:t>浙江绍兴柯桥中国轻纺城、浙江台州路桥日用品及塑料制品</w:t>
      </w:r>
      <w:r>
        <w:rPr>
          <w:color w:val="auto"/>
          <w:spacing w:val="-8"/>
        </w:rPr>
        <w:t>交易中心、浙江湖州</w:t>
      </w:r>
      <w:r>
        <w:rPr>
          <w:color w:val="auto"/>
        </w:rPr>
        <w:t>（织里</w:t>
      </w:r>
      <w:r>
        <w:rPr>
          <w:color w:val="auto"/>
          <w:spacing w:val="-5"/>
        </w:rPr>
        <w:t>）</w:t>
      </w:r>
      <w:r>
        <w:rPr>
          <w:color w:val="auto"/>
        </w:rPr>
        <w:t>童装及日用消费品交易管理中</w:t>
      </w:r>
      <w:r>
        <w:rPr>
          <w:color w:val="auto"/>
          <w:spacing w:val="-4"/>
        </w:rPr>
        <w:t>心、安徽蚌埠中恒商贸城、福建晋江国际鞋纺城、青岛即墨</w:t>
      </w:r>
      <w:r>
        <w:rPr>
          <w:color w:val="auto"/>
          <w:spacing w:val="-14"/>
          <w:w w:val="95"/>
        </w:rPr>
        <w:t>国际商贸城、山东烟台三站批发交易市场、河南中国</w:t>
      </w:r>
      <w:r>
        <w:rPr>
          <w:color w:val="auto"/>
          <w:spacing w:val="-3"/>
          <w:w w:val="95"/>
        </w:rPr>
        <w:t>（</w:t>
      </w:r>
      <w:r>
        <w:rPr>
          <w:color w:val="auto"/>
          <w:w w:val="95"/>
        </w:rPr>
        <w:t xml:space="preserve">许昌） </w:t>
      </w:r>
      <w:r>
        <w:rPr>
          <w:color w:val="auto"/>
          <w:spacing w:val="-2"/>
        </w:rPr>
        <w:t>国际发制品交易市场、湖北宜昌三峡物流园、广东汕头市宝</w:t>
      </w:r>
      <w:r>
        <w:rPr>
          <w:color w:val="auto"/>
          <w:spacing w:val="-4"/>
        </w:rPr>
        <w:t>奥国际玩具城、广东东莞市大朗毛织贸易中心、云南昆明俊发</w:t>
      </w:r>
      <w:r>
        <w:rPr>
          <w:rFonts w:ascii="Arial" w:hAnsi="Arial" w:eastAsia="Arial"/>
          <w:color w:val="auto"/>
          <w:spacing w:val="-4"/>
        </w:rPr>
        <w:t>•</w:t>
      </w:r>
      <w:r>
        <w:rPr>
          <w:color w:val="auto"/>
          <w:spacing w:val="-13"/>
        </w:rPr>
        <w:t>新螺蛳湾国际商贸城、深圳华南国际工业原料城、内蒙古</w:t>
      </w:r>
      <w:r>
        <w:rPr>
          <w:color w:val="auto"/>
          <w:spacing w:val="-12"/>
        </w:rPr>
        <w:t>满洲里满购中心</w:t>
      </w:r>
      <w:r>
        <w:rPr>
          <w:color w:val="auto"/>
        </w:rPr>
        <w:t>（边贸商品市场</w:t>
      </w:r>
      <w:r>
        <w:rPr>
          <w:color w:val="auto"/>
          <w:spacing w:val="-5"/>
        </w:rPr>
        <w:t>）</w:t>
      </w:r>
      <w:r>
        <w:rPr>
          <w:color w:val="auto"/>
          <w:spacing w:val="-2"/>
        </w:rPr>
        <w:t>、广西凭祥出口商品采购</w:t>
      </w:r>
      <w:r>
        <w:rPr>
          <w:color w:val="auto"/>
          <w:spacing w:val="-3"/>
        </w:rPr>
        <w:t>中心</w:t>
      </w:r>
      <w:r>
        <w:rPr>
          <w:color w:val="auto"/>
        </w:rPr>
        <w:t>（边贸商品市场</w:t>
      </w:r>
      <w:r>
        <w:rPr>
          <w:color w:val="auto"/>
          <w:spacing w:val="-5"/>
        </w:rPr>
        <w:t>）</w:t>
      </w:r>
      <w:r>
        <w:rPr>
          <w:color w:val="auto"/>
          <w:spacing w:val="-2"/>
        </w:rPr>
        <w:t>、云南瑞丽国际商品交易市场</w:t>
      </w:r>
      <w:r>
        <w:rPr>
          <w:color w:val="auto"/>
        </w:rPr>
        <w:t>（边贸商品市场）。</w:t>
      </w:r>
    </w:p>
    <w:p>
      <w:pPr>
        <w:keepNext w:val="0"/>
        <w:keepLines w:val="0"/>
        <w:pageBreakBefore w:val="0"/>
        <w:widowControl w:val="0"/>
        <w:kinsoku/>
        <w:wordWrap/>
        <w:overflowPunct/>
        <w:topLinePunct w:val="0"/>
        <w:autoSpaceDE w:val="0"/>
        <w:autoSpaceDN w:val="0"/>
        <w:bidi w:val="0"/>
        <w:adjustRightInd/>
        <w:snapToGrid/>
        <w:spacing w:before="12"/>
        <w:ind w:left="320" w:right="0" w:firstLine="0"/>
        <w:jc w:val="both"/>
        <w:textAlignment w:val="auto"/>
        <w:rPr>
          <w:rFonts w:hint="eastAsia" w:ascii="宋体" w:eastAsia="宋体"/>
          <w:b/>
          <w:color w:val="auto"/>
          <w:sz w:val="32"/>
        </w:rPr>
      </w:pPr>
      <w:r>
        <w:rPr>
          <w:rFonts w:hint="eastAsia" w:ascii="宋体" w:eastAsia="宋体"/>
          <w:b/>
          <w:color w:val="auto"/>
          <w:w w:val="95"/>
          <w:sz w:val="32"/>
        </w:rPr>
        <w:t>【政策依据】</w:t>
      </w:r>
    </w:p>
    <w:p>
      <w:pPr>
        <w:pStyle w:val="4"/>
        <w:keepNext w:val="0"/>
        <w:keepLines w:val="0"/>
        <w:pageBreakBefore w:val="0"/>
        <w:widowControl w:val="0"/>
        <w:kinsoku/>
        <w:wordWrap/>
        <w:overflowPunct/>
        <w:topLinePunct w:val="0"/>
        <w:autoSpaceDE w:val="0"/>
        <w:autoSpaceDN w:val="0"/>
        <w:bidi w:val="0"/>
        <w:adjustRightInd/>
        <w:snapToGrid/>
        <w:spacing w:before="235" w:line="326" w:lineRule="auto"/>
        <w:ind w:right="536"/>
        <w:jc w:val="both"/>
        <w:textAlignment w:val="auto"/>
        <w:rPr>
          <w:rFonts w:hint="eastAsia" w:ascii="黑体" w:eastAsia="黑体"/>
          <w:color w:val="auto"/>
        </w:rPr>
      </w:pPr>
      <w:r>
        <w:rPr>
          <w:rFonts w:hint="eastAsia" w:ascii="黑体" w:eastAsia="黑体"/>
          <w:color w:val="auto"/>
          <w:spacing w:val="-4"/>
        </w:rPr>
        <w:t>1</w:t>
      </w:r>
      <w:r>
        <w:rPr>
          <w:rFonts w:hint="eastAsia" w:ascii="黑体" w:eastAsia="黑体"/>
          <w:color w:val="auto"/>
          <w:spacing w:val="-3"/>
        </w:rPr>
        <w:t>.《国家税务总局关于发布〈市场采购贸易方式出口货</w:t>
      </w:r>
      <w:r>
        <w:rPr>
          <w:rFonts w:hint="eastAsia" w:ascii="黑体" w:eastAsia="黑体"/>
          <w:color w:val="auto"/>
          <w:spacing w:val="-14"/>
        </w:rPr>
        <w:t>物免税管理办法</w:t>
      </w:r>
      <w:r>
        <w:rPr>
          <w:rFonts w:hint="eastAsia" w:ascii="黑体" w:eastAsia="黑体"/>
          <w:color w:val="auto"/>
          <w:spacing w:val="-3"/>
        </w:rPr>
        <w:t>（</w:t>
      </w:r>
      <w:r>
        <w:rPr>
          <w:rFonts w:hint="eastAsia" w:ascii="黑体" w:eastAsia="黑体"/>
          <w:color w:val="auto"/>
        </w:rPr>
        <w:t>试行</w:t>
      </w:r>
      <w:r>
        <w:rPr>
          <w:rFonts w:hint="eastAsia" w:ascii="黑体" w:eastAsia="黑体"/>
          <w:color w:val="auto"/>
          <w:spacing w:val="-84"/>
        </w:rPr>
        <w:t>）</w:t>
      </w:r>
      <w:r>
        <w:rPr>
          <w:rFonts w:hint="eastAsia" w:ascii="黑体" w:eastAsia="黑体"/>
          <w:color w:val="auto"/>
          <w:spacing w:val="-50"/>
        </w:rPr>
        <w:t>〉的公告》</w:t>
      </w:r>
      <w:r>
        <w:rPr>
          <w:rFonts w:hint="eastAsia" w:ascii="黑体" w:eastAsia="黑体"/>
          <w:color w:val="auto"/>
          <w:spacing w:val="-3"/>
        </w:rPr>
        <w:t>（</w:t>
      </w:r>
      <w:r>
        <w:rPr>
          <w:rFonts w:hint="eastAsia" w:ascii="黑体" w:eastAsia="黑体"/>
          <w:color w:val="auto"/>
          <w:spacing w:val="-11"/>
        </w:rPr>
        <w:t xml:space="preserve">国家税务总局公告 </w:t>
      </w:r>
      <w:r>
        <w:rPr>
          <w:rFonts w:hint="eastAsia" w:ascii="黑体" w:eastAsia="黑体"/>
          <w:color w:val="auto"/>
        </w:rPr>
        <w:t>2015</w:t>
      </w:r>
    </w:p>
    <w:p>
      <w:pPr>
        <w:pStyle w:val="4"/>
        <w:keepNext w:val="0"/>
        <w:keepLines w:val="0"/>
        <w:pageBreakBefore w:val="0"/>
        <w:widowControl w:val="0"/>
        <w:kinsoku/>
        <w:wordWrap/>
        <w:overflowPunct/>
        <w:topLinePunct w:val="0"/>
        <w:autoSpaceDE w:val="0"/>
        <w:autoSpaceDN w:val="0"/>
        <w:bidi w:val="0"/>
        <w:adjustRightInd/>
        <w:snapToGrid/>
        <w:spacing w:before="4" w:line="328" w:lineRule="auto"/>
        <w:ind w:left="960" w:right="537" w:hanging="641"/>
        <w:jc w:val="both"/>
        <w:textAlignment w:val="auto"/>
        <w:rPr>
          <w:rFonts w:hint="eastAsia" w:ascii="黑体" w:eastAsia="黑体"/>
          <w:color w:val="auto"/>
        </w:rPr>
      </w:pPr>
      <w:r>
        <w:rPr>
          <w:rFonts w:hint="eastAsia" w:ascii="黑体" w:eastAsia="黑体"/>
          <w:color w:val="auto"/>
          <w:spacing w:val="-27"/>
        </w:rPr>
        <w:t xml:space="preserve">年第 </w:t>
      </w:r>
      <w:r>
        <w:rPr>
          <w:rFonts w:hint="eastAsia" w:ascii="黑体" w:eastAsia="黑体"/>
          <w:color w:val="auto"/>
        </w:rPr>
        <w:t>89</w:t>
      </w:r>
      <w:r>
        <w:rPr>
          <w:rFonts w:hint="eastAsia" w:ascii="黑体" w:eastAsia="黑体"/>
          <w:color w:val="auto"/>
          <w:spacing w:val="-16"/>
        </w:rPr>
        <w:t xml:space="preserve"> 号发布，国家税务总局公告 </w:t>
      </w:r>
      <w:r>
        <w:rPr>
          <w:rFonts w:hint="eastAsia" w:ascii="黑体" w:eastAsia="黑体"/>
          <w:color w:val="auto"/>
        </w:rPr>
        <w:t>2018</w:t>
      </w:r>
      <w:r>
        <w:rPr>
          <w:rFonts w:hint="eastAsia" w:ascii="黑体" w:eastAsia="黑体"/>
          <w:color w:val="auto"/>
          <w:spacing w:val="-42"/>
        </w:rPr>
        <w:t xml:space="preserve"> 年第 </w:t>
      </w:r>
      <w:r>
        <w:rPr>
          <w:rFonts w:hint="eastAsia" w:ascii="黑体" w:eastAsia="黑体"/>
          <w:color w:val="auto"/>
        </w:rPr>
        <w:t>31</w:t>
      </w:r>
      <w:r>
        <w:rPr>
          <w:rFonts w:hint="eastAsia" w:ascii="黑体" w:eastAsia="黑体"/>
          <w:color w:val="auto"/>
          <w:spacing w:val="-21"/>
        </w:rPr>
        <w:t xml:space="preserve"> 号修改</w:t>
      </w:r>
      <w:r>
        <w:rPr>
          <w:rFonts w:hint="eastAsia" w:ascii="黑体" w:eastAsia="黑体"/>
          <w:color w:val="auto"/>
        </w:rPr>
        <w:t xml:space="preserve">） </w:t>
      </w:r>
      <w:r>
        <w:rPr>
          <w:rFonts w:hint="eastAsia" w:ascii="黑体" w:eastAsia="黑体"/>
          <w:color w:val="auto"/>
          <w:spacing w:val="-57"/>
          <w:w w:val="95"/>
        </w:rPr>
        <w:t>2</w:t>
      </w:r>
      <w:r>
        <w:rPr>
          <w:rFonts w:hint="eastAsia" w:ascii="黑体" w:eastAsia="黑体"/>
          <w:color w:val="auto"/>
          <w:spacing w:val="-8"/>
          <w:w w:val="95"/>
        </w:rPr>
        <w:t>.《关于加快推进市场采购贸易方式试点工作的函</w:t>
      </w:r>
      <w:r>
        <w:rPr>
          <w:rFonts w:hint="eastAsia" w:ascii="黑体" w:eastAsia="黑体"/>
          <w:color w:val="auto"/>
          <w:spacing w:val="-221"/>
          <w:w w:val="95"/>
        </w:rPr>
        <w:t>》</w:t>
      </w:r>
      <w:r>
        <w:rPr>
          <w:rFonts w:hint="eastAsia" w:ascii="黑体" w:eastAsia="黑体"/>
          <w:color w:val="auto"/>
          <w:w w:val="95"/>
        </w:rPr>
        <w:t>（商</w:t>
      </w:r>
    </w:p>
    <w:p>
      <w:pPr>
        <w:pStyle w:val="4"/>
        <w:keepNext w:val="0"/>
        <w:keepLines w:val="0"/>
        <w:pageBreakBefore w:val="0"/>
        <w:widowControl w:val="0"/>
        <w:kinsoku/>
        <w:wordWrap/>
        <w:overflowPunct/>
        <w:topLinePunct w:val="0"/>
        <w:autoSpaceDE w:val="0"/>
        <w:autoSpaceDN w:val="0"/>
        <w:bidi w:val="0"/>
        <w:adjustRightInd/>
        <w:snapToGrid/>
        <w:spacing w:before="0" w:line="407" w:lineRule="exact"/>
        <w:ind w:firstLine="0"/>
        <w:jc w:val="both"/>
        <w:textAlignment w:val="auto"/>
        <w:rPr>
          <w:rFonts w:hint="eastAsia" w:ascii="黑体" w:eastAsia="黑体"/>
          <w:color w:val="auto"/>
        </w:rPr>
      </w:pPr>
      <w:r>
        <w:rPr>
          <w:rFonts w:hint="eastAsia" w:ascii="黑体" w:eastAsia="黑体"/>
          <w:color w:val="auto"/>
        </w:rPr>
        <w:t>贸函〔2020〕425 号）</w:t>
      </w:r>
    </w:p>
    <w:p>
      <w:pPr>
        <w:pStyle w:val="4"/>
        <w:keepNext w:val="0"/>
        <w:keepLines w:val="0"/>
        <w:pageBreakBefore w:val="0"/>
        <w:widowControl w:val="0"/>
        <w:kinsoku/>
        <w:wordWrap/>
        <w:overflowPunct/>
        <w:topLinePunct w:val="0"/>
        <w:autoSpaceDE w:val="0"/>
        <w:autoSpaceDN w:val="0"/>
        <w:bidi w:val="0"/>
        <w:adjustRightInd/>
        <w:snapToGrid/>
        <w:spacing w:before="0"/>
        <w:ind w:left="0" w:firstLine="0"/>
        <w:jc w:val="both"/>
        <w:textAlignment w:val="auto"/>
        <w:rPr>
          <w:rFonts w:ascii="黑体"/>
          <w:color w:val="auto"/>
        </w:rPr>
      </w:pPr>
    </w:p>
    <w:p>
      <w:pPr>
        <w:pStyle w:val="12"/>
        <w:keepNext w:val="0"/>
        <w:keepLines w:val="0"/>
        <w:pageBreakBefore w:val="0"/>
        <w:widowControl w:val="0"/>
        <w:numPr>
          <w:ilvl w:val="0"/>
          <w:numId w:val="36"/>
        </w:numPr>
        <w:tabs>
          <w:tab w:val="left" w:pos="805"/>
        </w:tabs>
        <w:kinsoku/>
        <w:wordWrap/>
        <w:overflowPunct/>
        <w:topLinePunct w:val="0"/>
        <w:autoSpaceDE w:val="0"/>
        <w:autoSpaceDN w:val="0"/>
        <w:bidi w:val="0"/>
        <w:adjustRightInd/>
        <w:snapToGrid/>
        <w:spacing w:before="279" w:after="0" w:line="240" w:lineRule="auto"/>
        <w:ind w:left="804" w:right="0" w:hanging="485"/>
        <w:jc w:val="both"/>
        <w:textAlignment w:val="auto"/>
        <w:rPr>
          <w:rFonts w:hint="eastAsia" w:ascii="宋体" w:eastAsia="宋体"/>
          <w:b/>
          <w:color w:val="auto"/>
          <w:sz w:val="32"/>
        </w:rPr>
      </w:pPr>
      <w:bookmarkStart w:id="18" w:name="_TOC_250031"/>
      <w:bookmarkEnd w:id="18"/>
      <w:r>
        <w:rPr>
          <w:rFonts w:hint="eastAsia" w:ascii="宋体" w:eastAsia="宋体"/>
          <w:b/>
          <w:color w:val="auto"/>
          <w:sz w:val="32"/>
        </w:rPr>
        <w:t>外贸综合服务企业代办退税政策</w:t>
      </w:r>
    </w:p>
    <w:p>
      <w:pPr>
        <w:keepNext w:val="0"/>
        <w:keepLines w:val="0"/>
        <w:pageBreakBefore w:val="0"/>
        <w:widowControl w:val="0"/>
        <w:kinsoku/>
        <w:wordWrap/>
        <w:overflowPunct/>
        <w:topLinePunct w:val="0"/>
        <w:autoSpaceDE w:val="0"/>
        <w:autoSpaceDN w:val="0"/>
        <w:bidi w:val="0"/>
        <w:adjustRightInd/>
        <w:snapToGrid/>
        <w:spacing w:before="30"/>
        <w:ind w:left="320" w:right="0" w:firstLine="0"/>
        <w:jc w:val="both"/>
        <w:textAlignment w:val="auto"/>
        <w:rPr>
          <w:rFonts w:hint="eastAsia" w:ascii="宋体" w:eastAsia="宋体"/>
          <w:b/>
          <w:color w:val="auto"/>
          <w:sz w:val="32"/>
        </w:rPr>
      </w:pPr>
      <w:r>
        <w:rPr>
          <w:rFonts w:hint="eastAsia" w:ascii="宋体" w:eastAsia="宋体"/>
          <w:b/>
          <w:color w:val="auto"/>
          <w:sz w:val="32"/>
        </w:rPr>
        <w:t>【适用主体】</w:t>
      </w:r>
    </w:p>
    <w:p>
      <w:pPr>
        <w:pStyle w:val="4"/>
        <w:keepNext w:val="0"/>
        <w:keepLines w:val="0"/>
        <w:pageBreakBefore w:val="0"/>
        <w:widowControl w:val="0"/>
        <w:kinsoku/>
        <w:wordWrap/>
        <w:overflowPunct/>
        <w:topLinePunct w:val="0"/>
        <w:autoSpaceDE w:val="0"/>
        <w:autoSpaceDN w:val="0"/>
        <w:bidi w:val="0"/>
        <w:adjustRightInd/>
        <w:snapToGrid/>
        <w:ind w:left="960" w:firstLine="0"/>
        <w:jc w:val="both"/>
        <w:textAlignment w:val="auto"/>
        <w:rPr>
          <w:color w:val="auto"/>
        </w:rPr>
      </w:pPr>
      <w:r>
        <w:rPr>
          <w:color w:val="auto"/>
        </w:rPr>
        <w:t>外贸综合服务企业及办理委托代办退税的生产企业</w:t>
      </w:r>
    </w:p>
    <w:p>
      <w:pPr>
        <w:keepNext w:val="0"/>
        <w:keepLines w:val="0"/>
        <w:pageBreakBefore w:val="0"/>
        <w:widowControl w:val="0"/>
        <w:kinsoku/>
        <w:wordWrap/>
        <w:overflowPunct/>
        <w:topLinePunct w:val="0"/>
        <w:autoSpaceDE w:val="0"/>
        <w:autoSpaceDN w:val="0"/>
        <w:bidi w:val="0"/>
        <w:adjustRightInd/>
        <w:snapToGrid/>
        <w:spacing w:before="214"/>
        <w:ind w:left="320" w:right="0" w:firstLine="0"/>
        <w:jc w:val="both"/>
        <w:textAlignment w:val="auto"/>
        <w:rPr>
          <w:rFonts w:hint="eastAsia" w:ascii="宋体" w:eastAsia="宋体"/>
          <w:b/>
          <w:color w:val="auto"/>
          <w:sz w:val="32"/>
        </w:rPr>
      </w:pPr>
      <w:r>
        <w:rPr>
          <w:rFonts w:hint="eastAsia" w:ascii="宋体" w:eastAsia="宋体"/>
          <w:b/>
          <w:color w:val="auto"/>
          <w:sz w:val="32"/>
        </w:rPr>
        <w:t>【政策内容】</w:t>
      </w:r>
    </w:p>
    <w:p>
      <w:pPr>
        <w:pStyle w:val="4"/>
        <w:keepNext w:val="0"/>
        <w:keepLines w:val="0"/>
        <w:pageBreakBefore w:val="0"/>
        <w:widowControl w:val="0"/>
        <w:kinsoku/>
        <w:wordWrap/>
        <w:overflowPunct/>
        <w:topLinePunct w:val="0"/>
        <w:autoSpaceDE w:val="0"/>
        <w:autoSpaceDN w:val="0"/>
        <w:bidi w:val="0"/>
        <w:adjustRightInd/>
        <w:snapToGrid/>
        <w:spacing w:line="364" w:lineRule="auto"/>
        <w:ind w:right="540"/>
        <w:jc w:val="both"/>
        <w:textAlignment w:val="auto"/>
        <w:rPr>
          <w:color w:val="auto"/>
        </w:rPr>
      </w:pPr>
      <w:r>
        <w:rPr>
          <w:color w:val="auto"/>
          <w:spacing w:val="11"/>
          <w:w w:val="95"/>
        </w:rPr>
        <w:t xml:space="preserve">外贸综合服务企业(以下简称综服企业)代国内生产企 </w:t>
      </w:r>
      <w:r>
        <w:rPr>
          <w:color w:val="auto"/>
          <w:spacing w:val="8"/>
        </w:rPr>
        <w:t>业办理出口退</w:t>
      </w:r>
      <w:r>
        <w:rPr>
          <w:color w:val="auto"/>
        </w:rPr>
        <w:t>（免</w:t>
      </w:r>
      <w:r>
        <w:rPr>
          <w:color w:val="auto"/>
          <w:spacing w:val="-5"/>
        </w:rPr>
        <w:t>）</w:t>
      </w:r>
      <w:r>
        <w:rPr>
          <w:color w:val="auto"/>
          <w:spacing w:val="-1"/>
        </w:rPr>
        <w:t>税事项同时符合相关条件的，可由综服</w:t>
      </w:r>
      <w:r>
        <w:rPr>
          <w:color w:val="auto"/>
          <w:spacing w:val="11"/>
          <w:w w:val="95"/>
        </w:rPr>
        <w:t>企业向综服企业所在地主管税务机关集中代为办理出口退</w:t>
      </w:r>
    </w:p>
    <w:p>
      <w:pPr>
        <w:pStyle w:val="4"/>
        <w:keepNext w:val="0"/>
        <w:keepLines w:val="0"/>
        <w:pageBreakBefore w:val="0"/>
        <w:widowControl w:val="0"/>
        <w:kinsoku/>
        <w:wordWrap/>
        <w:overflowPunct/>
        <w:topLinePunct w:val="0"/>
        <w:autoSpaceDE w:val="0"/>
        <w:autoSpaceDN w:val="0"/>
        <w:bidi w:val="0"/>
        <w:adjustRightInd/>
        <w:snapToGrid/>
        <w:spacing w:before="2"/>
        <w:ind w:firstLine="0"/>
        <w:jc w:val="both"/>
        <w:textAlignment w:val="auto"/>
        <w:rPr>
          <w:color w:val="auto"/>
        </w:rPr>
      </w:pPr>
      <w:r>
        <w:rPr>
          <w:color w:val="auto"/>
        </w:rPr>
        <w:t>（免）税事项（以下称代办退税）。</w:t>
      </w:r>
    </w:p>
    <w:p>
      <w:pPr>
        <w:keepNext w:val="0"/>
        <w:keepLines w:val="0"/>
        <w:pageBreakBefore w:val="0"/>
        <w:widowControl w:val="0"/>
        <w:kinsoku/>
        <w:wordWrap/>
        <w:overflowPunct/>
        <w:topLinePunct w:val="0"/>
        <w:autoSpaceDE w:val="0"/>
        <w:autoSpaceDN w:val="0"/>
        <w:bidi w:val="0"/>
        <w:adjustRightInd/>
        <w:snapToGrid/>
        <w:spacing w:before="214"/>
        <w:ind w:left="320" w:right="0" w:firstLine="0"/>
        <w:jc w:val="both"/>
        <w:textAlignment w:val="auto"/>
        <w:rPr>
          <w:rFonts w:hint="eastAsia" w:ascii="宋体" w:eastAsia="宋体"/>
          <w:b/>
          <w:color w:val="auto"/>
          <w:sz w:val="32"/>
        </w:rPr>
      </w:pPr>
      <w:r>
        <w:rPr>
          <w:rFonts w:hint="eastAsia" w:ascii="宋体" w:eastAsia="宋体"/>
          <w:b/>
          <w:color w:val="auto"/>
          <w:sz w:val="32"/>
        </w:rPr>
        <w:t>【适用条件】</w:t>
      </w:r>
    </w:p>
    <w:p>
      <w:pPr>
        <w:pStyle w:val="12"/>
        <w:keepNext w:val="0"/>
        <w:keepLines w:val="0"/>
        <w:pageBreakBefore w:val="0"/>
        <w:widowControl w:val="0"/>
        <w:numPr>
          <w:ilvl w:val="1"/>
          <w:numId w:val="36"/>
        </w:numPr>
        <w:tabs>
          <w:tab w:val="left" w:pos="1283"/>
        </w:tabs>
        <w:kinsoku/>
        <w:wordWrap/>
        <w:overflowPunct/>
        <w:topLinePunct w:val="0"/>
        <w:autoSpaceDE w:val="0"/>
        <w:autoSpaceDN w:val="0"/>
        <w:bidi w:val="0"/>
        <w:adjustRightInd/>
        <w:snapToGrid/>
        <w:spacing w:before="214" w:after="0" w:line="364" w:lineRule="auto"/>
        <w:ind w:left="320" w:right="540" w:firstLine="640"/>
        <w:jc w:val="both"/>
        <w:textAlignment w:val="auto"/>
        <w:rPr>
          <w:color w:val="auto"/>
          <w:sz w:val="32"/>
        </w:rPr>
      </w:pPr>
      <w:r>
        <w:rPr>
          <w:color w:val="auto"/>
          <w:spacing w:val="-1"/>
          <w:w w:val="95"/>
          <w:sz w:val="32"/>
        </w:rPr>
        <w:t>综服企业代国内生产企业办理出口退</w:t>
      </w:r>
      <w:r>
        <w:rPr>
          <w:color w:val="auto"/>
          <w:w w:val="95"/>
          <w:sz w:val="32"/>
        </w:rPr>
        <w:t>（免</w:t>
      </w:r>
      <w:r>
        <w:rPr>
          <w:color w:val="auto"/>
          <w:spacing w:val="-7"/>
          <w:w w:val="95"/>
          <w:sz w:val="32"/>
        </w:rPr>
        <w:t>）</w:t>
      </w:r>
      <w:r>
        <w:rPr>
          <w:color w:val="auto"/>
          <w:w w:val="95"/>
          <w:sz w:val="32"/>
        </w:rPr>
        <w:t xml:space="preserve">税事项同 </w:t>
      </w:r>
      <w:r>
        <w:rPr>
          <w:color w:val="auto"/>
          <w:spacing w:val="-2"/>
          <w:sz w:val="32"/>
        </w:rPr>
        <w:t>时符合下列条件的，可由综服企业向综服企业所在地主管税务机关集中代办退税：</w:t>
      </w:r>
    </w:p>
    <w:p>
      <w:pPr>
        <w:pStyle w:val="12"/>
        <w:keepNext w:val="0"/>
        <w:keepLines w:val="0"/>
        <w:pageBreakBefore w:val="0"/>
        <w:widowControl w:val="0"/>
        <w:numPr>
          <w:ilvl w:val="0"/>
          <w:numId w:val="42"/>
        </w:numPr>
        <w:tabs>
          <w:tab w:val="left" w:pos="1780"/>
        </w:tabs>
        <w:kinsoku/>
        <w:wordWrap/>
        <w:overflowPunct/>
        <w:topLinePunct w:val="0"/>
        <w:autoSpaceDE w:val="0"/>
        <w:autoSpaceDN w:val="0"/>
        <w:bidi w:val="0"/>
        <w:adjustRightInd/>
        <w:snapToGrid/>
        <w:spacing w:before="3" w:after="0" w:line="364" w:lineRule="auto"/>
        <w:ind w:left="320" w:right="537" w:firstLine="640"/>
        <w:jc w:val="both"/>
        <w:textAlignment w:val="auto"/>
        <w:rPr>
          <w:color w:val="auto"/>
          <w:sz w:val="32"/>
        </w:rPr>
      </w:pPr>
      <w:r>
        <w:rPr>
          <w:color w:val="auto"/>
          <w:spacing w:val="6"/>
          <w:w w:val="95"/>
          <w:sz w:val="32"/>
        </w:rPr>
        <w:t xml:space="preserve">符合商务部等部门规定的综服企业定义并向主管 </w:t>
      </w:r>
      <w:r>
        <w:rPr>
          <w:color w:val="auto"/>
          <w:spacing w:val="6"/>
          <w:sz w:val="32"/>
        </w:rPr>
        <w:t>税务机关备案。</w:t>
      </w:r>
    </w:p>
    <w:p>
      <w:pPr>
        <w:pStyle w:val="12"/>
        <w:keepNext w:val="0"/>
        <w:keepLines w:val="0"/>
        <w:pageBreakBefore w:val="0"/>
        <w:widowControl w:val="0"/>
        <w:numPr>
          <w:ilvl w:val="0"/>
          <w:numId w:val="42"/>
        </w:numPr>
        <w:tabs>
          <w:tab w:val="left" w:pos="1780"/>
        </w:tabs>
        <w:kinsoku/>
        <w:wordWrap/>
        <w:overflowPunct/>
        <w:topLinePunct w:val="0"/>
        <w:autoSpaceDE w:val="0"/>
        <w:autoSpaceDN w:val="0"/>
        <w:bidi w:val="0"/>
        <w:adjustRightInd/>
        <w:snapToGrid/>
        <w:spacing w:before="1" w:after="0" w:line="364" w:lineRule="auto"/>
        <w:ind w:left="320" w:right="537" w:firstLine="640"/>
        <w:jc w:val="both"/>
        <w:textAlignment w:val="auto"/>
        <w:rPr>
          <w:color w:val="auto"/>
          <w:sz w:val="32"/>
        </w:rPr>
      </w:pPr>
      <w:r>
        <w:rPr>
          <w:color w:val="auto"/>
          <w:spacing w:val="6"/>
          <w:w w:val="95"/>
          <w:sz w:val="32"/>
        </w:rPr>
        <w:t xml:space="preserve">企业内部已建立较为完善的代办退税内部风险管 </w:t>
      </w:r>
      <w:r>
        <w:rPr>
          <w:color w:val="auto"/>
          <w:spacing w:val="6"/>
          <w:sz w:val="32"/>
        </w:rPr>
        <w:t>控制度。</w:t>
      </w:r>
    </w:p>
    <w:p>
      <w:pPr>
        <w:pStyle w:val="12"/>
        <w:keepNext w:val="0"/>
        <w:keepLines w:val="0"/>
        <w:pageBreakBefore w:val="0"/>
        <w:widowControl w:val="0"/>
        <w:numPr>
          <w:ilvl w:val="1"/>
          <w:numId w:val="36"/>
        </w:numPr>
        <w:tabs>
          <w:tab w:val="left" w:pos="1283"/>
        </w:tabs>
        <w:kinsoku/>
        <w:wordWrap/>
        <w:overflowPunct/>
        <w:topLinePunct w:val="0"/>
        <w:autoSpaceDE w:val="0"/>
        <w:autoSpaceDN w:val="0"/>
        <w:bidi w:val="0"/>
        <w:adjustRightInd/>
        <w:snapToGrid/>
        <w:spacing w:before="2" w:after="0" w:line="364" w:lineRule="auto"/>
        <w:ind w:left="320" w:right="540" w:firstLine="640"/>
        <w:jc w:val="both"/>
        <w:textAlignment w:val="auto"/>
        <w:rPr>
          <w:color w:val="auto"/>
          <w:sz w:val="32"/>
        </w:rPr>
      </w:pPr>
      <w:r>
        <w:rPr>
          <w:color w:val="auto"/>
          <w:spacing w:val="-2"/>
          <w:w w:val="95"/>
          <w:sz w:val="32"/>
        </w:rPr>
        <w:t xml:space="preserve">生产企业出口货物，同时符合以下条件的，可由综服 </w:t>
      </w:r>
      <w:r>
        <w:rPr>
          <w:color w:val="auto"/>
          <w:spacing w:val="-2"/>
          <w:sz w:val="32"/>
        </w:rPr>
        <w:t>企业代办退税：</w:t>
      </w:r>
    </w:p>
    <w:p>
      <w:pPr>
        <w:pStyle w:val="12"/>
        <w:keepNext w:val="0"/>
        <w:keepLines w:val="0"/>
        <w:pageBreakBefore w:val="0"/>
        <w:widowControl w:val="0"/>
        <w:numPr>
          <w:ilvl w:val="0"/>
          <w:numId w:val="43"/>
        </w:numPr>
        <w:tabs>
          <w:tab w:val="left" w:pos="1761"/>
        </w:tabs>
        <w:kinsoku/>
        <w:wordWrap/>
        <w:overflowPunct/>
        <w:topLinePunct w:val="0"/>
        <w:autoSpaceDE w:val="0"/>
        <w:autoSpaceDN w:val="0"/>
        <w:bidi w:val="0"/>
        <w:adjustRightInd/>
        <w:snapToGrid/>
        <w:spacing w:before="1" w:after="0" w:line="240" w:lineRule="auto"/>
        <w:ind w:left="1760" w:right="0" w:hanging="801"/>
        <w:jc w:val="both"/>
        <w:textAlignment w:val="auto"/>
        <w:rPr>
          <w:color w:val="auto"/>
          <w:sz w:val="32"/>
        </w:rPr>
      </w:pPr>
      <w:r>
        <w:rPr>
          <w:color w:val="auto"/>
          <w:sz w:val="32"/>
        </w:rPr>
        <w:t>出口货物为生产企业的自产货物或视同自产货物。</w:t>
      </w:r>
    </w:p>
    <w:p>
      <w:pPr>
        <w:pStyle w:val="12"/>
        <w:keepNext w:val="0"/>
        <w:keepLines w:val="0"/>
        <w:pageBreakBefore w:val="0"/>
        <w:widowControl w:val="0"/>
        <w:numPr>
          <w:ilvl w:val="0"/>
          <w:numId w:val="43"/>
        </w:numPr>
        <w:tabs>
          <w:tab w:val="left" w:pos="1780"/>
        </w:tabs>
        <w:kinsoku/>
        <w:wordWrap/>
        <w:overflowPunct/>
        <w:topLinePunct w:val="0"/>
        <w:autoSpaceDE w:val="0"/>
        <w:autoSpaceDN w:val="0"/>
        <w:bidi w:val="0"/>
        <w:adjustRightInd/>
        <w:snapToGrid/>
        <w:spacing w:before="214" w:after="0" w:line="364" w:lineRule="auto"/>
        <w:ind w:left="320" w:right="537" w:firstLine="640"/>
        <w:jc w:val="both"/>
        <w:textAlignment w:val="auto"/>
        <w:rPr>
          <w:color w:val="auto"/>
          <w:sz w:val="32"/>
        </w:rPr>
      </w:pPr>
      <w:r>
        <w:rPr>
          <w:color w:val="auto"/>
          <w:spacing w:val="6"/>
          <w:w w:val="95"/>
          <w:sz w:val="32"/>
        </w:rPr>
        <w:t xml:space="preserve">生产企业为增值税一般纳税人并已按规定办理出 </w:t>
      </w:r>
      <w:r>
        <w:rPr>
          <w:color w:val="auto"/>
          <w:spacing w:val="6"/>
          <w:sz w:val="32"/>
        </w:rPr>
        <w:t>口退（免）税备案。</w:t>
      </w:r>
    </w:p>
    <w:p>
      <w:pPr>
        <w:pStyle w:val="12"/>
        <w:keepNext w:val="0"/>
        <w:keepLines w:val="0"/>
        <w:pageBreakBefore w:val="0"/>
        <w:widowControl w:val="0"/>
        <w:numPr>
          <w:ilvl w:val="0"/>
          <w:numId w:val="43"/>
        </w:numPr>
        <w:tabs>
          <w:tab w:val="left" w:pos="1761"/>
        </w:tabs>
        <w:kinsoku/>
        <w:wordWrap/>
        <w:overflowPunct/>
        <w:topLinePunct w:val="0"/>
        <w:autoSpaceDE w:val="0"/>
        <w:autoSpaceDN w:val="0"/>
        <w:bidi w:val="0"/>
        <w:adjustRightInd/>
        <w:snapToGrid/>
        <w:spacing w:before="2" w:after="0" w:line="240" w:lineRule="auto"/>
        <w:ind w:left="1760" w:right="0" w:hanging="801"/>
        <w:jc w:val="both"/>
        <w:textAlignment w:val="auto"/>
        <w:rPr>
          <w:color w:val="auto"/>
          <w:sz w:val="32"/>
        </w:rPr>
      </w:pPr>
      <w:r>
        <w:rPr>
          <w:color w:val="auto"/>
          <w:sz w:val="32"/>
        </w:rPr>
        <w:t>生产企业已与境外单位或个人签订出口合同。</w:t>
      </w:r>
    </w:p>
    <w:p>
      <w:pPr>
        <w:pStyle w:val="12"/>
        <w:keepNext w:val="0"/>
        <w:keepLines w:val="0"/>
        <w:pageBreakBefore w:val="0"/>
        <w:widowControl w:val="0"/>
        <w:numPr>
          <w:ilvl w:val="0"/>
          <w:numId w:val="43"/>
        </w:numPr>
        <w:tabs>
          <w:tab w:val="left" w:pos="1761"/>
        </w:tabs>
        <w:kinsoku/>
        <w:wordWrap/>
        <w:overflowPunct/>
        <w:topLinePunct w:val="0"/>
        <w:autoSpaceDE w:val="0"/>
        <w:autoSpaceDN w:val="0"/>
        <w:bidi w:val="0"/>
        <w:adjustRightInd/>
        <w:snapToGrid/>
        <w:spacing w:before="214" w:after="0" w:line="240" w:lineRule="auto"/>
        <w:ind w:left="1760" w:right="0" w:hanging="801"/>
        <w:jc w:val="both"/>
        <w:textAlignment w:val="auto"/>
        <w:rPr>
          <w:color w:val="auto"/>
          <w:sz w:val="32"/>
        </w:rPr>
      </w:pPr>
      <w:r>
        <w:rPr>
          <w:color w:val="auto"/>
          <w:spacing w:val="-5"/>
          <w:sz w:val="32"/>
        </w:rPr>
        <w:t>生产企业已与综服企业签订外贸综合服务合同</w:t>
      </w:r>
      <w:r>
        <w:rPr>
          <w:color w:val="auto"/>
          <w:sz w:val="32"/>
        </w:rPr>
        <w:t>（协</w:t>
      </w:r>
    </w:p>
    <w:p>
      <w:pPr>
        <w:pStyle w:val="4"/>
        <w:keepNext w:val="0"/>
        <w:keepLines w:val="0"/>
        <w:pageBreakBefore w:val="0"/>
        <w:widowControl w:val="0"/>
        <w:kinsoku/>
        <w:wordWrap/>
        <w:overflowPunct/>
        <w:topLinePunct w:val="0"/>
        <w:autoSpaceDE w:val="0"/>
        <w:autoSpaceDN w:val="0"/>
        <w:bidi w:val="0"/>
        <w:adjustRightInd/>
        <w:snapToGrid/>
        <w:spacing w:before="30" w:line="364" w:lineRule="auto"/>
        <w:ind w:right="378" w:firstLine="0"/>
        <w:jc w:val="both"/>
        <w:textAlignment w:val="auto"/>
        <w:rPr>
          <w:color w:val="auto"/>
        </w:rPr>
      </w:pPr>
      <w:r>
        <w:rPr>
          <w:color w:val="auto"/>
        </w:rPr>
        <w:t>议</w:t>
      </w:r>
      <w:r>
        <w:rPr>
          <w:color w:val="auto"/>
          <w:spacing w:val="-42"/>
        </w:rPr>
        <w:t>）</w:t>
      </w:r>
      <w:r>
        <w:rPr>
          <w:color w:val="auto"/>
          <w:spacing w:val="-12"/>
        </w:rPr>
        <w:t>，约定由综服企业提供包括报关报检、物流、代办退税、</w:t>
      </w:r>
      <w:r>
        <w:rPr>
          <w:color w:val="auto"/>
        </w:rPr>
        <w:t>结算等在内的综合服务，并明确相关法律责任。</w:t>
      </w:r>
    </w:p>
    <w:p>
      <w:pPr>
        <w:pStyle w:val="12"/>
        <w:keepNext w:val="0"/>
        <w:keepLines w:val="0"/>
        <w:pageBreakBefore w:val="0"/>
        <w:widowControl w:val="0"/>
        <w:numPr>
          <w:ilvl w:val="0"/>
          <w:numId w:val="43"/>
        </w:numPr>
        <w:tabs>
          <w:tab w:val="left" w:pos="1780"/>
        </w:tabs>
        <w:kinsoku/>
        <w:wordWrap/>
        <w:overflowPunct/>
        <w:topLinePunct w:val="0"/>
        <w:autoSpaceDE w:val="0"/>
        <w:autoSpaceDN w:val="0"/>
        <w:bidi w:val="0"/>
        <w:adjustRightInd/>
        <w:snapToGrid/>
        <w:spacing w:before="1" w:after="0" w:line="364" w:lineRule="auto"/>
        <w:ind w:left="320" w:right="537" w:firstLine="640"/>
        <w:jc w:val="both"/>
        <w:textAlignment w:val="auto"/>
        <w:rPr>
          <w:color w:val="auto"/>
          <w:sz w:val="32"/>
        </w:rPr>
      </w:pPr>
      <w:r>
        <w:rPr>
          <w:color w:val="auto"/>
          <w:spacing w:val="6"/>
          <w:w w:val="95"/>
          <w:sz w:val="32"/>
        </w:rPr>
        <w:t xml:space="preserve">生产企业向主管税务机关提供代办退税的开户银 </w:t>
      </w:r>
      <w:r>
        <w:rPr>
          <w:color w:val="auto"/>
          <w:spacing w:val="6"/>
          <w:sz w:val="32"/>
        </w:rPr>
        <w:t>行和账号。</w:t>
      </w:r>
    </w:p>
    <w:p>
      <w:pPr>
        <w:pStyle w:val="12"/>
        <w:keepNext w:val="0"/>
        <w:keepLines w:val="0"/>
        <w:pageBreakBefore w:val="0"/>
        <w:widowControl w:val="0"/>
        <w:numPr>
          <w:ilvl w:val="1"/>
          <w:numId w:val="36"/>
        </w:numPr>
        <w:tabs>
          <w:tab w:val="left" w:pos="1280"/>
        </w:tabs>
        <w:kinsoku/>
        <w:wordWrap/>
        <w:overflowPunct/>
        <w:topLinePunct w:val="0"/>
        <w:autoSpaceDE w:val="0"/>
        <w:autoSpaceDN w:val="0"/>
        <w:bidi w:val="0"/>
        <w:adjustRightInd/>
        <w:snapToGrid/>
        <w:spacing w:before="2" w:after="0" w:line="364" w:lineRule="auto"/>
        <w:ind w:left="320" w:right="537" w:firstLine="640"/>
        <w:jc w:val="both"/>
        <w:textAlignment w:val="auto"/>
        <w:rPr>
          <w:color w:val="auto"/>
          <w:sz w:val="32"/>
        </w:rPr>
      </w:pPr>
      <w:r>
        <w:rPr>
          <w:color w:val="auto"/>
          <w:spacing w:val="-1"/>
          <w:sz w:val="32"/>
        </w:rPr>
        <w:t>生产企业代办退税的出口货物，应先按出口货物离岸</w:t>
      </w:r>
      <w:r>
        <w:rPr>
          <w:color w:val="auto"/>
          <w:spacing w:val="11"/>
          <w:w w:val="95"/>
          <w:sz w:val="32"/>
        </w:rPr>
        <w:t xml:space="preserve">价和增值税适用税率计算销项税额并按规定申报缴纳增值 </w:t>
      </w:r>
      <w:r>
        <w:rPr>
          <w:color w:val="auto"/>
          <w:spacing w:val="-1"/>
          <w:w w:val="95"/>
          <w:sz w:val="32"/>
        </w:rPr>
        <w:t xml:space="preserve">税，同时向综服企业开具备注栏内注明“代办退税专用”的 </w:t>
      </w:r>
      <w:r>
        <w:rPr>
          <w:color w:val="auto"/>
          <w:spacing w:val="-2"/>
          <w:sz w:val="32"/>
        </w:rPr>
        <w:t>增值税专用发票</w:t>
      </w:r>
      <w:r>
        <w:rPr>
          <w:color w:val="auto"/>
          <w:sz w:val="32"/>
        </w:rPr>
        <w:t>（以下称代办退税专用发票</w:t>
      </w:r>
      <w:r>
        <w:rPr>
          <w:color w:val="auto"/>
          <w:spacing w:val="-5"/>
          <w:sz w:val="32"/>
        </w:rPr>
        <w:t>）</w:t>
      </w:r>
      <w:r>
        <w:rPr>
          <w:color w:val="auto"/>
          <w:spacing w:val="-2"/>
          <w:sz w:val="32"/>
        </w:rPr>
        <w:t>，作为综服企业代办退税的凭证。</w:t>
      </w:r>
    </w:p>
    <w:p>
      <w:pPr>
        <w:pStyle w:val="4"/>
        <w:keepNext w:val="0"/>
        <w:keepLines w:val="0"/>
        <w:pageBreakBefore w:val="0"/>
        <w:widowControl w:val="0"/>
        <w:kinsoku/>
        <w:wordWrap/>
        <w:overflowPunct/>
        <w:topLinePunct w:val="0"/>
        <w:autoSpaceDE w:val="0"/>
        <w:autoSpaceDN w:val="0"/>
        <w:bidi w:val="0"/>
        <w:adjustRightInd/>
        <w:snapToGrid/>
        <w:spacing w:before="4" w:line="364" w:lineRule="auto"/>
        <w:ind w:right="537"/>
        <w:jc w:val="both"/>
        <w:textAlignment w:val="auto"/>
        <w:rPr>
          <w:color w:val="auto"/>
        </w:rPr>
      </w:pPr>
      <w:r>
        <w:rPr>
          <w:color w:val="auto"/>
          <w:spacing w:val="-1"/>
        </w:rPr>
        <w:t>出口货物离岸价以人民币以外的货币结算的，其人民币</w:t>
      </w:r>
      <w:r>
        <w:rPr>
          <w:color w:val="auto"/>
          <w:spacing w:val="-6"/>
        </w:rPr>
        <w:t xml:space="preserve">折合率可以选择销售额发生的当天或者当月 </w:t>
      </w:r>
      <w:r>
        <w:rPr>
          <w:color w:val="auto"/>
        </w:rPr>
        <w:t>1</w:t>
      </w:r>
      <w:r>
        <w:rPr>
          <w:color w:val="auto"/>
          <w:spacing w:val="-15"/>
        </w:rPr>
        <w:t xml:space="preserve"> 日的人民币汇率中间价。</w:t>
      </w:r>
    </w:p>
    <w:p>
      <w:pPr>
        <w:pStyle w:val="4"/>
        <w:keepNext w:val="0"/>
        <w:keepLines w:val="0"/>
        <w:pageBreakBefore w:val="0"/>
        <w:widowControl w:val="0"/>
        <w:kinsoku/>
        <w:wordWrap/>
        <w:overflowPunct/>
        <w:topLinePunct w:val="0"/>
        <w:autoSpaceDE w:val="0"/>
        <w:autoSpaceDN w:val="0"/>
        <w:bidi w:val="0"/>
        <w:adjustRightInd/>
        <w:snapToGrid/>
        <w:spacing w:before="2" w:line="364" w:lineRule="auto"/>
        <w:ind w:right="540"/>
        <w:jc w:val="both"/>
        <w:textAlignment w:val="auto"/>
        <w:rPr>
          <w:color w:val="auto"/>
        </w:rPr>
      </w:pPr>
      <w:r>
        <w:rPr>
          <w:color w:val="auto"/>
          <w:spacing w:val="13"/>
          <w:w w:val="95"/>
        </w:rPr>
        <w:t xml:space="preserve">代办退税专用发票上的“金额”栏次须按照换算成人 </w:t>
      </w:r>
      <w:r>
        <w:rPr>
          <w:color w:val="auto"/>
          <w:spacing w:val="13"/>
        </w:rPr>
        <w:t>民币金额的出口货物离岸价填写。</w:t>
      </w:r>
    </w:p>
    <w:p>
      <w:pPr>
        <w:pStyle w:val="12"/>
        <w:keepNext w:val="0"/>
        <w:keepLines w:val="0"/>
        <w:pageBreakBefore w:val="0"/>
        <w:widowControl w:val="0"/>
        <w:numPr>
          <w:ilvl w:val="1"/>
          <w:numId w:val="36"/>
        </w:numPr>
        <w:tabs>
          <w:tab w:val="left" w:pos="1280"/>
        </w:tabs>
        <w:kinsoku/>
        <w:wordWrap/>
        <w:overflowPunct/>
        <w:topLinePunct w:val="0"/>
        <w:autoSpaceDE w:val="0"/>
        <w:autoSpaceDN w:val="0"/>
        <w:bidi w:val="0"/>
        <w:adjustRightInd/>
        <w:snapToGrid/>
        <w:spacing w:before="2" w:after="0" w:line="364" w:lineRule="auto"/>
        <w:ind w:left="320" w:right="537" w:firstLine="640"/>
        <w:jc w:val="both"/>
        <w:textAlignment w:val="auto"/>
        <w:rPr>
          <w:color w:val="auto"/>
          <w:sz w:val="32"/>
        </w:rPr>
      </w:pPr>
      <w:r>
        <w:rPr>
          <w:color w:val="auto"/>
          <w:spacing w:val="-1"/>
          <w:sz w:val="32"/>
        </w:rPr>
        <w:t>综服企业向其主管税务机关申报代办退税，应退税额</w:t>
      </w:r>
      <w:r>
        <w:rPr>
          <w:color w:val="auto"/>
          <w:spacing w:val="11"/>
          <w:w w:val="95"/>
          <w:sz w:val="32"/>
        </w:rPr>
        <w:t xml:space="preserve">按代办退税专用发票上注明的“金额”和出口货物适用的 </w:t>
      </w:r>
      <w:r>
        <w:rPr>
          <w:color w:val="auto"/>
          <w:spacing w:val="11"/>
          <w:sz w:val="32"/>
        </w:rPr>
        <w:t>出口退税率计算。</w:t>
      </w:r>
    </w:p>
    <w:p>
      <w:pPr>
        <w:pStyle w:val="4"/>
        <w:keepNext w:val="0"/>
        <w:keepLines w:val="0"/>
        <w:pageBreakBefore w:val="0"/>
        <w:widowControl w:val="0"/>
        <w:kinsoku/>
        <w:wordWrap/>
        <w:overflowPunct/>
        <w:topLinePunct w:val="0"/>
        <w:autoSpaceDE w:val="0"/>
        <w:autoSpaceDN w:val="0"/>
        <w:bidi w:val="0"/>
        <w:adjustRightInd/>
        <w:snapToGrid/>
        <w:spacing w:before="2" w:line="364" w:lineRule="auto"/>
        <w:ind w:right="540"/>
        <w:jc w:val="both"/>
        <w:textAlignment w:val="auto"/>
        <w:rPr>
          <w:color w:val="auto"/>
        </w:rPr>
      </w:pPr>
      <w:r>
        <w:rPr>
          <w:color w:val="auto"/>
          <w:spacing w:val="3"/>
          <w:w w:val="95"/>
        </w:rPr>
        <w:t xml:space="preserve">应退税额=代办退税专用发票上注明的“金额”×出口 </w:t>
      </w:r>
      <w:r>
        <w:rPr>
          <w:color w:val="auto"/>
          <w:spacing w:val="3"/>
        </w:rPr>
        <w:t>货物适用的出口退税率</w:t>
      </w:r>
    </w:p>
    <w:p>
      <w:pPr>
        <w:pStyle w:val="12"/>
        <w:keepNext w:val="0"/>
        <w:keepLines w:val="0"/>
        <w:pageBreakBefore w:val="0"/>
        <w:widowControl w:val="0"/>
        <w:numPr>
          <w:ilvl w:val="1"/>
          <w:numId w:val="36"/>
        </w:numPr>
        <w:tabs>
          <w:tab w:val="left" w:pos="1292"/>
        </w:tabs>
        <w:kinsoku/>
        <w:wordWrap/>
        <w:overflowPunct/>
        <w:topLinePunct w:val="0"/>
        <w:autoSpaceDE w:val="0"/>
        <w:autoSpaceDN w:val="0"/>
        <w:bidi w:val="0"/>
        <w:adjustRightInd/>
        <w:snapToGrid/>
        <w:spacing w:before="2" w:after="0" w:line="364" w:lineRule="auto"/>
        <w:ind w:left="320" w:right="540" w:firstLine="640"/>
        <w:jc w:val="both"/>
        <w:textAlignment w:val="auto"/>
        <w:rPr>
          <w:color w:val="auto"/>
          <w:sz w:val="32"/>
        </w:rPr>
      </w:pPr>
      <w:r>
        <w:rPr>
          <w:color w:val="auto"/>
          <w:spacing w:val="13"/>
          <w:w w:val="95"/>
          <w:sz w:val="32"/>
        </w:rPr>
        <w:t xml:space="preserve">代办退税专用发票不得作为综服企业的增值税扣税 </w:t>
      </w:r>
      <w:r>
        <w:rPr>
          <w:color w:val="auto"/>
          <w:spacing w:val="13"/>
          <w:sz w:val="32"/>
        </w:rPr>
        <w:t>凭证。</w:t>
      </w:r>
    </w:p>
    <w:p>
      <w:pPr>
        <w:keepNext w:val="0"/>
        <w:keepLines w:val="0"/>
        <w:pageBreakBefore w:val="0"/>
        <w:widowControl w:val="0"/>
        <w:kinsoku/>
        <w:wordWrap/>
        <w:overflowPunct/>
        <w:topLinePunct w:val="0"/>
        <w:autoSpaceDE w:val="0"/>
        <w:autoSpaceDN w:val="0"/>
        <w:bidi w:val="0"/>
        <w:adjustRightInd/>
        <w:snapToGrid/>
        <w:spacing w:before="2"/>
        <w:ind w:left="320" w:right="0" w:firstLine="0"/>
        <w:jc w:val="both"/>
        <w:textAlignment w:val="auto"/>
        <w:rPr>
          <w:rFonts w:hint="eastAsia" w:ascii="宋体" w:eastAsia="宋体"/>
          <w:b/>
          <w:color w:val="auto"/>
          <w:sz w:val="32"/>
        </w:rPr>
      </w:pPr>
      <w:r>
        <w:rPr>
          <w:rFonts w:hint="eastAsia" w:ascii="宋体" w:eastAsia="宋体"/>
          <w:b/>
          <w:color w:val="auto"/>
          <w:sz w:val="32"/>
        </w:rPr>
        <w:t>【政策依据】</w:t>
      </w:r>
    </w:p>
    <w:p>
      <w:pPr>
        <w:pStyle w:val="4"/>
        <w:keepNext w:val="0"/>
        <w:keepLines w:val="0"/>
        <w:pageBreakBefore w:val="0"/>
        <w:widowControl w:val="0"/>
        <w:kinsoku/>
        <w:wordWrap/>
        <w:overflowPunct/>
        <w:topLinePunct w:val="0"/>
        <w:autoSpaceDE w:val="0"/>
        <w:autoSpaceDN w:val="0"/>
        <w:bidi w:val="0"/>
        <w:adjustRightInd/>
        <w:snapToGrid/>
        <w:spacing w:before="32" w:line="326" w:lineRule="auto"/>
        <w:ind w:right="540"/>
        <w:jc w:val="both"/>
        <w:textAlignment w:val="auto"/>
        <w:rPr>
          <w:rFonts w:hint="eastAsia" w:ascii="黑体" w:eastAsia="黑体"/>
          <w:color w:val="auto"/>
        </w:rPr>
      </w:pPr>
      <w:r>
        <w:rPr>
          <w:rFonts w:hint="eastAsia" w:ascii="黑体" w:eastAsia="黑体"/>
          <w:color w:val="auto"/>
          <w:spacing w:val="-8"/>
          <w:w w:val="95"/>
        </w:rPr>
        <w:t>1</w:t>
      </w:r>
      <w:r>
        <w:rPr>
          <w:rFonts w:hint="eastAsia" w:ascii="黑体" w:eastAsia="黑体"/>
          <w:color w:val="auto"/>
          <w:spacing w:val="-3"/>
          <w:w w:val="95"/>
        </w:rPr>
        <w:t xml:space="preserve">.《国家税务总局关于调整完善外贸综合服务企业办理 </w:t>
      </w:r>
      <w:r>
        <w:rPr>
          <w:rFonts w:hint="eastAsia" w:ascii="黑体" w:eastAsia="黑体"/>
          <w:color w:val="auto"/>
          <w:spacing w:val="-3"/>
        </w:rPr>
        <w:t>出口货物退（免）税有关事项的公告》（2017</w:t>
      </w:r>
      <w:r>
        <w:rPr>
          <w:rFonts w:hint="eastAsia" w:ascii="黑体" w:eastAsia="黑体"/>
          <w:color w:val="auto"/>
          <w:spacing w:val="-43"/>
        </w:rPr>
        <w:t xml:space="preserve"> 年第 </w:t>
      </w:r>
      <w:r>
        <w:rPr>
          <w:rFonts w:hint="eastAsia" w:ascii="黑体" w:eastAsia="黑体"/>
          <w:color w:val="auto"/>
        </w:rPr>
        <w:t>35</w:t>
      </w:r>
      <w:r>
        <w:rPr>
          <w:rFonts w:hint="eastAsia" w:ascii="黑体" w:eastAsia="黑体"/>
          <w:color w:val="auto"/>
          <w:spacing w:val="-42"/>
        </w:rPr>
        <w:t xml:space="preserve"> 号</w:t>
      </w:r>
      <w:r>
        <w:rPr>
          <w:rFonts w:hint="eastAsia" w:ascii="黑体" w:eastAsia="黑体"/>
          <w:color w:val="auto"/>
        </w:rPr>
        <w:t>）</w:t>
      </w:r>
      <w:r>
        <w:rPr>
          <w:rFonts w:hint="eastAsia" w:ascii="黑体" w:eastAsia="黑体"/>
          <w:color w:val="auto"/>
          <w:w w:val="99"/>
        </w:rPr>
        <w:t xml:space="preserve"> </w:t>
      </w:r>
      <w:r>
        <w:rPr>
          <w:rFonts w:hint="eastAsia" w:ascii="黑体" w:eastAsia="黑体"/>
          <w:color w:val="auto"/>
        </w:rPr>
        <w:t>2</w:t>
      </w:r>
      <w:r>
        <w:rPr>
          <w:rFonts w:hint="eastAsia" w:ascii="黑体" w:eastAsia="黑体"/>
          <w:color w:val="auto"/>
          <w:spacing w:val="1"/>
        </w:rPr>
        <w:t>.《国家税务总局关于进一步便利出口退税办理 促进</w:t>
      </w:r>
    </w:p>
    <w:p>
      <w:pPr>
        <w:pStyle w:val="4"/>
        <w:keepNext w:val="0"/>
        <w:keepLines w:val="0"/>
        <w:pageBreakBefore w:val="0"/>
        <w:widowControl w:val="0"/>
        <w:kinsoku/>
        <w:wordWrap/>
        <w:overflowPunct/>
        <w:topLinePunct w:val="0"/>
        <w:autoSpaceDE w:val="0"/>
        <w:autoSpaceDN w:val="0"/>
        <w:bidi w:val="0"/>
        <w:adjustRightInd/>
        <w:snapToGrid/>
        <w:spacing w:before="7"/>
        <w:ind w:firstLine="0"/>
        <w:jc w:val="both"/>
        <w:textAlignment w:val="auto"/>
        <w:rPr>
          <w:rFonts w:hint="eastAsia" w:ascii="黑体" w:eastAsia="黑体"/>
          <w:color w:val="auto"/>
        </w:rPr>
      </w:pPr>
      <w:r>
        <w:rPr>
          <w:rFonts w:hint="eastAsia" w:ascii="黑体" w:eastAsia="黑体"/>
          <w:color w:val="auto"/>
          <w:spacing w:val="-5"/>
        </w:rPr>
        <w:t>外贸平稳发展有关事项的公告》</w:t>
      </w:r>
      <w:r>
        <w:rPr>
          <w:rFonts w:hint="eastAsia" w:ascii="黑体" w:eastAsia="黑体"/>
          <w:color w:val="auto"/>
        </w:rPr>
        <w:t>（2022</w:t>
      </w:r>
      <w:r>
        <w:rPr>
          <w:rFonts w:hint="eastAsia" w:ascii="黑体" w:eastAsia="黑体"/>
          <w:color w:val="auto"/>
          <w:spacing w:val="-42"/>
        </w:rPr>
        <w:t xml:space="preserve"> 年第 </w:t>
      </w:r>
      <w:r>
        <w:rPr>
          <w:rFonts w:hint="eastAsia" w:ascii="黑体" w:eastAsia="黑体"/>
          <w:color w:val="auto"/>
        </w:rPr>
        <w:t>9</w:t>
      </w:r>
      <w:r>
        <w:rPr>
          <w:rFonts w:hint="eastAsia" w:ascii="黑体" w:eastAsia="黑体"/>
          <w:color w:val="auto"/>
          <w:spacing w:val="-42"/>
        </w:rPr>
        <w:t xml:space="preserve"> 号</w:t>
      </w:r>
      <w:r>
        <w:rPr>
          <w:rFonts w:hint="eastAsia" w:ascii="黑体" w:eastAsia="黑体"/>
          <w:color w:val="auto"/>
          <w:spacing w:val="-31"/>
        </w:rPr>
        <w:t>）</w:t>
      </w:r>
      <w:r>
        <w:rPr>
          <w:rFonts w:hint="eastAsia" w:ascii="黑体" w:eastAsia="黑体"/>
          <w:color w:val="auto"/>
        </w:rPr>
        <w:t>第六条第</w:t>
      </w:r>
    </w:p>
    <w:p>
      <w:pPr>
        <w:pStyle w:val="4"/>
        <w:keepNext w:val="0"/>
        <w:keepLines w:val="0"/>
        <w:pageBreakBefore w:val="0"/>
        <w:widowControl w:val="0"/>
        <w:kinsoku/>
        <w:wordWrap/>
        <w:overflowPunct/>
        <w:topLinePunct w:val="0"/>
        <w:autoSpaceDE w:val="0"/>
        <w:autoSpaceDN w:val="0"/>
        <w:bidi w:val="0"/>
        <w:adjustRightInd/>
        <w:snapToGrid/>
        <w:spacing w:before="149"/>
        <w:ind w:firstLine="0"/>
        <w:jc w:val="both"/>
        <w:textAlignment w:val="auto"/>
        <w:rPr>
          <w:rFonts w:hint="eastAsia" w:ascii="黑体" w:eastAsia="黑体"/>
          <w:color w:val="auto"/>
        </w:rPr>
      </w:pPr>
      <w:r>
        <w:rPr>
          <w:rFonts w:hint="eastAsia" w:ascii="黑体" w:eastAsia="黑体"/>
          <w:color w:val="auto"/>
        </w:rPr>
        <w:t>（一）项</w:t>
      </w:r>
    </w:p>
    <w:p>
      <w:pPr>
        <w:pStyle w:val="4"/>
        <w:keepNext w:val="0"/>
        <w:keepLines w:val="0"/>
        <w:pageBreakBefore w:val="0"/>
        <w:widowControl w:val="0"/>
        <w:kinsoku/>
        <w:wordWrap/>
        <w:overflowPunct/>
        <w:topLinePunct w:val="0"/>
        <w:autoSpaceDE w:val="0"/>
        <w:autoSpaceDN w:val="0"/>
        <w:bidi w:val="0"/>
        <w:adjustRightInd/>
        <w:snapToGrid/>
        <w:spacing w:before="0"/>
        <w:ind w:left="0" w:firstLine="0"/>
        <w:jc w:val="both"/>
        <w:textAlignment w:val="auto"/>
        <w:rPr>
          <w:rFonts w:ascii="黑体"/>
          <w:color w:val="auto"/>
        </w:rPr>
      </w:pPr>
    </w:p>
    <w:p>
      <w:pPr>
        <w:keepNext w:val="0"/>
        <w:keepLines w:val="0"/>
        <w:pageBreakBefore w:val="0"/>
        <w:widowControl w:val="0"/>
        <w:kinsoku/>
        <w:wordWrap/>
        <w:overflowPunct/>
        <w:topLinePunct w:val="0"/>
        <w:autoSpaceDE w:val="0"/>
        <w:autoSpaceDN w:val="0"/>
        <w:bidi w:val="0"/>
        <w:adjustRightInd/>
        <w:snapToGrid/>
        <w:spacing w:before="251"/>
        <w:ind w:left="320" w:right="0" w:firstLine="0"/>
        <w:jc w:val="both"/>
        <w:textAlignment w:val="auto"/>
        <w:rPr>
          <w:rFonts w:hint="eastAsia" w:ascii="楷体_GB2312" w:eastAsia="楷体_GB2312"/>
          <w:b/>
          <w:color w:val="auto"/>
          <w:sz w:val="36"/>
        </w:rPr>
      </w:pPr>
      <w:bookmarkStart w:id="19" w:name="_TOC_250030"/>
      <w:bookmarkEnd w:id="19"/>
      <w:r>
        <w:rPr>
          <w:rFonts w:hint="eastAsia" w:ascii="楷体_GB2312" w:eastAsia="楷体_GB2312"/>
          <w:b/>
          <w:color w:val="auto"/>
          <w:sz w:val="36"/>
        </w:rPr>
        <w:t>（四）出口退（免）税服务便利化举措</w:t>
      </w:r>
    </w:p>
    <w:p>
      <w:pPr>
        <w:pStyle w:val="12"/>
        <w:keepNext w:val="0"/>
        <w:keepLines w:val="0"/>
        <w:pageBreakBefore w:val="0"/>
        <w:widowControl w:val="0"/>
        <w:numPr>
          <w:ilvl w:val="0"/>
          <w:numId w:val="36"/>
        </w:numPr>
        <w:tabs>
          <w:tab w:val="left" w:pos="805"/>
        </w:tabs>
        <w:kinsoku/>
        <w:wordWrap/>
        <w:overflowPunct/>
        <w:topLinePunct w:val="0"/>
        <w:autoSpaceDE w:val="0"/>
        <w:autoSpaceDN w:val="0"/>
        <w:bidi w:val="0"/>
        <w:adjustRightInd/>
        <w:snapToGrid/>
        <w:spacing w:before="191" w:after="0" w:line="240" w:lineRule="auto"/>
        <w:ind w:left="804" w:right="0" w:hanging="485"/>
        <w:jc w:val="both"/>
        <w:textAlignment w:val="auto"/>
        <w:rPr>
          <w:rFonts w:hint="eastAsia" w:ascii="宋体" w:eastAsia="宋体"/>
          <w:b/>
          <w:color w:val="auto"/>
          <w:sz w:val="32"/>
        </w:rPr>
      </w:pPr>
      <w:bookmarkStart w:id="20" w:name="_TOC_250029"/>
      <w:bookmarkEnd w:id="20"/>
      <w:r>
        <w:rPr>
          <w:rFonts w:hint="eastAsia" w:ascii="宋体" w:eastAsia="宋体"/>
          <w:b/>
          <w:color w:val="auto"/>
          <w:sz w:val="32"/>
        </w:rPr>
        <w:t>简并优化出口退（免）税报送资料和办理流程</w:t>
      </w:r>
    </w:p>
    <w:p>
      <w:pPr>
        <w:keepNext w:val="0"/>
        <w:keepLines w:val="0"/>
        <w:pageBreakBefore w:val="0"/>
        <w:widowControl w:val="0"/>
        <w:kinsoku/>
        <w:wordWrap/>
        <w:overflowPunct/>
        <w:topLinePunct w:val="0"/>
        <w:autoSpaceDE w:val="0"/>
        <w:autoSpaceDN w:val="0"/>
        <w:bidi w:val="0"/>
        <w:adjustRightInd/>
        <w:snapToGrid/>
        <w:spacing w:before="214"/>
        <w:ind w:left="320" w:right="0" w:firstLine="0"/>
        <w:jc w:val="both"/>
        <w:textAlignment w:val="auto"/>
        <w:rPr>
          <w:rFonts w:hint="eastAsia" w:ascii="宋体" w:eastAsia="宋体"/>
          <w:b/>
          <w:color w:val="auto"/>
          <w:sz w:val="32"/>
        </w:rPr>
      </w:pPr>
      <w:r>
        <w:rPr>
          <w:rFonts w:hint="eastAsia" w:ascii="宋体" w:eastAsia="宋体"/>
          <w:b/>
          <w:color w:val="auto"/>
          <w:sz w:val="32"/>
        </w:rPr>
        <w:t>【服务对象】</w:t>
      </w:r>
    </w:p>
    <w:p>
      <w:pPr>
        <w:pStyle w:val="4"/>
        <w:keepNext w:val="0"/>
        <w:keepLines w:val="0"/>
        <w:pageBreakBefore w:val="0"/>
        <w:widowControl w:val="0"/>
        <w:kinsoku/>
        <w:wordWrap/>
        <w:overflowPunct/>
        <w:topLinePunct w:val="0"/>
        <w:autoSpaceDE w:val="0"/>
        <w:autoSpaceDN w:val="0"/>
        <w:bidi w:val="0"/>
        <w:adjustRightInd/>
        <w:snapToGrid/>
        <w:ind w:left="960" w:firstLine="0"/>
        <w:jc w:val="both"/>
        <w:textAlignment w:val="auto"/>
        <w:rPr>
          <w:color w:val="auto"/>
        </w:rPr>
      </w:pPr>
      <w:r>
        <w:rPr>
          <w:color w:val="auto"/>
        </w:rPr>
        <w:t>符合条件的出口企业</w:t>
      </w:r>
    </w:p>
    <w:p>
      <w:pPr>
        <w:keepNext w:val="0"/>
        <w:keepLines w:val="0"/>
        <w:pageBreakBefore w:val="0"/>
        <w:widowControl w:val="0"/>
        <w:kinsoku/>
        <w:wordWrap/>
        <w:overflowPunct/>
        <w:topLinePunct w:val="0"/>
        <w:autoSpaceDE w:val="0"/>
        <w:autoSpaceDN w:val="0"/>
        <w:bidi w:val="0"/>
        <w:adjustRightInd/>
        <w:snapToGrid/>
        <w:spacing w:before="214"/>
        <w:ind w:left="320" w:right="0" w:firstLine="0"/>
        <w:jc w:val="both"/>
        <w:textAlignment w:val="auto"/>
        <w:rPr>
          <w:rFonts w:hint="eastAsia" w:ascii="宋体" w:eastAsia="宋体"/>
          <w:b/>
          <w:color w:val="auto"/>
          <w:sz w:val="32"/>
        </w:rPr>
      </w:pPr>
      <w:r>
        <w:rPr>
          <w:rFonts w:hint="eastAsia" w:ascii="宋体" w:eastAsia="宋体"/>
          <w:b/>
          <w:color w:val="auto"/>
          <w:sz w:val="32"/>
        </w:rPr>
        <w:t>【服务措施】</w:t>
      </w:r>
    </w:p>
    <w:p>
      <w:pPr>
        <w:pStyle w:val="12"/>
        <w:keepNext w:val="0"/>
        <w:keepLines w:val="0"/>
        <w:pageBreakBefore w:val="0"/>
        <w:widowControl w:val="0"/>
        <w:numPr>
          <w:ilvl w:val="1"/>
          <w:numId w:val="36"/>
        </w:numPr>
        <w:tabs>
          <w:tab w:val="left" w:pos="1283"/>
        </w:tabs>
        <w:kinsoku/>
        <w:wordWrap/>
        <w:overflowPunct/>
        <w:topLinePunct w:val="0"/>
        <w:autoSpaceDE w:val="0"/>
        <w:autoSpaceDN w:val="0"/>
        <w:bidi w:val="0"/>
        <w:adjustRightInd/>
        <w:snapToGrid/>
        <w:spacing w:before="214" w:after="0" w:line="364" w:lineRule="auto"/>
        <w:ind w:left="320" w:right="537" w:firstLine="640"/>
        <w:jc w:val="both"/>
        <w:textAlignment w:val="auto"/>
        <w:rPr>
          <w:color w:val="auto"/>
          <w:sz w:val="32"/>
        </w:rPr>
      </w:pPr>
      <w:r>
        <w:rPr>
          <w:color w:val="auto"/>
          <w:spacing w:val="-1"/>
          <w:sz w:val="32"/>
        </w:rPr>
        <w:t>纳税人办理委托出口货物退</w:t>
      </w:r>
      <w:r>
        <w:rPr>
          <w:color w:val="auto"/>
          <w:sz w:val="32"/>
        </w:rPr>
        <w:t>（免</w:t>
      </w:r>
      <w:r>
        <w:rPr>
          <w:color w:val="auto"/>
          <w:spacing w:val="-5"/>
          <w:sz w:val="32"/>
        </w:rPr>
        <w:t>）</w:t>
      </w:r>
      <w:r>
        <w:rPr>
          <w:color w:val="auto"/>
          <w:spacing w:val="-1"/>
          <w:sz w:val="32"/>
        </w:rPr>
        <w:t>税申报时，停止报送代理出口协议副本、复印件。</w:t>
      </w:r>
    </w:p>
    <w:p>
      <w:pPr>
        <w:pStyle w:val="12"/>
        <w:keepNext w:val="0"/>
        <w:keepLines w:val="0"/>
        <w:pageBreakBefore w:val="0"/>
        <w:widowControl w:val="0"/>
        <w:numPr>
          <w:ilvl w:val="1"/>
          <w:numId w:val="36"/>
        </w:numPr>
        <w:tabs>
          <w:tab w:val="left" w:pos="1283"/>
        </w:tabs>
        <w:kinsoku/>
        <w:wordWrap/>
        <w:overflowPunct/>
        <w:topLinePunct w:val="0"/>
        <w:autoSpaceDE w:val="0"/>
        <w:autoSpaceDN w:val="0"/>
        <w:bidi w:val="0"/>
        <w:adjustRightInd/>
        <w:snapToGrid/>
        <w:spacing w:before="1" w:after="0" w:line="364" w:lineRule="auto"/>
        <w:ind w:left="320" w:right="537" w:firstLine="640"/>
        <w:jc w:val="both"/>
        <w:textAlignment w:val="auto"/>
        <w:rPr>
          <w:color w:val="auto"/>
          <w:sz w:val="32"/>
        </w:rPr>
      </w:pPr>
      <w:r>
        <w:rPr>
          <w:color w:val="auto"/>
          <w:spacing w:val="-1"/>
          <w:w w:val="95"/>
          <w:sz w:val="32"/>
        </w:rPr>
        <w:t>纳税人办理融资租赁货物出口退</w:t>
      </w:r>
      <w:r>
        <w:rPr>
          <w:color w:val="auto"/>
          <w:w w:val="95"/>
          <w:sz w:val="32"/>
        </w:rPr>
        <w:t>（免</w:t>
      </w:r>
      <w:r>
        <w:rPr>
          <w:color w:val="auto"/>
          <w:spacing w:val="-5"/>
          <w:w w:val="95"/>
          <w:sz w:val="32"/>
        </w:rPr>
        <w:t>）</w:t>
      </w:r>
      <w:r>
        <w:rPr>
          <w:color w:val="auto"/>
          <w:w w:val="95"/>
          <w:sz w:val="32"/>
        </w:rPr>
        <w:t xml:space="preserve">税备案和申报 </w:t>
      </w:r>
      <w:r>
        <w:rPr>
          <w:color w:val="auto"/>
          <w:spacing w:val="-3"/>
          <w:w w:val="95"/>
          <w:sz w:val="32"/>
        </w:rPr>
        <w:t xml:space="preserve">时，停止报送融资租赁合同原件，改为报送融资租赁合同复 </w:t>
      </w:r>
      <w:r>
        <w:rPr>
          <w:color w:val="auto"/>
          <w:spacing w:val="-3"/>
          <w:sz w:val="32"/>
        </w:rPr>
        <w:t>印件(复印件上应注明“与原件一致”并加盖企业印章)。</w:t>
      </w:r>
    </w:p>
    <w:p>
      <w:pPr>
        <w:pStyle w:val="12"/>
        <w:keepNext w:val="0"/>
        <w:keepLines w:val="0"/>
        <w:pageBreakBefore w:val="0"/>
        <w:widowControl w:val="0"/>
        <w:numPr>
          <w:ilvl w:val="1"/>
          <w:numId w:val="36"/>
        </w:numPr>
        <w:tabs>
          <w:tab w:val="left" w:pos="1292"/>
        </w:tabs>
        <w:kinsoku/>
        <w:wordWrap/>
        <w:overflowPunct/>
        <w:topLinePunct w:val="0"/>
        <w:autoSpaceDE w:val="0"/>
        <w:autoSpaceDN w:val="0"/>
        <w:bidi w:val="0"/>
        <w:adjustRightInd/>
        <w:snapToGrid/>
        <w:spacing w:before="3" w:after="0" w:line="364" w:lineRule="auto"/>
        <w:ind w:left="320" w:right="540" w:firstLine="640"/>
        <w:jc w:val="both"/>
        <w:textAlignment w:val="auto"/>
        <w:rPr>
          <w:color w:val="auto"/>
          <w:sz w:val="32"/>
        </w:rPr>
      </w:pPr>
      <w:r>
        <w:rPr>
          <w:color w:val="auto"/>
          <w:spacing w:val="13"/>
          <w:w w:val="95"/>
          <w:sz w:val="32"/>
        </w:rPr>
        <w:t xml:space="preserve">纳税人办理来料加工委托加工出口货物的免税核销 </w:t>
      </w:r>
      <w:r>
        <w:rPr>
          <w:color w:val="auto"/>
          <w:sz w:val="32"/>
        </w:rPr>
        <w:t>手续时，停止报送加工企业开具的加工费普通发票原件及复印件。</w:t>
      </w:r>
    </w:p>
    <w:p>
      <w:pPr>
        <w:pStyle w:val="12"/>
        <w:keepNext w:val="0"/>
        <w:keepLines w:val="0"/>
        <w:pageBreakBefore w:val="0"/>
        <w:widowControl w:val="0"/>
        <w:numPr>
          <w:ilvl w:val="1"/>
          <w:numId w:val="36"/>
        </w:numPr>
        <w:tabs>
          <w:tab w:val="left" w:pos="1283"/>
        </w:tabs>
        <w:kinsoku/>
        <w:wordWrap/>
        <w:overflowPunct/>
        <w:topLinePunct w:val="0"/>
        <w:autoSpaceDE w:val="0"/>
        <w:autoSpaceDN w:val="0"/>
        <w:bidi w:val="0"/>
        <w:adjustRightInd/>
        <w:snapToGrid/>
        <w:spacing w:before="2" w:after="0" w:line="364" w:lineRule="auto"/>
        <w:ind w:left="320" w:right="540" w:firstLine="640"/>
        <w:jc w:val="both"/>
        <w:textAlignment w:val="auto"/>
        <w:rPr>
          <w:color w:val="auto"/>
          <w:sz w:val="32"/>
        </w:rPr>
      </w:pPr>
      <w:r>
        <w:rPr>
          <w:color w:val="auto"/>
          <w:spacing w:val="-3"/>
          <w:w w:val="95"/>
          <w:sz w:val="32"/>
        </w:rPr>
        <w:t xml:space="preserve">纳税人申请开具《代理出口货物证明》时，停止报送 </w:t>
      </w:r>
      <w:r>
        <w:rPr>
          <w:color w:val="auto"/>
          <w:spacing w:val="-3"/>
          <w:sz w:val="32"/>
        </w:rPr>
        <w:t>代理出口协议原件。</w:t>
      </w:r>
    </w:p>
    <w:p>
      <w:pPr>
        <w:pStyle w:val="12"/>
        <w:keepNext w:val="0"/>
        <w:keepLines w:val="0"/>
        <w:pageBreakBefore w:val="0"/>
        <w:widowControl w:val="0"/>
        <w:numPr>
          <w:ilvl w:val="1"/>
          <w:numId w:val="36"/>
        </w:numPr>
        <w:tabs>
          <w:tab w:val="left" w:pos="1283"/>
        </w:tabs>
        <w:kinsoku/>
        <w:wordWrap/>
        <w:overflowPunct/>
        <w:topLinePunct w:val="0"/>
        <w:autoSpaceDE w:val="0"/>
        <w:autoSpaceDN w:val="0"/>
        <w:bidi w:val="0"/>
        <w:adjustRightInd/>
        <w:snapToGrid/>
        <w:spacing w:before="2" w:after="0" w:line="364" w:lineRule="auto"/>
        <w:ind w:left="320" w:right="540" w:firstLine="640"/>
        <w:jc w:val="both"/>
        <w:textAlignment w:val="auto"/>
        <w:rPr>
          <w:color w:val="auto"/>
          <w:sz w:val="32"/>
        </w:rPr>
      </w:pPr>
      <w:r>
        <w:rPr>
          <w:color w:val="auto"/>
          <w:spacing w:val="-3"/>
          <w:w w:val="95"/>
          <w:sz w:val="32"/>
        </w:rPr>
        <w:t xml:space="preserve">纳税人申请开具《代理进口货物证明》时，停止报送 </w:t>
      </w:r>
      <w:r>
        <w:rPr>
          <w:color w:val="auto"/>
          <w:spacing w:val="-3"/>
          <w:sz w:val="32"/>
        </w:rPr>
        <w:t>加工贸易手册原件、代理进口协议原件。</w:t>
      </w:r>
    </w:p>
    <w:p>
      <w:pPr>
        <w:pStyle w:val="12"/>
        <w:keepNext w:val="0"/>
        <w:keepLines w:val="0"/>
        <w:pageBreakBefore w:val="0"/>
        <w:widowControl w:val="0"/>
        <w:numPr>
          <w:ilvl w:val="1"/>
          <w:numId w:val="36"/>
        </w:numPr>
        <w:tabs>
          <w:tab w:val="left" w:pos="1283"/>
        </w:tabs>
        <w:kinsoku/>
        <w:wordWrap/>
        <w:overflowPunct/>
        <w:topLinePunct w:val="0"/>
        <w:autoSpaceDE w:val="0"/>
        <w:autoSpaceDN w:val="0"/>
        <w:bidi w:val="0"/>
        <w:adjustRightInd/>
        <w:snapToGrid/>
        <w:spacing w:before="30" w:after="0" w:line="364" w:lineRule="auto"/>
        <w:ind w:left="320" w:right="540" w:firstLine="640"/>
        <w:jc w:val="both"/>
        <w:textAlignment w:val="auto"/>
        <w:rPr>
          <w:color w:val="auto"/>
          <w:sz w:val="32"/>
        </w:rPr>
      </w:pPr>
      <w:r>
        <w:rPr>
          <w:color w:val="auto"/>
          <w:spacing w:val="-3"/>
          <w:w w:val="95"/>
          <w:sz w:val="32"/>
        </w:rPr>
        <w:t xml:space="preserve">纳税人申请开具《来料加工免税证明》时，停止报送 </w:t>
      </w:r>
      <w:r>
        <w:rPr>
          <w:color w:val="auto"/>
          <w:spacing w:val="-3"/>
          <w:sz w:val="32"/>
        </w:rPr>
        <w:t>加工费普通发票原件、进口货物报关单原件。</w:t>
      </w:r>
    </w:p>
    <w:p>
      <w:pPr>
        <w:pStyle w:val="12"/>
        <w:keepNext w:val="0"/>
        <w:keepLines w:val="0"/>
        <w:pageBreakBefore w:val="0"/>
        <w:widowControl w:val="0"/>
        <w:numPr>
          <w:ilvl w:val="1"/>
          <w:numId w:val="36"/>
        </w:numPr>
        <w:tabs>
          <w:tab w:val="left" w:pos="1283"/>
        </w:tabs>
        <w:kinsoku/>
        <w:wordWrap/>
        <w:overflowPunct/>
        <w:topLinePunct w:val="0"/>
        <w:autoSpaceDE w:val="0"/>
        <w:autoSpaceDN w:val="0"/>
        <w:bidi w:val="0"/>
        <w:adjustRightInd/>
        <w:snapToGrid/>
        <w:spacing w:before="1" w:after="0" w:line="364" w:lineRule="auto"/>
        <w:ind w:left="320" w:right="537" w:firstLine="640"/>
        <w:jc w:val="both"/>
        <w:textAlignment w:val="auto"/>
        <w:rPr>
          <w:color w:val="auto"/>
          <w:sz w:val="32"/>
        </w:rPr>
      </w:pPr>
      <w:r>
        <w:rPr>
          <w:color w:val="auto"/>
          <w:spacing w:val="-3"/>
          <w:w w:val="95"/>
          <w:sz w:val="32"/>
        </w:rPr>
        <w:t xml:space="preserve">纳税人申请开具《出口货物转内销证明》时，停止报 </w:t>
      </w:r>
      <w:r>
        <w:rPr>
          <w:color w:val="auto"/>
          <w:spacing w:val="-3"/>
          <w:sz w:val="32"/>
        </w:rPr>
        <w:t>送《出口货物已补税/未退税证明》原件及复印件。</w:t>
      </w:r>
    </w:p>
    <w:p>
      <w:pPr>
        <w:pStyle w:val="12"/>
        <w:keepNext w:val="0"/>
        <w:keepLines w:val="0"/>
        <w:pageBreakBefore w:val="0"/>
        <w:widowControl w:val="0"/>
        <w:numPr>
          <w:ilvl w:val="1"/>
          <w:numId w:val="36"/>
        </w:numPr>
        <w:tabs>
          <w:tab w:val="left" w:pos="1283"/>
        </w:tabs>
        <w:kinsoku/>
        <w:wordWrap/>
        <w:overflowPunct/>
        <w:topLinePunct w:val="0"/>
        <w:autoSpaceDE w:val="0"/>
        <w:autoSpaceDN w:val="0"/>
        <w:bidi w:val="0"/>
        <w:adjustRightInd/>
        <w:snapToGrid/>
        <w:spacing w:before="2" w:after="0" w:line="240" w:lineRule="auto"/>
        <w:ind w:left="1282" w:right="0" w:hanging="323"/>
        <w:jc w:val="both"/>
        <w:textAlignment w:val="auto"/>
        <w:rPr>
          <w:color w:val="auto"/>
          <w:sz w:val="32"/>
        </w:rPr>
      </w:pPr>
      <w:r>
        <w:rPr>
          <w:color w:val="auto"/>
          <w:sz w:val="32"/>
        </w:rPr>
        <w:t>简化外贸综合服务企业代办退税备案流程。</w:t>
      </w:r>
    </w:p>
    <w:p>
      <w:pPr>
        <w:pStyle w:val="12"/>
        <w:keepNext w:val="0"/>
        <w:keepLines w:val="0"/>
        <w:pageBreakBefore w:val="0"/>
        <w:widowControl w:val="0"/>
        <w:numPr>
          <w:ilvl w:val="1"/>
          <w:numId w:val="36"/>
        </w:numPr>
        <w:tabs>
          <w:tab w:val="left" w:pos="1283"/>
        </w:tabs>
        <w:kinsoku/>
        <w:wordWrap/>
        <w:overflowPunct/>
        <w:topLinePunct w:val="0"/>
        <w:autoSpaceDE w:val="0"/>
        <w:autoSpaceDN w:val="0"/>
        <w:bidi w:val="0"/>
        <w:adjustRightInd/>
        <w:snapToGrid/>
        <w:spacing w:before="214" w:after="0" w:line="240" w:lineRule="auto"/>
        <w:ind w:left="1282" w:right="0" w:hanging="323"/>
        <w:jc w:val="both"/>
        <w:textAlignment w:val="auto"/>
        <w:rPr>
          <w:color w:val="auto"/>
          <w:sz w:val="32"/>
        </w:rPr>
      </w:pPr>
      <w:r>
        <w:rPr>
          <w:color w:val="auto"/>
          <w:sz w:val="32"/>
        </w:rPr>
        <w:t>推行出口退（免）税实地核查“容缺办理”。</w:t>
      </w:r>
    </w:p>
    <w:p>
      <w:pPr>
        <w:pStyle w:val="12"/>
        <w:keepNext w:val="0"/>
        <w:keepLines w:val="0"/>
        <w:pageBreakBefore w:val="0"/>
        <w:widowControl w:val="0"/>
        <w:numPr>
          <w:ilvl w:val="1"/>
          <w:numId w:val="36"/>
        </w:numPr>
        <w:tabs>
          <w:tab w:val="left" w:pos="1441"/>
        </w:tabs>
        <w:kinsoku/>
        <w:wordWrap/>
        <w:overflowPunct/>
        <w:topLinePunct w:val="0"/>
        <w:autoSpaceDE w:val="0"/>
        <w:autoSpaceDN w:val="0"/>
        <w:bidi w:val="0"/>
        <w:adjustRightInd/>
        <w:snapToGrid/>
        <w:spacing w:before="214" w:after="0" w:line="240" w:lineRule="auto"/>
        <w:ind w:left="1440" w:right="0" w:hanging="481"/>
        <w:jc w:val="both"/>
        <w:textAlignment w:val="auto"/>
        <w:rPr>
          <w:color w:val="auto"/>
          <w:sz w:val="32"/>
        </w:rPr>
      </w:pPr>
      <w:r>
        <w:rPr>
          <w:color w:val="auto"/>
          <w:sz w:val="32"/>
        </w:rPr>
        <w:t>推广出口退（免）税证明电子化开具和使用。</w:t>
      </w:r>
    </w:p>
    <w:p>
      <w:pPr>
        <w:pStyle w:val="12"/>
        <w:keepNext w:val="0"/>
        <w:keepLines w:val="0"/>
        <w:pageBreakBefore w:val="0"/>
        <w:widowControl w:val="0"/>
        <w:numPr>
          <w:ilvl w:val="1"/>
          <w:numId w:val="36"/>
        </w:numPr>
        <w:tabs>
          <w:tab w:val="left" w:pos="1441"/>
        </w:tabs>
        <w:kinsoku/>
        <w:wordWrap/>
        <w:overflowPunct/>
        <w:topLinePunct w:val="0"/>
        <w:autoSpaceDE w:val="0"/>
        <w:autoSpaceDN w:val="0"/>
        <w:bidi w:val="0"/>
        <w:adjustRightInd/>
        <w:snapToGrid/>
        <w:spacing w:before="214" w:after="0" w:line="240" w:lineRule="auto"/>
        <w:ind w:left="1440" w:right="0" w:hanging="481"/>
        <w:jc w:val="both"/>
        <w:textAlignment w:val="auto"/>
        <w:rPr>
          <w:color w:val="auto"/>
          <w:sz w:val="32"/>
        </w:rPr>
      </w:pPr>
      <w:r>
        <w:rPr>
          <w:color w:val="auto"/>
          <w:sz w:val="32"/>
        </w:rPr>
        <w:t>推广出口退（免）税事项“非接触”办理。</w:t>
      </w:r>
    </w:p>
    <w:p>
      <w:pPr>
        <w:pStyle w:val="12"/>
        <w:keepNext w:val="0"/>
        <w:keepLines w:val="0"/>
        <w:pageBreakBefore w:val="0"/>
        <w:widowControl w:val="0"/>
        <w:numPr>
          <w:ilvl w:val="1"/>
          <w:numId w:val="36"/>
        </w:numPr>
        <w:tabs>
          <w:tab w:val="left" w:pos="1446"/>
        </w:tabs>
        <w:kinsoku/>
        <w:wordWrap/>
        <w:overflowPunct/>
        <w:topLinePunct w:val="0"/>
        <w:autoSpaceDE w:val="0"/>
        <w:autoSpaceDN w:val="0"/>
        <w:bidi w:val="0"/>
        <w:adjustRightInd/>
        <w:snapToGrid/>
        <w:spacing w:before="214" w:after="0" w:line="364" w:lineRule="auto"/>
        <w:ind w:left="320" w:right="537" w:firstLine="640"/>
        <w:jc w:val="both"/>
        <w:textAlignment w:val="auto"/>
        <w:rPr>
          <w:color w:val="auto"/>
          <w:sz w:val="32"/>
        </w:rPr>
      </w:pPr>
      <w:r>
        <w:rPr>
          <w:color w:val="auto"/>
          <w:spacing w:val="7"/>
          <w:w w:val="95"/>
          <w:sz w:val="32"/>
        </w:rPr>
        <w:t>纳税人因申报出口退（免）</w:t>
      </w:r>
      <w:r>
        <w:rPr>
          <w:color w:val="auto"/>
          <w:spacing w:val="6"/>
          <w:w w:val="95"/>
          <w:sz w:val="32"/>
        </w:rPr>
        <w:t xml:space="preserve">税的出口报关单、代理 </w:t>
      </w:r>
      <w:r>
        <w:rPr>
          <w:color w:val="auto"/>
          <w:spacing w:val="-1"/>
          <w:sz w:val="32"/>
        </w:rPr>
        <w:t>出口货物证明、委托出口货物证明、增值税进货凭证没有电</w:t>
      </w:r>
      <w:r>
        <w:rPr>
          <w:color w:val="auto"/>
          <w:spacing w:val="-2"/>
          <w:sz w:val="32"/>
        </w:rPr>
        <w:t>子信息或凭证内容与电子信息不符，无法在规定期限内申报</w:t>
      </w:r>
      <w:r>
        <w:rPr>
          <w:color w:val="auto"/>
          <w:spacing w:val="-3"/>
          <w:w w:val="95"/>
          <w:sz w:val="32"/>
        </w:rPr>
        <w:t>出口退</w:t>
      </w:r>
      <w:r>
        <w:rPr>
          <w:color w:val="auto"/>
          <w:w w:val="95"/>
          <w:sz w:val="32"/>
        </w:rPr>
        <w:t>（免</w:t>
      </w:r>
      <w:r>
        <w:rPr>
          <w:color w:val="auto"/>
          <w:spacing w:val="-3"/>
          <w:w w:val="95"/>
          <w:sz w:val="32"/>
        </w:rPr>
        <w:t>）</w:t>
      </w:r>
      <w:r>
        <w:rPr>
          <w:color w:val="auto"/>
          <w:spacing w:val="-2"/>
          <w:w w:val="95"/>
          <w:sz w:val="32"/>
        </w:rPr>
        <w:t xml:space="preserve">税或者开具《代理出口货物证明》的，取消出 </w:t>
      </w:r>
      <w:r>
        <w:rPr>
          <w:color w:val="auto"/>
          <w:spacing w:val="-3"/>
          <w:w w:val="95"/>
          <w:sz w:val="32"/>
        </w:rPr>
        <w:t>口退</w:t>
      </w:r>
      <w:r>
        <w:rPr>
          <w:color w:val="auto"/>
          <w:w w:val="95"/>
          <w:sz w:val="32"/>
        </w:rPr>
        <w:t>（免</w:t>
      </w:r>
      <w:r>
        <w:rPr>
          <w:color w:val="auto"/>
          <w:spacing w:val="-3"/>
          <w:w w:val="95"/>
          <w:sz w:val="32"/>
        </w:rPr>
        <w:t>）</w:t>
      </w:r>
      <w:r>
        <w:rPr>
          <w:color w:val="auto"/>
          <w:spacing w:val="-2"/>
          <w:w w:val="95"/>
          <w:sz w:val="32"/>
        </w:rPr>
        <w:t>税凭证无相关电子信息申报，停止报送《出口退</w:t>
      </w:r>
    </w:p>
    <w:p>
      <w:pPr>
        <w:pStyle w:val="4"/>
        <w:keepNext w:val="0"/>
        <w:keepLines w:val="0"/>
        <w:pageBreakBefore w:val="0"/>
        <w:widowControl w:val="0"/>
        <w:kinsoku/>
        <w:wordWrap/>
        <w:overflowPunct/>
        <w:topLinePunct w:val="0"/>
        <w:autoSpaceDE w:val="0"/>
        <w:autoSpaceDN w:val="0"/>
        <w:bidi w:val="0"/>
        <w:adjustRightInd/>
        <w:snapToGrid/>
        <w:spacing w:before="4" w:line="364" w:lineRule="auto"/>
        <w:ind w:right="537" w:firstLine="0"/>
        <w:jc w:val="both"/>
        <w:textAlignment w:val="auto"/>
        <w:rPr>
          <w:color w:val="auto"/>
        </w:rPr>
      </w:pPr>
      <w:r>
        <w:rPr>
          <w:color w:val="auto"/>
          <w:w w:val="95"/>
        </w:rPr>
        <w:t>（免</w:t>
      </w:r>
      <w:r>
        <w:rPr>
          <w:color w:val="auto"/>
          <w:spacing w:val="-3"/>
          <w:w w:val="95"/>
        </w:rPr>
        <w:t>）</w:t>
      </w:r>
      <w:r>
        <w:rPr>
          <w:color w:val="auto"/>
          <w:spacing w:val="-2"/>
          <w:w w:val="95"/>
        </w:rPr>
        <w:t>税凭证无相关电子信息申报表》。待收齐退</w:t>
      </w:r>
      <w:r>
        <w:rPr>
          <w:color w:val="auto"/>
          <w:w w:val="95"/>
        </w:rPr>
        <w:t xml:space="preserve">（免）税 </w:t>
      </w:r>
      <w:r>
        <w:rPr>
          <w:color w:val="auto"/>
        </w:rPr>
        <w:t>凭证及相关电子信息后，即可申报办理退（免）税。</w:t>
      </w:r>
    </w:p>
    <w:p>
      <w:pPr>
        <w:pStyle w:val="12"/>
        <w:keepNext w:val="0"/>
        <w:keepLines w:val="0"/>
        <w:pageBreakBefore w:val="0"/>
        <w:widowControl w:val="0"/>
        <w:numPr>
          <w:ilvl w:val="1"/>
          <w:numId w:val="36"/>
        </w:numPr>
        <w:tabs>
          <w:tab w:val="left" w:pos="1446"/>
        </w:tabs>
        <w:kinsoku/>
        <w:wordWrap/>
        <w:overflowPunct/>
        <w:topLinePunct w:val="0"/>
        <w:autoSpaceDE w:val="0"/>
        <w:autoSpaceDN w:val="0"/>
        <w:bidi w:val="0"/>
        <w:adjustRightInd/>
        <w:snapToGrid/>
        <w:spacing w:before="2" w:after="0" w:line="364" w:lineRule="auto"/>
        <w:ind w:left="320" w:right="535" w:firstLine="640"/>
        <w:jc w:val="both"/>
        <w:textAlignment w:val="auto"/>
        <w:rPr>
          <w:color w:val="auto"/>
          <w:sz w:val="32"/>
        </w:rPr>
      </w:pPr>
      <w:r>
        <w:rPr>
          <w:color w:val="auto"/>
          <w:spacing w:val="7"/>
          <w:w w:val="95"/>
          <w:sz w:val="32"/>
        </w:rPr>
        <w:t>纳税人因未收齐出口退（免）</w:t>
      </w:r>
      <w:r>
        <w:rPr>
          <w:color w:val="auto"/>
          <w:spacing w:val="6"/>
          <w:w w:val="95"/>
          <w:sz w:val="32"/>
        </w:rPr>
        <w:t xml:space="preserve">税相关单证，无法在 </w:t>
      </w:r>
      <w:r>
        <w:rPr>
          <w:color w:val="auto"/>
          <w:spacing w:val="5"/>
          <w:sz w:val="32"/>
        </w:rPr>
        <w:t>规定期限内申报出口退</w:t>
      </w:r>
      <w:r>
        <w:rPr>
          <w:color w:val="auto"/>
          <w:sz w:val="32"/>
        </w:rPr>
        <w:t>（免</w:t>
      </w:r>
      <w:r>
        <w:rPr>
          <w:color w:val="auto"/>
          <w:spacing w:val="-3"/>
          <w:sz w:val="32"/>
        </w:rPr>
        <w:t>）</w:t>
      </w:r>
      <w:r>
        <w:rPr>
          <w:color w:val="auto"/>
          <w:spacing w:val="-2"/>
          <w:sz w:val="32"/>
        </w:rPr>
        <w:t>税或者开具《代理出口货物证</w:t>
      </w:r>
      <w:r>
        <w:rPr>
          <w:color w:val="auto"/>
          <w:spacing w:val="-3"/>
          <w:sz w:val="32"/>
        </w:rPr>
        <w:t>明》的，取消出口退</w:t>
      </w:r>
      <w:r>
        <w:rPr>
          <w:color w:val="auto"/>
          <w:sz w:val="32"/>
        </w:rPr>
        <w:t>（免）</w:t>
      </w:r>
      <w:r>
        <w:rPr>
          <w:color w:val="auto"/>
          <w:spacing w:val="-1"/>
          <w:sz w:val="32"/>
        </w:rPr>
        <w:t>税延期申报，停止报送《出口退</w:t>
      </w:r>
    </w:p>
    <w:p>
      <w:pPr>
        <w:pStyle w:val="4"/>
        <w:keepNext w:val="0"/>
        <w:keepLines w:val="0"/>
        <w:pageBreakBefore w:val="0"/>
        <w:widowControl w:val="0"/>
        <w:kinsoku/>
        <w:wordWrap/>
        <w:overflowPunct/>
        <w:topLinePunct w:val="0"/>
        <w:autoSpaceDE w:val="0"/>
        <w:autoSpaceDN w:val="0"/>
        <w:bidi w:val="0"/>
        <w:adjustRightInd/>
        <w:snapToGrid/>
        <w:spacing w:before="2" w:line="364" w:lineRule="auto"/>
        <w:ind w:right="378" w:firstLine="0"/>
        <w:jc w:val="both"/>
        <w:textAlignment w:val="auto"/>
        <w:rPr>
          <w:color w:val="auto"/>
        </w:rPr>
      </w:pPr>
      <w:r>
        <w:rPr>
          <w:color w:val="auto"/>
        </w:rPr>
        <w:t>（免</w:t>
      </w:r>
      <w:r>
        <w:rPr>
          <w:color w:val="auto"/>
          <w:spacing w:val="-43"/>
        </w:rPr>
        <w:t>）</w:t>
      </w:r>
      <w:r>
        <w:rPr>
          <w:color w:val="auto"/>
          <w:spacing w:val="-10"/>
        </w:rPr>
        <w:t>税延期申报申请表》及相关举证资料。待收齐退</w:t>
      </w:r>
      <w:r>
        <w:rPr>
          <w:color w:val="auto"/>
        </w:rPr>
        <w:t>（免</w:t>
      </w:r>
      <w:r>
        <w:rPr>
          <w:color w:val="auto"/>
          <w:spacing w:val="-12"/>
        </w:rPr>
        <w:t xml:space="preserve">） </w:t>
      </w:r>
      <w:r>
        <w:rPr>
          <w:color w:val="auto"/>
        </w:rPr>
        <w:t>税凭证及相关电子信息后，即可申报办理退（免）税。</w:t>
      </w:r>
    </w:p>
    <w:p>
      <w:pPr>
        <w:pStyle w:val="12"/>
        <w:keepNext w:val="0"/>
        <w:keepLines w:val="0"/>
        <w:pageBreakBefore w:val="0"/>
        <w:widowControl w:val="0"/>
        <w:numPr>
          <w:ilvl w:val="1"/>
          <w:numId w:val="36"/>
        </w:numPr>
        <w:tabs>
          <w:tab w:val="left" w:pos="1446"/>
        </w:tabs>
        <w:kinsoku/>
        <w:wordWrap/>
        <w:overflowPunct/>
        <w:topLinePunct w:val="0"/>
        <w:autoSpaceDE w:val="0"/>
        <w:autoSpaceDN w:val="0"/>
        <w:bidi w:val="0"/>
        <w:adjustRightInd/>
        <w:snapToGrid/>
        <w:spacing w:before="2" w:after="0" w:line="364" w:lineRule="auto"/>
        <w:ind w:left="320" w:right="540" w:firstLine="640"/>
        <w:jc w:val="both"/>
        <w:textAlignment w:val="auto"/>
        <w:rPr>
          <w:color w:val="auto"/>
          <w:sz w:val="32"/>
        </w:rPr>
      </w:pPr>
      <w:r>
        <w:rPr>
          <w:color w:val="auto"/>
          <w:spacing w:val="7"/>
          <w:w w:val="95"/>
          <w:sz w:val="32"/>
        </w:rPr>
        <w:t>纳税人办理出口退（免）</w:t>
      </w:r>
      <w:r>
        <w:rPr>
          <w:color w:val="auto"/>
          <w:spacing w:val="6"/>
          <w:w w:val="95"/>
          <w:sz w:val="32"/>
        </w:rPr>
        <w:t xml:space="preserve">税备案时，停止报送《对 </w:t>
      </w:r>
      <w:r>
        <w:rPr>
          <w:color w:val="auto"/>
          <w:sz w:val="32"/>
        </w:rPr>
        <w:t>外贸易经营者备案登记表》《中华人民共和国外商投资企业</w:t>
      </w:r>
    </w:p>
    <w:p>
      <w:pPr>
        <w:pStyle w:val="4"/>
        <w:keepNext w:val="0"/>
        <w:keepLines w:val="0"/>
        <w:pageBreakBefore w:val="0"/>
        <w:widowControl w:val="0"/>
        <w:kinsoku/>
        <w:wordWrap/>
        <w:overflowPunct/>
        <w:topLinePunct w:val="0"/>
        <w:autoSpaceDE w:val="0"/>
        <w:autoSpaceDN w:val="0"/>
        <w:bidi w:val="0"/>
        <w:adjustRightInd/>
        <w:snapToGrid/>
        <w:spacing w:before="30" w:line="364" w:lineRule="auto"/>
        <w:ind w:left="960" w:right="366" w:hanging="641"/>
        <w:jc w:val="both"/>
        <w:textAlignment w:val="auto"/>
        <w:rPr>
          <w:color w:val="auto"/>
        </w:rPr>
      </w:pPr>
      <w:r>
        <w:rPr>
          <w:color w:val="auto"/>
          <w:spacing w:val="-13"/>
          <w:w w:val="95"/>
        </w:rPr>
        <w:t>批准证书》《中华人民共和国海关报关单位注册登记证书》。</w:t>
      </w:r>
      <w:r>
        <w:rPr>
          <w:color w:val="auto"/>
          <w:spacing w:val="-13"/>
        </w:rPr>
        <w:t>15</w:t>
      </w:r>
      <w:r>
        <w:rPr>
          <w:color w:val="auto"/>
          <w:spacing w:val="3"/>
        </w:rPr>
        <w:t>.纳税人办理出口退</w:t>
      </w:r>
      <w:r>
        <w:rPr>
          <w:color w:val="auto"/>
          <w:spacing w:val="7"/>
        </w:rPr>
        <w:t>（免）</w:t>
      </w:r>
      <w:r>
        <w:rPr>
          <w:color w:val="auto"/>
          <w:spacing w:val="6"/>
        </w:rPr>
        <w:t>税备案变更时，在《出口</w:t>
      </w:r>
    </w:p>
    <w:p>
      <w:pPr>
        <w:pStyle w:val="4"/>
        <w:keepNext w:val="0"/>
        <w:keepLines w:val="0"/>
        <w:pageBreakBefore w:val="0"/>
        <w:widowControl w:val="0"/>
        <w:kinsoku/>
        <w:wordWrap/>
        <w:overflowPunct/>
        <w:topLinePunct w:val="0"/>
        <w:autoSpaceDE w:val="0"/>
        <w:autoSpaceDN w:val="0"/>
        <w:bidi w:val="0"/>
        <w:adjustRightInd/>
        <w:snapToGrid/>
        <w:spacing w:before="1"/>
        <w:ind w:firstLine="0"/>
        <w:jc w:val="both"/>
        <w:textAlignment w:val="auto"/>
        <w:rPr>
          <w:color w:val="auto"/>
        </w:rPr>
      </w:pPr>
      <w:r>
        <w:rPr>
          <w:color w:val="auto"/>
        </w:rPr>
        <w:t>退（免）税备案表》中仅需填报变更的内容。</w:t>
      </w:r>
    </w:p>
    <w:p>
      <w:pPr>
        <w:pStyle w:val="12"/>
        <w:keepNext w:val="0"/>
        <w:keepLines w:val="0"/>
        <w:pageBreakBefore w:val="0"/>
        <w:widowControl w:val="0"/>
        <w:numPr>
          <w:ilvl w:val="0"/>
          <w:numId w:val="44"/>
        </w:numPr>
        <w:tabs>
          <w:tab w:val="left" w:pos="1446"/>
        </w:tabs>
        <w:kinsoku/>
        <w:wordWrap/>
        <w:overflowPunct/>
        <w:topLinePunct w:val="0"/>
        <w:autoSpaceDE w:val="0"/>
        <w:autoSpaceDN w:val="0"/>
        <w:bidi w:val="0"/>
        <w:adjustRightInd/>
        <w:snapToGrid/>
        <w:spacing w:before="214" w:after="0" w:line="364" w:lineRule="auto"/>
        <w:ind w:left="320" w:right="366" w:firstLine="640"/>
        <w:jc w:val="both"/>
        <w:textAlignment w:val="auto"/>
        <w:rPr>
          <w:color w:val="auto"/>
          <w:sz w:val="32"/>
        </w:rPr>
      </w:pPr>
      <w:r>
        <w:rPr>
          <w:color w:val="auto"/>
          <w:spacing w:val="6"/>
          <w:sz w:val="32"/>
        </w:rPr>
        <w:t>生产企业办理增值税免抵退税申报时，报送简并优</w:t>
      </w:r>
      <w:r>
        <w:rPr>
          <w:color w:val="auto"/>
          <w:spacing w:val="-3"/>
          <w:sz w:val="32"/>
        </w:rPr>
        <w:t>化后的《免抵退税申报汇总表》和《生产企业出口货物劳务</w:t>
      </w:r>
      <w:r>
        <w:rPr>
          <w:color w:val="auto"/>
          <w:spacing w:val="-4"/>
          <w:sz w:val="32"/>
        </w:rPr>
        <w:t>免抵退税申报明细表》，停止报送《免抵退税申报汇总表附表》《免抵退税申报资料情况表》《生产企业出口货物扣除</w:t>
      </w:r>
      <w:r>
        <w:rPr>
          <w:color w:val="auto"/>
          <w:spacing w:val="4"/>
          <w:sz w:val="32"/>
        </w:rPr>
        <w:t>国内免税原材料申请表》;办理消费税退税申报时，报送简</w:t>
      </w:r>
      <w:r>
        <w:rPr>
          <w:color w:val="auto"/>
          <w:spacing w:val="-12"/>
          <w:sz w:val="32"/>
        </w:rPr>
        <w:t>并优化后的《生产企业出口非自产货物消费税退税申报表》。</w:t>
      </w:r>
    </w:p>
    <w:p>
      <w:pPr>
        <w:pStyle w:val="12"/>
        <w:keepNext w:val="0"/>
        <w:keepLines w:val="0"/>
        <w:pageBreakBefore w:val="0"/>
        <w:widowControl w:val="0"/>
        <w:numPr>
          <w:ilvl w:val="0"/>
          <w:numId w:val="44"/>
        </w:numPr>
        <w:tabs>
          <w:tab w:val="left" w:pos="1446"/>
        </w:tabs>
        <w:kinsoku/>
        <w:wordWrap/>
        <w:overflowPunct/>
        <w:topLinePunct w:val="0"/>
        <w:autoSpaceDE w:val="0"/>
        <w:autoSpaceDN w:val="0"/>
        <w:bidi w:val="0"/>
        <w:adjustRightInd/>
        <w:snapToGrid/>
        <w:spacing w:before="5" w:after="0" w:line="364" w:lineRule="auto"/>
        <w:ind w:left="320" w:right="537" w:firstLine="640"/>
        <w:jc w:val="both"/>
        <w:textAlignment w:val="auto"/>
        <w:rPr>
          <w:color w:val="auto"/>
          <w:sz w:val="32"/>
        </w:rPr>
      </w:pPr>
      <w:r>
        <w:rPr>
          <w:color w:val="auto"/>
          <w:spacing w:val="6"/>
          <w:w w:val="95"/>
          <w:sz w:val="32"/>
        </w:rPr>
        <w:t xml:space="preserve">生产企业办理年度进料加工业务核销时，报送简并 </w:t>
      </w:r>
      <w:r>
        <w:rPr>
          <w:color w:val="auto"/>
          <w:spacing w:val="-2"/>
          <w:sz w:val="32"/>
        </w:rPr>
        <w:t>优化后的《生产企业进料加工业务免抵退税核销表》。企业</w:t>
      </w:r>
      <w:r>
        <w:rPr>
          <w:color w:val="auto"/>
          <w:spacing w:val="-3"/>
          <w:sz w:val="32"/>
        </w:rPr>
        <w:t>获取的主管税务机关反馈数据与实际业务不一致的，报送简</w:t>
      </w:r>
      <w:r>
        <w:rPr>
          <w:color w:val="auto"/>
          <w:spacing w:val="-4"/>
          <w:w w:val="95"/>
          <w:sz w:val="32"/>
        </w:rPr>
        <w:t xml:space="preserve">并优化后的《已核销手册(账册)海关数据调整表》。主管税 </w:t>
      </w:r>
      <w:r>
        <w:rPr>
          <w:color w:val="auto"/>
          <w:spacing w:val="-6"/>
          <w:sz w:val="32"/>
        </w:rPr>
        <w:t>务机关确认核销后，生产企业应根据《生产企业进料加工业</w:t>
      </w:r>
      <w:r>
        <w:rPr>
          <w:color w:val="auto"/>
          <w:spacing w:val="-7"/>
          <w:sz w:val="32"/>
        </w:rPr>
        <w:t>务免抵退税核销表》确认的应调整不得免征和抵扣税额在首次纳税申报时申报调整。</w:t>
      </w:r>
    </w:p>
    <w:p>
      <w:pPr>
        <w:pStyle w:val="12"/>
        <w:keepNext w:val="0"/>
        <w:keepLines w:val="0"/>
        <w:pageBreakBefore w:val="0"/>
        <w:widowControl w:val="0"/>
        <w:numPr>
          <w:ilvl w:val="0"/>
          <w:numId w:val="44"/>
        </w:numPr>
        <w:tabs>
          <w:tab w:val="left" w:pos="1441"/>
        </w:tabs>
        <w:kinsoku/>
        <w:wordWrap/>
        <w:overflowPunct/>
        <w:topLinePunct w:val="0"/>
        <w:autoSpaceDE w:val="0"/>
        <w:autoSpaceDN w:val="0"/>
        <w:bidi w:val="0"/>
        <w:adjustRightInd/>
        <w:snapToGrid/>
        <w:spacing w:before="6" w:after="0" w:line="364" w:lineRule="auto"/>
        <w:ind w:left="320" w:right="379" w:firstLine="640"/>
        <w:jc w:val="both"/>
        <w:textAlignment w:val="auto"/>
        <w:rPr>
          <w:color w:val="auto"/>
          <w:sz w:val="32"/>
        </w:rPr>
      </w:pPr>
      <w:r>
        <w:rPr>
          <w:color w:val="auto"/>
          <w:spacing w:val="-2"/>
          <w:w w:val="95"/>
          <w:sz w:val="32"/>
        </w:rPr>
        <w:t>外贸企业以及横琴、平潭购买企业办理出口退</w:t>
      </w:r>
      <w:r>
        <w:rPr>
          <w:color w:val="auto"/>
          <w:w w:val="95"/>
          <w:sz w:val="32"/>
        </w:rPr>
        <w:t xml:space="preserve">（免） </w:t>
      </w:r>
      <w:r>
        <w:rPr>
          <w:color w:val="auto"/>
          <w:spacing w:val="-2"/>
          <w:sz w:val="32"/>
        </w:rPr>
        <w:t>税申报时，报送简并优化后的《外贸企业出口退税进货明细</w:t>
      </w:r>
      <w:r>
        <w:rPr>
          <w:color w:val="auto"/>
          <w:spacing w:val="-4"/>
          <w:sz w:val="32"/>
        </w:rPr>
        <w:t>申报表》和《外贸企业出口退税出口明细申报表》，停止报</w:t>
      </w:r>
      <w:r>
        <w:rPr>
          <w:color w:val="auto"/>
          <w:spacing w:val="-3"/>
          <w:sz w:val="32"/>
        </w:rPr>
        <w:t>送《外贸企业出口退税汇总申报表》《区内企业退税进货明</w:t>
      </w:r>
      <w:r>
        <w:rPr>
          <w:color w:val="auto"/>
          <w:spacing w:val="-5"/>
          <w:sz w:val="32"/>
        </w:rPr>
        <w:t>细申报表》《区内企业退税入区货物明细申报表》《区内企业退税汇总申报表》。</w:t>
      </w:r>
    </w:p>
    <w:p>
      <w:pPr>
        <w:pStyle w:val="12"/>
        <w:keepNext w:val="0"/>
        <w:keepLines w:val="0"/>
        <w:pageBreakBefore w:val="0"/>
        <w:widowControl w:val="0"/>
        <w:numPr>
          <w:ilvl w:val="0"/>
          <w:numId w:val="44"/>
        </w:numPr>
        <w:tabs>
          <w:tab w:val="left" w:pos="1446"/>
        </w:tabs>
        <w:kinsoku/>
        <w:wordWrap/>
        <w:overflowPunct/>
        <w:topLinePunct w:val="0"/>
        <w:autoSpaceDE w:val="0"/>
        <w:autoSpaceDN w:val="0"/>
        <w:bidi w:val="0"/>
        <w:adjustRightInd/>
        <w:snapToGrid/>
        <w:spacing w:before="30" w:after="0" w:line="364" w:lineRule="auto"/>
        <w:ind w:left="320" w:right="537" w:firstLine="640"/>
        <w:jc w:val="both"/>
        <w:textAlignment w:val="auto"/>
        <w:rPr>
          <w:color w:val="auto"/>
          <w:sz w:val="32"/>
        </w:rPr>
      </w:pPr>
      <w:r>
        <w:rPr>
          <w:color w:val="auto"/>
          <w:spacing w:val="6"/>
          <w:w w:val="95"/>
          <w:sz w:val="32"/>
        </w:rPr>
        <w:t xml:space="preserve">纳税人办理已使用过且未计算抵扣进项税额设备的 </w:t>
      </w:r>
      <w:r>
        <w:rPr>
          <w:color w:val="auto"/>
          <w:spacing w:val="3"/>
          <w:w w:val="95"/>
          <w:sz w:val="32"/>
        </w:rPr>
        <w:t>出口退</w:t>
      </w:r>
      <w:r>
        <w:rPr>
          <w:color w:val="auto"/>
          <w:w w:val="95"/>
          <w:sz w:val="32"/>
        </w:rPr>
        <w:t>（免</w:t>
      </w:r>
      <w:r>
        <w:rPr>
          <w:color w:val="auto"/>
          <w:spacing w:val="-3"/>
          <w:w w:val="95"/>
          <w:sz w:val="32"/>
        </w:rPr>
        <w:t>）</w:t>
      </w:r>
      <w:r>
        <w:rPr>
          <w:color w:val="auto"/>
          <w:spacing w:val="-2"/>
          <w:w w:val="95"/>
          <w:sz w:val="32"/>
        </w:rPr>
        <w:t xml:space="preserve">税申报时，报送简并优化后的《出口已使用过 </w:t>
      </w:r>
      <w:r>
        <w:rPr>
          <w:color w:val="auto"/>
          <w:spacing w:val="-4"/>
          <w:sz w:val="32"/>
        </w:rPr>
        <w:t>的设备退税申报表》，停止报送《出口已使用过的设备折旧情况确认表》。</w:t>
      </w:r>
    </w:p>
    <w:p>
      <w:pPr>
        <w:pStyle w:val="12"/>
        <w:keepNext w:val="0"/>
        <w:keepLines w:val="0"/>
        <w:pageBreakBefore w:val="0"/>
        <w:widowControl w:val="0"/>
        <w:numPr>
          <w:ilvl w:val="0"/>
          <w:numId w:val="44"/>
        </w:numPr>
        <w:tabs>
          <w:tab w:val="left" w:pos="1446"/>
        </w:tabs>
        <w:kinsoku/>
        <w:wordWrap/>
        <w:overflowPunct/>
        <w:topLinePunct w:val="0"/>
        <w:autoSpaceDE w:val="0"/>
        <w:autoSpaceDN w:val="0"/>
        <w:bidi w:val="0"/>
        <w:adjustRightInd/>
        <w:snapToGrid/>
        <w:spacing w:before="3" w:after="0" w:line="364" w:lineRule="auto"/>
        <w:ind w:left="320" w:right="537" w:firstLine="640"/>
        <w:jc w:val="both"/>
        <w:textAlignment w:val="auto"/>
        <w:rPr>
          <w:color w:val="auto"/>
          <w:sz w:val="32"/>
        </w:rPr>
      </w:pPr>
      <w:r>
        <w:rPr>
          <w:color w:val="auto"/>
          <w:spacing w:val="6"/>
          <w:w w:val="95"/>
          <w:sz w:val="32"/>
        </w:rPr>
        <w:t xml:space="preserve">纳税人办理购买水电气、采购国产设备退税时，报 </w:t>
      </w:r>
      <w:r>
        <w:rPr>
          <w:color w:val="auto"/>
          <w:spacing w:val="-18"/>
          <w:w w:val="95"/>
          <w:sz w:val="32"/>
        </w:rPr>
        <w:t xml:space="preserve">送简并优化后的《购进自用货物退税申报表》，停止报送《购 </w:t>
      </w:r>
      <w:r>
        <w:rPr>
          <w:color w:val="auto"/>
          <w:spacing w:val="-18"/>
          <w:sz w:val="32"/>
        </w:rPr>
        <w:t>进水电气退税申报表》。</w:t>
      </w:r>
    </w:p>
    <w:p>
      <w:pPr>
        <w:pStyle w:val="12"/>
        <w:keepNext w:val="0"/>
        <w:keepLines w:val="0"/>
        <w:pageBreakBefore w:val="0"/>
        <w:widowControl w:val="0"/>
        <w:numPr>
          <w:ilvl w:val="0"/>
          <w:numId w:val="44"/>
        </w:numPr>
        <w:tabs>
          <w:tab w:val="left" w:pos="1446"/>
        </w:tabs>
        <w:kinsoku/>
        <w:wordWrap/>
        <w:overflowPunct/>
        <w:topLinePunct w:val="0"/>
        <w:autoSpaceDE w:val="0"/>
        <w:autoSpaceDN w:val="0"/>
        <w:bidi w:val="0"/>
        <w:adjustRightInd/>
        <w:snapToGrid/>
        <w:spacing w:before="2" w:after="0" w:line="364" w:lineRule="auto"/>
        <w:ind w:left="320" w:right="379" w:firstLine="640"/>
        <w:jc w:val="both"/>
        <w:textAlignment w:val="auto"/>
        <w:rPr>
          <w:color w:val="auto"/>
          <w:sz w:val="32"/>
        </w:rPr>
      </w:pPr>
      <w:r>
        <w:rPr>
          <w:color w:val="auto"/>
          <w:spacing w:val="6"/>
          <w:sz w:val="32"/>
        </w:rPr>
        <w:t>纳税人办理跨境应税行为免抵退税申报时，报送简</w:t>
      </w:r>
      <w:r>
        <w:rPr>
          <w:color w:val="auto"/>
          <w:spacing w:val="-2"/>
          <w:sz w:val="32"/>
        </w:rPr>
        <w:t>并优化后的《免抵退税申报汇总表》，停止报送《免抵退税</w:t>
      </w:r>
      <w:r>
        <w:rPr>
          <w:color w:val="auto"/>
          <w:spacing w:val="-5"/>
          <w:sz w:val="32"/>
        </w:rPr>
        <w:t>申报汇总表附表》。其中，办理国际运输(港澳台运输)免抵</w:t>
      </w:r>
      <w:r>
        <w:rPr>
          <w:color w:val="auto"/>
          <w:spacing w:val="-6"/>
          <w:sz w:val="32"/>
        </w:rPr>
        <w:t>退税申报时，报送简并优化后的《国际运输(港澳台运输)免</w:t>
      </w:r>
      <w:r>
        <w:rPr>
          <w:color w:val="auto"/>
          <w:spacing w:val="4"/>
          <w:sz w:val="32"/>
        </w:rPr>
        <w:t>抵退税申报明细表》;办理其他跨境应税行为免抵退税申报</w:t>
      </w:r>
      <w:r>
        <w:rPr>
          <w:color w:val="auto"/>
          <w:spacing w:val="-14"/>
          <w:w w:val="95"/>
          <w:sz w:val="32"/>
        </w:rPr>
        <w:t xml:space="preserve">时，报送简并优化后的《跨境应税行为免抵退税申报明细表》 </w:t>
      </w:r>
      <w:r>
        <w:rPr>
          <w:color w:val="auto"/>
          <w:spacing w:val="-14"/>
          <w:sz w:val="32"/>
        </w:rPr>
        <w:t>和《跨境应税行为收讫营业款明细清单》。</w:t>
      </w:r>
    </w:p>
    <w:p>
      <w:pPr>
        <w:pStyle w:val="12"/>
        <w:keepNext w:val="0"/>
        <w:keepLines w:val="0"/>
        <w:pageBreakBefore w:val="0"/>
        <w:widowControl w:val="0"/>
        <w:numPr>
          <w:ilvl w:val="0"/>
          <w:numId w:val="44"/>
        </w:numPr>
        <w:tabs>
          <w:tab w:val="left" w:pos="1446"/>
        </w:tabs>
        <w:kinsoku/>
        <w:wordWrap/>
        <w:overflowPunct/>
        <w:topLinePunct w:val="0"/>
        <w:autoSpaceDE w:val="0"/>
        <w:autoSpaceDN w:val="0"/>
        <w:bidi w:val="0"/>
        <w:adjustRightInd/>
        <w:snapToGrid/>
        <w:spacing w:before="6" w:after="0" w:line="364" w:lineRule="auto"/>
        <w:ind w:left="320" w:right="379" w:firstLine="640"/>
        <w:jc w:val="both"/>
        <w:textAlignment w:val="auto"/>
        <w:rPr>
          <w:color w:val="auto"/>
          <w:sz w:val="32"/>
        </w:rPr>
      </w:pPr>
      <w:r>
        <w:rPr>
          <w:color w:val="auto"/>
          <w:spacing w:val="6"/>
          <w:sz w:val="32"/>
        </w:rPr>
        <w:t>纳税人办理航天运输服务或在轨交付空间飞行器及</w:t>
      </w:r>
      <w:r>
        <w:rPr>
          <w:color w:val="auto"/>
          <w:spacing w:val="-1"/>
          <w:sz w:val="32"/>
        </w:rPr>
        <w:t>相关货物免退税申报时，报送简并优化后的《航天发射业务</w:t>
      </w:r>
      <w:r>
        <w:rPr>
          <w:color w:val="auto"/>
          <w:spacing w:val="-3"/>
          <w:sz w:val="32"/>
        </w:rPr>
        <w:t xml:space="preserve">免退税申报明细表》;办理其他跨境应税行为免退税申报时， </w:t>
      </w:r>
      <w:r>
        <w:rPr>
          <w:color w:val="auto"/>
          <w:spacing w:val="-4"/>
          <w:sz w:val="32"/>
        </w:rPr>
        <w:t>报送简并优化后的《跨境应税行为免退税申报明细表》，停</w:t>
      </w:r>
      <w:r>
        <w:rPr>
          <w:color w:val="auto"/>
          <w:spacing w:val="-5"/>
          <w:sz w:val="32"/>
        </w:rPr>
        <w:t>止报送《外贸企业外购应税服务出口明细申报表》《外贸企</w:t>
      </w:r>
      <w:r>
        <w:rPr>
          <w:color w:val="auto"/>
          <w:spacing w:val="-6"/>
          <w:sz w:val="32"/>
        </w:rPr>
        <w:t>业出口退税进货明细申报表》《外贸企业出口退税汇总申报表》。</w:t>
      </w:r>
    </w:p>
    <w:p>
      <w:pPr>
        <w:keepNext w:val="0"/>
        <w:keepLines w:val="0"/>
        <w:pageBreakBefore w:val="0"/>
        <w:widowControl w:val="0"/>
        <w:kinsoku/>
        <w:wordWrap/>
        <w:overflowPunct/>
        <w:topLinePunct w:val="0"/>
        <w:autoSpaceDE w:val="0"/>
        <w:autoSpaceDN w:val="0"/>
        <w:bidi w:val="0"/>
        <w:adjustRightInd/>
        <w:snapToGrid/>
        <w:spacing w:before="6"/>
        <w:ind w:left="320" w:right="0" w:firstLine="0"/>
        <w:jc w:val="both"/>
        <w:textAlignment w:val="auto"/>
        <w:rPr>
          <w:rFonts w:hint="eastAsia" w:ascii="宋体" w:eastAsia="宋体"/>
          <w:b/>
          <w:color w:val="auto"/>
          <w:sz w:val="32"/>
        </w:rPr>
      </w:pPr>
      <w:r>
        <w:rPr>
          <w:rFonts w:hint="eastAsia" w:ascii="宋体" w:eastAsia="宋体"/>
          <w:b/>
          <w:color w:val="auto"/>
          <w:sz w:val="32"/>
        </w:rPr>
        <w:t>【政策依据】</w:t>
      </w:r>
    </w:p>
    <w:p>
      <w:pPr>
        <w:pStyle w:val="12"/>
        <w:keepNext w:val="0"/>
        <w:keepLines w:val="0"/>
        <w:pageBreakBefore w:val="0"/>
        <w:widowControl w:val="0"/>
        <w:numPr>
          <w:ilvl w:val="0"/>
          <w:numId w:val="45"/>
        </w:numPr>
        <w:tabs>
          <w:tab w:val="left" w:pos="1283"/>
        </w:tabs>
        <w:kinsoku/>
        <w:wordWrap/>
        <w:overflowPunct/>
        <w:topLinePunct w:val="0"/>
        <w:autoSpaceDE w:val="0"/>
        <w:autoSpaceDN w:val="0"/>
        <w:bidi w:val="0"/>
        <w:adjustRightInd/>
        <w:snapToGrid/>
        <w:spacing w:before="32" w:after="0" w:line="326" w:lineRule="auto"/>
        <w:ind w:left="320" w:right="379" w:firstLine="640"/>
        <w:jc w:val="both"/>
        <w:textAlignment w:val="auto"/>
        <w:rPr>
          <w:rFonts w:hint="eastAsia" w:ascii="黑体" w:eastAsia="黑体"/>
          <w:color w:val="auto"/>
          <w:sz w:val="32"/>
        </w:rPr>
      </w:pPr>
      <w:r>
        <w:rPr>
          <w:rFonts w:hint="eastAsia" w:ascii="黑体" w:eastAsia="黑体"/>
          <w:color w:val="auto"/>
          <w:sz w:val="32"/>
        </w:rPr>
        <w:t>《税务总局等十部门关于进一步加大出口退税支持力</w:t>
      </w:r>
      <w:r>
        <w:rPr>
          <w:rFonts w:hint="eastAsia" w:ascii="黑体" w:eastAsia="黑体"/>
          <w:color w:val="auto"/>
          <w:spacing w:val="-7"/>
          <w:sz w:val="32"/>
        </w:rPr>
        <w:t>度 促进外贸平稳发展的通知》</w:t>
      </w:r>
      <w:r>
        <w:rPr>
          <w:rFonts w:hint="eastAsia" w:ascii="黑体" w:eastAsia="黑体"/>
          <w:color w:val="auto"/>
          <w:sz w:val="32"/>
        </w:rPr>
        <w:t>（</w:t>
      </w:r>
      <w:r>
        <w:rPr>
          <w:rFonts w:hint="eastAsia" w:ascii="黑体" w:eastAsia="黑体"/>
          <w:color w:val="auto"/>
          <w:spacing w:val="-5"/>
          <w:sz w:val="32"/>
        </w:rPr>
        <w:t>税总货劳发〔</w:t>
      </w:r>
      <w:r>
        <w:rPr>
          <w:rFonts w:hint="eastAsia" w:ascii="黑体" w:eastAsia="黑体"/>
          <w:color w:val="auto"/>
          <w:sz w:val="32"/>
        </w:rPr>
        <w:t>2022</w:t>
      </w:r>
      <w:r>
        <w:rPr>
          <w:rFonts w:hint="eastAsia" w:ascii="黑体" w:eastAsia="黑体"/>
          <w:color w:val="auto"/>
          <w:spacing w:val="-22"/>
          <w:sz w:val="32"/>
        </w:rPr>
        <w:t>〕</w:t>
      </w:r>
      <w:r>
        <w:rPr>
          <w:rFonts w:hint="eastAsia" w:ascii="黑体" w:eastAsia="黑体"/>
          <w:color w:val="auto"/>
          <w:sz w:val="32"/>
        </w:rPr>
        <w:t>36</w:t>
      </w:r>
      <w:r>
        <w:rPr>
          <w:rFonts w:hint="eastAsia" w:ascii="黑体" w:eastAsia="黑体"/>
          <w:color w:val="auto"/>
          <w:spacing w:val="-42"/>
          <w:sz w:val="32"/>
        </w:rPr>
        <w:t xml:space="preserve"> 号</w:t>
      </w:r>
      <w:r>
        <w:rPr>
          <w:rFonts w:hint="eastAsia" w:ascii="黑体" w:eastAsia="黑体"/>
          <w:color w:val="auto"/>
          <w:sz w:val="32"/>
        </w:rPr>
        <w:t>）</w:t>
      </w:r>
    </w:p>
    <w:p>
      <w:pPr>
        <w:pStyle w:val="12"/>
        <w:keepNext w:val="0"/>
        <w:keepLines w:val="0"/>
        <w:pageBreakBefore w:val="0"/>
        <w:widowControl w:val="0"/>
        <w:numPr>
          <w:ilvl w:val="0"/>
          <w:numId w:val="45"/>
        </w:numPr>
        <w:tabs>
          <w:tab w:val="left" w:pos="1285"/>
        </w:tabs>
        <w:kinsoku/>
        <w:wordWrap/>
        <w:overflowPunct/>
        <w:topLinePunct w:val="0"/>
        <w:autoSpaceDE w:val="0"/>
        <w:autoSpaceDN w:val="0"/>
        <w:bidi w:val="0"/>
        <w:adjustRightInd/>
        <w:snapToGrid/>
        <w:spacing w:before="3" w:after="0" w:line="328" w:lineRule="auto"/>
        <w:ind w:left="320" w:right="540" w:firstLine="640"/>
        <w:jc w:val="both"/>
        <w:textAlignment w:val="auto"/>
        <w:rPr>
          <w:rFonts w:hint="eastAsia" w:ascii="黑体" w:eastAsia="黑体"/>
          <w:color w:val="auto"/>
          <w:sz w:val="32"/>
        </w:rPr>
      </w:pPr>
      <w:r>
        <w:rPr>
          <w:rFonts w:hint="eastAsia" w:ascii="黑体" w:eastAsia="黑体"/>
          <w:color w:val="auto"/>
          <w:spacing w:val="4"/>
          <w:sz w:val="32"/>
        </w:rPr>
        <w:t>《国家税务总局关于进一步便利出口退税办理 促进外贸平稳发展有关事项的公告》（2022</w:t>
      </w:r>
      <w:r>
        <w:rPr>
          <w:rFonts w:hint="eastAsia" w:ascii="黑体" w:eastAsia="黑体"/>
          <w:color w:val="auto"/>
          <w:spacing w:val="-41"/>
          <w:sz w:val="32"/>
        </w:rPr>
        <w:t xml:space="preserve"> 年第 </w:t>
      </w:r>
      <w:r>
        <w:rPr>
          <w:rFonts w:hint="eastAsia" w:ascii="黑体" w:eastAsia="黑体"/>
          <w:color w:val="auto"/>
          <w:sz w:val="32"/>
        </w:rPr>
        <w:t>9</w:t>
      </w:r>
      <w:r>
        <w:rPr>
          <w:rFonts w:hint="eastAsia" w:ascii="黑体" w:eastAsia="黑体"/>
          <w:color w:val="auto"/>
          <w:spacing w:val="-40"/>
          <w:sz w:val="32"/>
        </w:rPr>
        <w:t xml:space="preserve"> 号</w:t>
      </w:r>
      <w:r>
        <w:rPr>
          <w:rFonts w:hint="eastAsia" w:ascii="黑体" w:eastAsia="黑体"/>
          <w:color w:val="auto"/>
          <w:sz w:val="32"/>
        </w:rPr>
        <w:t>）</w:t>
      </w:r>
    </w:p>
    <w:p>
      <w:pPr>
        <w:pStyle w:val="12"/>
        <w:keepNext w:val="0"/>
        <w:keepLines w:val="0"/>
        <w:pageBreakBefore w:val="0"/>
        <w:widowControl w:val="0"/>
        <w:numPr>
          <w:ilvl w:val="0"/>
          <w:numId w:val="45"/>
        </w:numPr>
        <w:tabs>
          <w:tab w:val="left" w:pos="1285"/>
        </w:tabs>
        <w:kinsoku/>
        <w:wordWrap/>
        <w:overflowPunct/>
        <w:topLinePunct w:val="0"/>
        <w:autoSpaceDE w:val="0"/>
        <w:autoSpaceDN w:val="0"/>
        <w:bidi w:val="0"/>
        <w:adjustRightInd/>
        <w:snapToGrid/>
        <w:spacing w:before="0" w:after="0" w:line="326" w:lineRule="auto"/>
        <w:ind w:left="320" w:right="540" w:firstLine="640"/>
        <w:jc w:val="both"/>
        <w:textAlignment w:val="auto"/>
        <w:rPr>
          <w:rFonts w:hint="eastAsia" w:ascii="黑体" w:eastAsia="黑体"/>
          <w:color w:val="auto"/>
          <w:sz w:val="32"/>
        </w:rPr>
      </w:pPr>
      <w:r>
        <w:rPr>
          <w:rFonts w:hint="eastAsia" w:ascii="黑体" w:eastAsia="黑体"/>
          <w:color w:val="auto"/>
          <w:spacing w:val="4"/>
          <w:sz w:val="32"/>
        </w:rPr>
        <w:t>《国家税务总局关于优化整合出口退税信息系统 更好服务纳税人有关事项的公告》（2021</w:t>
      </w:r>
      <w:r>
        <w:rPr>
          <w:rFonts w:hint="eastAsia" w:ascii="黑体" w:eastAsia="黑体"/>
          <w:color w:val="auto"/>
          <w:spacing w:val="-41"/>
          <w:sz w:val="32"/>
        </w:rPr>
        <w:t xml:space="preserve"> 年第 </w:t>
      </w:r>
      <w:r>
        <w:rPr>
          <w:rFonts w:hint="eastAsia" w:ascii="黑体" w:eastAsia="黑体"/>
          <w:color w:val="auto"/>
          <w:sz w:val="32"/>
        </w:rPr>
        <w:t>15</w:t>
      </w:r>
      <w:r>
        <w:rPr>
          <w:rFonts w:hint="eastAsia" w:ascii="黑体" w:eastAsia="黑体"/>
          <w:color w:val="auto"/>
          <w:spacing w:val="-41"/>
          <w:sz w:val="32"/>
        </w:rPr>
        <w:t xml:space="preserve"> 号</w:t>
      </w:r>
      <w:r>
        <w:rPr>
          <w:rFonts w:hint="eastAsia" w:ascii="黑体" w:eastAsia="黑体"/>
          <w:color w:val="auto"/>
          <w:sz w:val="32"/>
        </w:rPr>
        <w:t>）</w:t>
      </w:r>
    </w:p>
    <w:p>
      <w:pPr>
        <w:pStyle w:val="12"/>
        <w:keepNext w:val="0"/>
        <w:keepLines w:val="0"/>
        <w:pageBreakBefore w:val="0"/>
        <w:widowControl w:val="0"/>
        <w:numPr>
          <w:ilvl w:val="0"/>
          <w:numId w:val="46"/>
        </w:numPr>
        <w:tabs>
          <w:tab w:val="left" w:pos="805"/>
        </w:tabs>
        <w:kinsoku/>
        <w:wordWrap/>
        <w:overflowPunct/>
        <w:topLinePunct w:val="0"/>
        <w:autoSpaceDE w:val="0"/>
        <w:autoSpaceDN w:val="0"/>
        <w:bidi w:val="0"/>
        <w:adjustRightInd/>
        <w:snapToGrid/>
        <w:spacing w:before="0" w:after="0" w:line="240" w:lineRule="auto"/>
        <w:ind w:left="804" w:right="0" w:hanging="485"/>
        <w:jc w:val="both"/>
        <w:textAlignment w:val="auto"/>
        <w:rPr>
          <w:rFonts w:hint="eastAsia" w:ascii="宋体" w:eastAsia="宋体"/>
          <w:b/>
          <w:color w:val="auto"/>
          <w:sz w:val="32"/>
        </w:rPr>
      </w:pPr>
      <w:bookmarkStart w:id="21" w:name="_TOC_250028"/>
      <w:bookmarkEnd w:id="21"/>
      <w:r>
        <w:rPr>
          <w:rFonts w:hint="eastAsia" w:ascii="宋体" w:eastAsia="宋体"/>
          <w:b/>
          <w:color w:val="auto"/>
          <w:sz w:val="32"/>
        </w:rPr>
        <w:t>持续加快出口退（免）税办理进度</w:t>
      </w:r>
    </w:p>
    <w:p>
      <w:pPr>
        <w:keepNext w:val="0"/>
        <w:keepLines w:val="0"/>
        <w:pageBreakBefore w:val="0"/>
        <w:widowControl w:val="0"/>
        <w:kinsoku/>
        <w:wordWrap/>
        <w:overflowPunct/>
        <w:topLinePunct w:val="0"/>
        <w:autoSpaceDE w:val="0"/>
        <w:autoSpaceDN w:val="0"/>
        <w:bidi w:val="0"/>
        <w:adjustRightInd/>
        <w:snapToGrid/>
        <w:spacing w:before="214"/>
        <w:ind w:left="320" w:right="0" w:firstLine="0"/>
        <w:jc w:val="both"/>
        <w:textAlignment w:val="auto"/>
        <w:rPr>
          <w:rFonts w:hint="eastAsia" w:ascii="宋体" w:eastAsia="宋体"/>
          <w:b/>
          <w:color w:val="auto"/>
          <w:sz w:val="32"/>
        </w:rPr>
      </w:pPr>
      <w:r>
        <w:rPr>
          <w:rFonts w:hint="eastAsia" w:ascii="宋体" w:eastAsia="宋体"/>
          <w:b/>
          <w:color w:val="auto"/>
          <w:sz w:val="32"/>
        </w:rPr>
        <w:t>【服务对象】</w:t>
      </w:r>
    </w:p>
    <w:p>
      <w:pPr>
        <w:pStyle w:val="4"/>
        <w:keepNext w:val="0"/>
        <w:keepLines w:val="0"/>
        <w:pageBreakBefore w:val="0"/>
        <w:widowControl w:val="0"/>
        <w:kinsoku/>
        <w:wordWrap/>
        <w:overflowPunct/>
        <w:topLinePunct w:val="0"/>
        <w:autoSpaceDE w:val="0"/>
        <w:autoSpaceDN w:val="0"/>
        <w:bidi w:val="0"/>
        <w:adjustRightInd/>
        <w:snapToGrid/>
        <w:ind w:left="960" w:firstLine="0"/>
        <w:jc w:val="both"/>
        <w:textAlignment w:val="auto"/>
        <w:rPr>
          <w:color w:val="auto"/>
        </w:rPr>
      </w:pPr>
      <w:r>
        <w:rPr>
          <w:color w:val="auto"/>
        </w:rPr>
        <w:t>符合条件的出口企业</w:t>
      </w:r>
    </w:p>
    <w:p>
      <w:pPr>
        <w:keepNext w:val="0"/>
        <w:keepLines w:val="0"/>
        <w:pageBreakBefore w:val="0"/>
        <w:widowControl w:val="0"/>
        <w:kinsoku/>
        <w:wordWrap/>
        <w:overflowPunct/>
        <w:topLinePunct w:val="0"/>
        <w:autoSpaceDE w:val="0"/>
        <w:autoSpaceDN w:val="0"/>
        <w:bidi w:val="0"/>
        <w:adjustRightInd/>
        <w:snapToGrid/>
        <w:spacing w:before="214"/>
        <w:ind w:left="320" w:right="0" w:firstLine="0"/>
        <w:jc w:val="both"/>
        <w:textAlignment w:val="auto"/>
        <w:rPr>
          <w:rFonts w:hint="eastAsia" w:ascii="宋体" w:eastAsia="宋体"/>
          <w:b/>
          <w:color w:val="auto"/>
          <w:sz w:val="32"/>
        </w:rPr>
      </w:pPr>
      <w:r>
        <w:rPr>
          <w:rFonts w:hint="eastAsia" w:ascii="宋体" w:eastAsia="宋体"/>
          <w:b/>
          <w:color w:val="auto"/>
          <w:sz w:val="32"/>
        </w:rPr>
        <w:t>【服务措施】</w:t>
      </w:r>
    </w:p>
    <w:p>
      <w:pPr>
        <w:pStyle w:val="4"/>
        <w:keepNext w:val="0"/>
        <w:keepLines w:val="0"/>
        <w:pageBreakBefore w:val="0"/>
        <w:widowControl w:val="0"/>
        <w:kinsoku/>
        <w:wordWrap/>
        <w:overflowPunct/>
        <w:topLinePunct w:val="0"/>
        <w:autoSpaceDE w:val="0"/>
        <w:autoSpaceDN w:val="0"/>
        <w:bidi w:val="0"/>
        <w:adjustRightInd/>
        <w:snapToGrid/>
        <w:spacing w:line="364" w:lineRule="auto"/>
        <w:ind w:right="378"/>
        <w:jc w:val="both"/>
        <w:textAlignment w:val="auto"/>
        <w:rPr>
          <w:color w:val="auto"/>
        </w:rPr>
      </w:pPr>
      <w:r>
        <w:rPr>
          <w:color w:val="auto"/>
          <w:spacing w:val="-43"/>
        </w:rPr>
        <w:t xml:space="preserve">在 </w:t>
      </w:r>
      <w:r>
        <w:rPr>
          <w:color w:val="auto"/>
        </w:rPr>
        <w:t>2021</w:t>
      </w:r>
      <w:r>
        <w:rPr>
          <w:color w:val="auto"/>
          <w:spacing w:val="-18"/>
        </w:rPr>
        <w:t xml:space="preserve"> 年正常出口退税平均 </w:t>
      </w:r>
      <w:r>
        <w:rPr>
          <w:color w:val="auto"/>
        </w:rPr>
        <w:t>7</w:t>
      </w:r>
      <w:r>
        <w:rPr>
          <w:color w:val="auto"/>
          <w:spacing w:val="-10"/>
        </w:rPr>
        <w:t xml:space="preserve"> 个工作日办结的基础上， </w:t>
      </w:r>
      <w:r>
        <w:rPr>
          <w:color w:val="auto"/>
          <w:spacing w:val="-11"/>
        </w:rPr>
        <w:t>进一步压缩出口退税办理时间，</w:t>
      </w:r>
      <w:r>
        <w:rPr>
          <w:color w:val="auto"/>
          <w:spacing w:val="-19"/>
        </w:rPr>
        <w:t>2022</w:t>
      </w:r>
      <w:r>
        <w:rPr>
          <w:color w:val="auto"/>
          <w:spacing w:val="-20"/>
        </w:rPr>
        <w:t xml:space="preserve"> 年进一步压缩至 </w:t>
      </w:r>
      <w:r>
        <w:rPr>
          <w:color w:val="auto"/>
        </w:rPr>
        <w:t>6</w:t>
      </w:r>
      <w:r>
        <w:rPr>
          <w:color w:val="auto"/>
          <w:spacing w:val="-28"/>
        </w:rPr>
        <w:t xml:space="preserve"> 个工作日内。全面实现退库无纸化，进一步提高税款退付效率。</w:t>
      </w:r>
    </w:p>
    <w:p>
      <w:pPr>
        <w:keepNext w:val="0"/>
        <w:keepLines w:val="0"/>
        <w:pageBreakBefore w:val="0"/>
        <w:widowControl w:val="0"/>
        <w:kinsoku/>
        <w:wordWrap/>
        <w:overflowPunct/>
        <w:topLinePunct w:val="0"/>
        <w:autoSpaceDE w:val="0"/>
        <w:autoSpaceDN w:val="0"/>
        <w:bidi w:val="0"/>
        <w:adjustRightInd/>
        <w:snapToGrid/>
        <w:spacing w:before="3"/>
        <w:ind w:left="320" w:right="0" w:firstLine="0"/>
        <w:jc w:val="both"/>
        <w:textAlignment w:val="auto"/>
        <w:rPr>
          <w:rFonts w:hint="eastAsia" w:ascii="宋体" w:eastAsia="宋体"/>
          <w:b/>
          <w:color w:val="auto"/>
          <w:sz w:val="32"/>
        </w:rPr>
      </w:pPr>
      <w:r>
        <w:rPr>
          <w:rFonts w:hint="eastAsia" w:ascii="宋体" w:eastAsia="宋体"/>
          <w:b/>
          <w:color w:val="auto"/>
          <w:sz w:val="32"/>
        </w:rPr>
        <w:t>【政策依据】</w:t>
      </w:r>
    </w:p>
    <w:p>
      <w:pPr>
        <w:pStyle w:val="4"/>
        <w:keepNext w:val="0"/>
        <w:keepLines w:val="0"/>
        <w:pageBreakBefore w:val="0"/>
        <w:widowControl w:val="0"/>
        <w:kinsoku/>
        <w:wordWrap/>
        <w:overflowPunct/>
        <w:topLinePunct w:val="0"/>
        <w:autoSpaceDE w:val="0"/>
        <w:autoSpaceDN w:val="0"/>
        <w:bidi w:val="0"/>
        <w:adjustRightInd/>
        <w:snapToGrid/>
        <w:spacing w:before="235" w:line="328" w:lineRule="auto"/>
        <w:ind w:right="378"/>
        <w:jc w:val="both"/>
        <w:textAlignment w:val="auto"/>
        <w:rPr>
          <w:rFonts w:hint="eastAsia" w:ascii="黑体" w:eastAsia="黑体"/>
          <w:color w:val="auto"/>
        </w:rPr>
      </w:pPr>
      <w:r>
        <w:rPr>
          <w:rFonts w:hint="eastAsia" w:ascii="黑体" w:eastAsia="黑体"/>
          <w:color w:val="auto"/>
          <w:spacing w:val="13"/>
        </w:rPr>
        <w:t>《税务总局等十部门关于进一步加大出口退税支持力</w:t>
      </w:r>
      <w:r>
        <w:rPr>
          <w:rFonts w:hint="eastAsia" w:ascii="黑体" w:eastAsia="黑体"/>
          <w:color w:val="auto"/>
          <w:spacing w:val="-4"/>
        </w:rPr>
        <w:t>度 促进外贸平稳发展的通知》</w:t>
      </w:r>
      <w:r>
        <w:rPr>
          <w:rFonts w:hint="eastAsia" w:ascii="黑体" w:eastAsia="黑体"/>
          <w:color w:val="auto"/>
        </w:rPr>
        <w:t>（</w:t>
      </w:r>
      <w:r>
        <w:rPr>
          <w:rFonts w:hint="eastAsia" w:ascii="黑体" w:eastAsia="黑体"/>
          <w:color w:val="auto"/>
          <w:spacing w:val="-5"/>
        </w:rPr>
        <w:t>税总货劳发〔</w:t>
      </w:r>
      <w:r>
        <w:rPr>
          <w:rFonts w:hint="eastAsia" w:ascii="黑体" w:eastAsia="黑体"/>
          <w:color w:val="auto"/>
        </w:rPr>
        <w:t>2022</w:t>
      </w:r>
      <w:r>
        <w:rPr>
          <w:rFonts w:hint="eastAsia" w:ascii="黑体" w:eastAsia="黑体"/>
          <w:color w:val="auto"/>
          <w:spacing w:val="-22"/>
        </w:rPr>
        <w:t>〕</w:t>
      </w:r>
      <w:r>
        <w:rPr>
          <w:rFonts w:hint="eastAsia" w:ascii="黑体" w:eastAsia="黑体"/>
          <w:color w:val="auto"/>
        </w:rPr>
        <w:t>36</w:t>
      </w:r>
      <w:r>
        <w:rPr>
          <w:rFonts w:hint="eastAsia" w:ascii="黑体" w:eastAsia="黑体"/>
          <w:color w:val="auto"/>
          <w:spacing w:val="-43"/>
        </w:rPr>
        <w:t xml:space="preserve"> 号</w:t>
      </w:r>
      <w:r>
        <w:rPr>
          <w:rFonts w:hint="eastAsia" w:ascii="黑体" w:eastAsia="黑体"/>
          <w:color w:val="auto"/>
        </w:rPr>
        <w:t>） 第二条第（八）项</w:t>
      </w:r>
    </w:p>
    <w:p>
      <w:pPr>
        <w:pStyle w:val="4"/>
        <w:keepNext w:val="0"/>
        <w:keepLines w:val="0"/>
        <w:pageBreakBefore w:val="0"/>
        <w:widowControl w:val="0"/>
        <w:kinsoku/>
        <w:wordWrap/>
        <w:overflowPunct/>
        <w:topLinePunct w:val="0"/>
        <w:autoSpaceDE w:val="0"/>
        <w:autoSpaceDN w:val="0"/>
        <w:bidi w:val="0"/>
        <w:adjustRightInd/>
        <w:snapToGrid/>
        <w:spacing w:before="10"/>
        <w:ind w:left="0" w:firstLine="0"/>
        <w:jc w:val="both"/>
        <w:textAlignment w:val="auto"/>
        <w:rPr>
          <w:rFonts w:ascii="黑体"/>
          <w:color w:val="auto"/>
          <w:sz w:val="41"/>
        </w:rPr>
      </w:pPr>
    </w:p>
    <w:p>
      <w:pPr>
        <w:pStyle w:val="12"/>
        <w:keepNext w:val="0"/>
        <w:keepLines w:val="0"/>
        <w:pageBreakBefore w:val="0"/>
        <w:widowControl w:val="0"/>
        <w:numPr>
          <w:ilvl w:val="0"/>
          <w:numId w:val="46"/>
        </w:numPr>
        <w:tabs>
          <w:tab w:val="left" w:pos="805"/>
        </w:tabs>
        <w:kinsoku/>
        <w:wordWrap/>
        <w:overflowPunct/>
        <w:topLinePunct w:val="0"/>
        <w:autoSpaceDE w:val="0"/>
        <w:autoSpaceDN w:val="0"/>
        <w:bidi w:val="0"/>
        <w:adjustRightInd/>
        <w:snapToGrid/>
        <w:spacing w:before="0" w:after="0" w:line="240" w:lineRule="auto"/>
        <w:ind w:left="804" w:right="0" w:hanging="485"/>
        <w:jc w:val="both"/>
        <w:textAlignment w:val="auto"/>
        <w:rPr>
          <w:rFonts w:hint="eastAsia" w:ascii="宋体" w:eastAsia="宋体"/>
          <w:b/>
          <w:color w:val="auto"/>
          <w:sz w:val="32"/>
        </w:rPr>
      </w:pPr>
      <w:bookmarkStart w:id="22" w:name="_TOC_250027"/>
      <w:bookmarkEnd w:id="22"/>
      <w:r>
        <w:rPr>
          <w:rFonts w:hint="eastAsia" w:ascii="宋体" w:eastAsia="宋体"/>
          <w:b/>
          <w:color w:val="auto"/>
          <w:sz w:val="32"/>
        </w:rPr>
        <w:t>持续提升出口退（免）税服务水平</w:t>
      </w:r>
    </w:p>
    <w:p>
      <w:pPr>
        <w:keepNext w:val="0"/>
        <w:keepLines w:val="0"/>
        <w:pageBreakBefore w:val="0"/>
        <w:widowControl w:val="0"/>
        <w:kinsoku/>
        <w:wordWrap/>
        <w:overflowPunct/>
        <w:topLinePunct w:val="0"/>
        <w:autoSpaceDE w:val="0"/>
        <w:autoSpaceDN w:val="0"/>
        <w:bidi w:val="0"/>
        <w:adjustRightInd/>
        <w:snapToGrid/>
        <w:spacing w:before="214"/>
        <w:ind w:left="320" w:right="0" w:firstLine="0"/>
        <w:jc w:val="both"/>
        <w:textAlignment w:val="auto"/>
        <w:rPr>
          <w:rFonts w:hint="eastAsia" w:ascii="宋体" w:eastAsia="宋体"/>
          <w:b/>
          <w:color w:val="auto"/>
          <w:sz w:val="32"/>
        </w:rPr>
      </w:pPr>
      <w:r>
        <w:rPr>
          <w:rFonts w:hint="eastAsia" w:ascii="宋体" w:eastAsia="宋体"/>
          <w:b/>
          <w:color w:val="auto"/>
          <w:sz w:val="32"/>
        </w:rPr>
        <w:t>【服务对象】</w:t>
      </w:r>
    </w:p>
    <w:p>
      <w:pPr>
        <w:pStyle w:val="4"/>
        <w:keepNext w:val="0"/>
        <w:keepLines w:val="0"/>
        <w:pageBreakBefore w:val="0"/>
        <w:widowControl w:val="0"/>
        <w:kinsoku/>
        <w:wordWrap/>
        <w:overflowPunct/>
        <w:topLinePunct w:val="0"/>
        <w:autoSpaceDE w:val="0"/>
        <w:autoSpaceDN w:val="0"/>
        <w:bidi w:val="0"/>
        <w:adjustRightInd/>
        <w:snapToGrid/>
        <w:ind w:left="960" w:firstLine="0"/>
        <w:jc w:val="both"/>
        <w:textAlignment w:val="auto"/>
        <w:rPr>
          <w:color w:val="auto"/>
        </w:rPr>
      </w:pPr>
      <w:r>
        <w:rPr>
          <w:color w:val="auto"/>
        </w:rPr>
        <w:t>符合条件的出口企业</w:t>
      </w:r>
    </w:p>
    <w:p>
      <w:pPr>
        <w:keepNext w:val="0"/>
        <w:keepLines w:val="0"/>
        <w:pageBreakBefore w:val="0"/>
        <w:widowControl w:val="0"/>
        <w:kinsoku/>
        <w:wordWrap/>
        <w:overflowPunct/>
        <w:topLinePunct w:val="0"/>
        <w:autoSpaceDE w:val="0"/>
        <w:autoSpaceDN w:val="0"/>
        <w:bidi w:val="0"/>
        <w:adjustRightInd/>
        <w:snapToGrid/>
        <w:spacing w:before="214"/>
        <w:ind w:left="320" w:right="0" w:firstLine="0"/>
        <w:jc w:val="both"/>
        <w:textAlignment w:val="auto"/>
        <w:rPr>
          <w:rFonts w:hint="eastAsia" w:ascii="宋体" w:eastAsia="宋体"/>
          <w:b/>
          <w:color w:val="auto"/>
          <w:sz w:val="32"/>
        </w:rPr>
      </w:pPr>
      <w:r>
        <w:rPr>
          <w:rFonts w:hint="eastAsia" w:ascii="宋体" w:eastAsia="宋体"/>
          <w:b/>
          <w:color w:val="auto"/>
          <w:sz w:val="32"/>
        </w:rPr>
        <w:t>【服务措施】</w:t>
      </w:r>
    </w:p>
    <w:p>
      <w:pPr>
        <w:pStyle w:val="12"/>
        <w:keepNext w:val="0"/>
        <w:keepLines w:val="0"/>
        <w:pageBreakBefore w:val="0"/>
        <w:widowControl w:val="0"/>
        <w:numPr>
          <w:ilvl w:val="1"/>
          <w:numId w:val="46"/>
        </w:numPr>
        <w:tabs>
          <w:tab w:val="left" w:pos="1283"/>
        </w:tabs>
        <w:kinsoku/>
        <w:wordWrap/>
        <w:overflowPunct/>
        <w:topLinePunct w:val="0"/>
        <w:autoSpaceDE w:val="0"/>
        <w:autoSpaceDN w:val="0"/>
        <w:bidi w:val="0"/>
        <w:adjustRightInd/>
        <w:snapToGrid/>
        <w:spacing w:before="30" w:after="0" w:line="364" w:lineRule="auto"/>
        <w:ind w:left="320" w:right="537" w:firstLine="640"/>
        <w:jc w:val="both"/>
        <w:textAlignment w:val="auto"/>
        <w:rPr>
          <w:color w:val="auto"/>
          <w:sz w:val="32"/>
        </w:rPr>
      </w:pPr>
      <w:r>
        <w:rPr>
          <w:color w:val="auto"/>
          <w:spacing w:val="-1"/>
          <w:w w:val="95"/>
          <w:sz w:val="32"/>
        </w:rPr>
        <w:t xml:space="preserve">丰富宣传渠道及精准提醒内容，让出口企业及时获知 </w:t>
      </w:r>
      <w:r>
        <w:rPr>
          <w:color w:val="auto"/>
          <w:spacing w:val="-5"/>
          <w:sz w:val="32"/>
        </w:rPr>
        <w:t>报关、结关、退税等事项办理进度，引导企业提高内部管理效率，进一步压缩出口单证收集、流转时间，加速申报出口退税。</w:t>
      </w:r>
    </w:p>
    <w:p>
      <w:pPr>
        <w:pStyle w:val="12"/>
        <w:keepNext w:val="0"/>
        <w:keepLines w:val="0"/>
        <w:pageBreakBefore w:val="0"/>
        <w:widowControl w:val="0"/>
        <w:numPr>
          <w:ilvl w:val="1"/>
          <w:numId w:val="46"/>
        </w:numPr>
        <w:tabs>
          <w:tab w:val="left" w:pos="1283"/>
        </w:tabs>
        <w:kinsoku/>
        <w:wordWrap/>
        <w:overflowPunct/>
        <w:topLinePunct w:val="0"/>
        <w:autoSpaceDE w:val="0"/>
        <w:autoSpaceDN w:val="0"/>
        <w:bidi w:val="0"/>
        <w:adjustRightInd/>
        <w:snapToGrid/>
        <w:spacing w:before="3" w:after="0" w:line="364" w:lineRule="auto"/>
        <w:ind w:left="320" w:right="537" w:firstLine="640"/>
        <w:jc w:val="both"/>
        <w:textAlignment w:val="auto"/>
        <w:rPr>
          <w:color w:val="auto"/>
          <w:sz w:val="32"/>
        </w:rPr>
      </w:pPr>
      <w:r>
        <w:rPr>
          <w:color w:val="auto"/>
          <w:spacing w:val="-1"/>
          <w:sz w:val="32"/>
        </w:rPr>
        <w:t>规范跨境电商零售出口税收管理，引导出口企业在线</w:t>
      </w:r>
      <w:r>
        <w:rPr>
          <w:color w:val="auto"/>
          <w:spacing w:val="-2"/>
          <w:sz w:val="32"/>
        </w:rPr>
        <w:t>上综合服务平台登记出口商品信息并进行免税申报，促进跨境电商出口贸易健康发展。</w:t>
      </w:r>
    </w:p>
    <w:p>
      <w:pPr>
        <w:pStyle w:val="12"/>
        <w:keepNext w:val="0"/>
        <w:keepLines w:val="0"/>
        <w:pageBreakBefore w:val="0"/>
        <w:widowControl w:val="0"/>
        <w:numPr>
          <w:ilvl w:val="1"/>
          <w:numId w:val="46"/>
        </w:numPr>
        <w:tabs>
          <w:tab w:val="left" w:pos="1283"/>
        </w:tabs>
        <w:kinsoku/>
        <w:wordWrap/>
        <w:overflowPunct/>
        <w:topLinePunct w:val="0"/>
        <w:autoSpaceDE w:val="0"/>
        <w:autoSpaceDN w:val="0"/>
        <w:bidi w:val="0"/>
        <w:adjustRightInd/>
        <w:snapToGrid/>
        <w:spacing w:before="2" w:after="0" w:line="364" w:lineRule="auto"/>
        <w:ind w:left="320" w:right="537" w:firstLine="640"/>
        <w:jc w:val="both"/>
        <w:textAlignment w:val="auto"/>
        <w:rPr>
          <w:color w:val="auto"/>
          <w:sz w:val="32"/>
        </w:rPr>
      </w:pPr>
      <w:r>
        <w:rPr>
          <w:color w:val="auto"/>
          <w:spacing w:val="-1"/>
          <w:sz w:val="32"/>
        </w:rPr>
        <w:t>深化落实外贸综合服务企业代办退税管理办法，进一</w:t>
      </w:r>
      <w:r>
        <w:rPr>
          <w:color w:val="auto"/>
          <w:spacing w:val="-2"/>
          <w:sz w:val="32"/>
        </w:rPr>
        <w:t>步提高集中代办退税备案及实地核查效率。鼓励外贸综合服</w:t>
      </w:r>
      <w:r>
        <w:rPr>
          <w:color w:val="auto"/>
          <w:spacing w:val="-3"/>
          <w:sz w:val="32"/>
        </w:rPr>
        <w:t>务企业采用无纸化方式申报出口退税、电子化方式管理出口退税备案单证。</w:t>
      </w:r>
    </w:p>
    <w:p>
      <w:pPr>
        <w:pStyle w:val="12"/>
        <w:keepNext w:val="0"/>
        <w:keepLines w:val="0"/>
        <w:pageBreakBefore w:val="0"/>
        <w:widowControl w:val="0"/>
        <w:numPr>
          <w:ilvl w:val="1"/>
          <w:numId w:val="46"/>
        </w:numPr>
        <w:tabs>
          <w:tab w:val="left" w:pos="1283"/>
        </w:tabs>
        <w:kinsoku/>
        <w:wordWrap/>
        <w:overflowPunct/>
        <w:topLinePunct w:val="0"/>
        <w:autoSpaceDE w:val="0"/>
        <w:autoSpaceDN w:val="0"/>
        <w:bidi w:val="0"/>
        <w:adjustRightInd/>
        <w:snapToGrid/>
        <w:spacing w:before="4" w:after="0" w:line="364" w:lineRule="auto"/>
        <w:ind w:left="320" w:right="537" w:firstLine="640"/>
        <w:jc w:val="both"/>
        <w:textAlignment w:val="auto"/>
        <w:rPr>
          <w:color w:val="auto"/>
          <w:sz w:val="32"/>
        </w:rPr>
      </w:pPr>
      <w:r>
        <w:rPr>
          <w:color w:val="auto"/>
          <w:spacing w:val="-1"/>
          <w:sz w:val="32"/>
        </w:rPr>
        <w:t>进一步提升出口退税申报便利水平，实现企业通过税</w:t>
      </w:r>
      <w:r>
        <w:rPr>
          <w:color w:val="auto"/>
          <w:spacing w:val="11"/>
          <w:w w:val="95"/>
          <w:sz w:val="32"/>
        </w:rPr>
        <w:t xml:space="preserve">务信息系统申报出口退税时自动调用本企业出口报关单信 </w:t>
      </w:r>
      <w:r>
        <w:rPr>
          <w:color w:val="auto"/>
          <w:spacing w:val="-1"/>
          <w:sz w:val="32"/>
        </w:rPr>
        <w:t>息，通过国际贸易“单一窗口”申报出口退税时自动调用本</w:t>
      </w:r>
      <w:r>
        <w:rPr>
          <w:color w:val="auto"/>
          <w:spacing w:val="11"/>
          <w:w w:val="95"/>
          <w:sz w:val="32"/>
        </w:rPr>
        <w:t xml:space="preserve">企业购进的出口货物的发票信息。持续扩大出口退税申报 </w:t>
      </w:r>
      <w:r>
        <w:rPr>
          <w:color w:val="auto"/>
          <w:spacing w:val="-1"/>
          <w:w w:val="95"/>
          <w:sz w:val="32"/>
        </w:rPr>
        <w:t xml:space="preserve">“免填报”范围，为企业高效申报退税创造便利条件，进一 </w:t>
      </w:r>
      <w:r>
        <w:rPr>
          <w:color w:val="auto"/>
          <w:spacing w:val="-1"/>
          <w:sz w:val="32"/>
        </w:rPr>
        <w:t>步提升申报效率。</w:t>
      </w:r>
    </w:p>
    <w:p>
      <w:pPr>
        <w:pStyle w:val="12"/>
        <w:keepNext w:val="0"/>
        <w:keepLines w:val="0"/>
        <w:pageBreakBefore w:val="0"/>
        <w:widowControl w:val="0"/>
        <w:numPr>
          <w:ilvl w:val="1"/>
          <w:numId w:val="46"/>
        </w:numPr>
        <w:tabs>
          <w:tab w:val="left" w:pos="1283"/>
        </w:tabs>
        <w:kinsoku/>
        <w:wordWrap/>
        <w:overflowPunct/>
        <w:topLinePunct w:val="0"/>
        <w:autoSpaceDE w:val="0"/>
        <w:autoSpaceDN w:val="0"/>
        <w:bidi w:val="0"/>
        <w:adjustRightInd/>
        <w:snapToGrid/>
        <w:spacing w:before="4" w:after="0" w:line="364" w:lineRule="auto"/>
        <w:ind w:left="320" w:right="525" w:firstLine="640"/>
        <w:jc w:val="both"/>
        <w:textAlignment w:val="auto"/>
        <w:rPr>
          <w:color w:val="auto"/>
          <w:sz w:val="32"/>
        </w:rPr>
      </w:pPr>
      <w:r>
        <w:rPr>
          <w:color w:val="auto"/>
          <w:spacing w:val="-1"/>
          <w:sz w:val="32"/>
        </w:rPr>
        <w:t>为便于纳税人及时了解出口退</w:t>
      </w:r>
      <w:r>
        <w:rPr>
          <w:color w:val="auto"/>
          <w:sz w:val="32"/>
        </w:rPr>
        <w:t>（免</w:t>
      </w:r>
      <w:r>
        <w:rPr>
          <w:color w:val="auto"/>
          <w:spacing w:val="-7"/>
          <w:sz w:val="32"/>
        </w:rPr>
        <w:t>）</w:t>
      </w:r>
      <w:r>
        <w:rPr>
          <w:color w:val="auto"/>
          <w:sz w:val="32"/>
        </w:rPr>
        <w:t>税政策及管理要</w:t>
      </w:r>
      <w:r>
        <w:rPr>
          <w:color w:val="auto"/>
          <w:spacing w:val="-2"/>
          <w:sz w:val="32"/>
        </w:rPr>
        <w:t>求的更新情况、出口退</w:t>
      </w:r>
      <w:r>
        <w:rPr>
          <w:color w:val="auto"/>
          <w:sz w:val="32"/>
        </w:rPr>
        <w:t>（免</w:t>
      </w:r>
      <w:r>
        <w:rPr>
          <w:color w:val="auto"/>
          <w:spacing w:val="-3"/>
          <w:sz w:val="32"/>
        </w:rPr>
        <w:t>）</w:t>
      </w:r>
      <w:r>
        <w:rPr>
          <w:color w:val="auto"/>
          <w:spacing w:val="-1"/>
          <w:sz w:val="32"/>
        </w:rPr>
        <w:t>税业务申报办理进度，税务机</w:t>
      </w:r>
      <w:r>
        <w:rPr>
          <w:color w:val="auto"/>
          <w:spacing w:val="-2"/>
          <w:sz w:val="32"/>
        </w:rPr>
        <w:t>关为纳税人免费提供出口退</w:t>
      </w:r>
      <w:r>
        <w:rPr>
          <w:color w:val="auto"/>
          <w:sz w:val="32"/>
        </w:rPr>
        <w:t>（免</w:t>
      </w:r>
      <w:r>
        <w:rPr>
          <w:color w:val="auto"/>
          <w:spacing w:val="-5"/>
          <w:sz w:val="32"/>
        </w:rPr>
        <w:t>）</w:t>
      </w:r>
      <w:r>
        <w:rPr>
          <w:color w:val="auto"/>
          <w:spacing w:val="-1"/>
          <w:sz w:val="32"/>
        </w:rPr>
        <w:t>税政策更新、出口退税率文库升级、尚有未用于退（免）税申报的出口货物报关单、</w:t>
      </w:r>
      <w:r>
        <w:rPr>
          <w:color w:val="auto"/>
          <w:spacing w:val="-2"/>
          <w:sz w:val="32"/>
        </w:rPr>
        <w:t>已办结出口退</w:t>
      </w:r>
      <w:r>
        <w:rPr>
          <w:color w:val="auto"/>
          <w:sz w:val="32"/>
        </w:rPr>
        <w:t>（免</w:t>
      </w:r>
      <w:r>
        <w:rPr>
          <w:color w:val="auto"/>
          <w:spacing w:val="-5"/>
          <w:sz w:val="32"/>
        </w:rPr>
        <w:t>）</w:t>
      </w:r>
      <w:r>
        <w:rPr>
          <w:color w:val="auto"/>
          <w:spacing w:val="-1"/>
          <w:sz w:val="32"/>
        </w:rPr>
        <w:t>税等提醒服务。纳税人可自行选择订阅</w:t>
      </w:r>
    </w:p>
    <w:p>
      <w:pPr>
        <w:pStyle w:val="4"/>
        <w:keepNext w:val="0"/>
        <w:keepLines w:val="0"/>
        <w:pageBreakBefore w:val="0"/>
        <w:widowControl w:val="0"/>
        <w:kinsoku/>
        <w:wordWrap/>
        <w:overflowPunct/>
        <w:topLinePunct w:val="0"/>
        <w:autoSpaceDE w:val="0"/>
        <w:autoSpaceDN w:val="0"/>
        <w:bidi w:val="0"/>
        <w:adjustRightInd/>
        <w:snapToGrid/>
        <w:spacing w:before="30"/>
        <w:ind w:firstLine="0"/>
        <w:jc w:val="both"/>
        <w:textAlignment w:val="auto"/>
        <w:rPr>
          <w:color w:val="auto"/>
        </w:rPr>
      </w:pPr>
      <w:r>
        <w:rPr>
          <w:color w:val="auto"/>
        </w:rPr>
        <w:t>提醒服务内容。</w:t>
      </w:r>
    </w:p>
    <w:p>
      <w:pPr>
        <w:pStyle w:val="12"/>
        <w:keepNext w:val="0"/>
        <w:keepLines w:val="0"/>
        <w:pageBreakBefore w:val="0"/>
        <w:widowControl w:val="0"/>
        <w:numPr>
          <w:ilvl w:val="1"/>
          <w:numId w:val="46"/>
        </w:numPr>
        <w:tabs>
          <w:tab w:val="left" w:pos="1283"/>
        </w:tabs>
        <w:kinsoku/>
        <w:wordWrap/>
        <w:overflowPunct/>
        <w:topLinePunct w:val="0"/>
        <w:autoSpaceDE w:val="0"/>
        <w:autoSpaceDN w:val="0"/>
        <w:bidi w:val="0"/>
        <w:adjustRightInd/>
        <w:snapToGrid/>
        <w:spacing w:before="214" w:after="0" w:line="364" w:lineRule="auto"/>
        <w:ind w:left="320" w:right="537" w:firstLine="640"/>
        <w:jc w:val="both"/>
        <w:textAlignment w:val="auto"/>
        <w:rPr>
          <w:color w:val="auto"/>
          <w:sz w:val="32"/>
        </w:rPr>
      </w:pPr>
      <w:r>
        <w:rPr>
          <w:color w:val="auto"/>
          <w:spacing w:val="-1"/>
          <w:w w:val="95"/>
          <w:sz w:val="32"/>
        </w:rPr>
        <w:t>为便于纳税人申报办理出口退</w:t>
      </w:r>
      <w:r>
        <w:rPr>
          <w:color w:val="auto"/>
          <w:w w:val="95"/>
          <w:sz w:val="32"/>
        </w:rPr>
        <w:t>（免</w:t>
      </w:r>
      <w:r>
        <w:rPr>
          <w:color w:val="auto"/>
          <w:spacing w:val="-3"/>
          <w:w w:val="95"/>
          <w:sz w:val="32"/>
        </w:rPr>
        <w:t>）</w:t>
      </w:r>
      <w:r>
        <w:rPr>
          <w:color w:val="auto"/>
          <w:spacing w:val="-2"/>
          <w:w w:val="95"/>
          <w:sz w:val="32"/>
        </w:rPr>
        <w:t xml:space="preserve">税事项，纳税人 </w:t>
      </w:r>
      <w:r>
        <w:rPr>
          <w:color w:val="auto"/>
          <w:spacing w:val="-3"/>
          <w:w w:val="95"/>
          <w:sz w:val="32"/>
        </w:rPr>
        <w:t xml:space="preserve">可以选用电子税务局、标准版国际贸易“单一窗口”、出口 </w:t>
      </w:r>
      <w:r>
        <w:rPr>
          <w:color w:val="auto"/>
          <w:spacing w:val="-3"/>
          <w:sz w:val="32"/>
        </w:rPr>
        <w:t>退税离线申报工具三种免费申报渠道申报出口退税。</w:t>
      </w:r>
    </w:p>
    <w:p>
      <w:pPr>
        <w:pStyle w:val="12"/>
        <w:keepNext w:val="0"/>
        <w:keepLines w:val="0"/>
        <w:pageBreakBefore w:val="0"/>
        <w:widowControl w:val="0"/>
        <w:numPr>
          <w:ilvl w:val="1"/>
          <w:numId w:val="46"/>
        </w:numPr>
        <w:tabs>
          <w:tab w:val="left" w:pos="1283"/>
        </w:tabs>
        <w:kinsoku/>
        <w:wordWrap/>
        <w:overflowPunct/>
        <w:topLinePunct w:val="0"/>
        <w:autoSpaceDE w:val="0"/>
        <w:autoSpaceDN w:val="0"/>
        <w:bidi w:val="0"/>
        <w:adjustRightInd/>
        <w:snapToGrid/>
        <w:spacing w:before="2" w:after="0" w:line="364" w:lineRule="auto"/>
        <w:ind w:left="320" w:right="378" w:firstLine="640"/>
        <w:jc w:val="both"/>
        <w:textAlignment w:val="auto"/>
        <w:rPr>
          <w:color w:val="auto"/>
          <w:sz w:val="32"/>
        </w:rPr>
      </w:pPr>
      <w:r>
        <w:rPr>
          <w:color w:val="auto"/>
          <w:spacing w:val="-1"/>
          <w:sz w:val="32"/>
        </w:rPr>
        <w:t>为便于纳税人办理下列出口退</w:t>
      </w:r>
      <w:r>
        <w:rPr>
          <w:color w:val="auto"/>
          <w:sz w:val="32"/>
        </w:rPr>
        <w:t>（免</w:t>
      </w:r>
      <w:r>
        <w:rPr>
          <w:color w:val="auto"/>
          <w:spacing w:val="-3"/>
          <w:sz w:val="32"/>
        </w:rPr>
        <w:t>）</w:t>
      </w:r>
      <w:r>
        <w:rPr>
          <w:color w:val="auto"/>
          <w:spacing w:val="-2"/>
          <w:sz w:val="32"/>
        </w:rPr>
        <w:t>税事项，电子税</w:t>
      </w:r>
      <w:r>
        <w:rPr>
          <w:color w:val="auto"/>
          <w:spacing w:val="-3"/>
          <w:sz w:val="32"/>
        </w:rPr>
        <w:t>务局、标准版国际贸易“单一窗口”、出口退税离线申报工</w:t>
      </w:r>
      <w:r>
        <w:rPr>
          <w:color w:val="auto"/>
          <w:spacing w:val="-5"/>
          <w:sz w:val="32"/>
        </w:rPr>
        <w:t>具增加了便捷服务功能，纳税人可通过上述申报渠道，提出</w:t>
      </w:r>
      <w:r>
        <w:rPr>
          <w:color w:val="auto"/>
          <w:spacing w:val="5"/>
          <w:sz w:val="32"/>
        </w:rPr>
        <w:t>相关申请。</w:t>
      </w:r>
      <w:r>
        <w:rPr>
          <w:color w:val="auto"/>
          <w:spacing w:val="6"/>
          <w:sz w:val="32"/>
        </w:rPr>
        <w:t>（1）</w:t>
      </w:r>
      <w:r>
        <w:rPr>
          <w:color w:val="auto"/>
          <w:spacing w:val="5"/>
          <w:sz w:val="32"/>
        </w:rPr>
        <w:t>出口退</w:t>
      </w:r>
      <w:r>
        <w:rPr>
          <w:color w:val="auto"/>
          <w:spacing w:val="7"/>
          <w:sz w:val="32"/>
        </w:rPr>
        <w:t>（</w:t>
      </w:r>
      <w:r>
        <w:rPr>
          <w:color w:val="auto"/>
          <w:spacing w:val="5"/>
          <w:sz w:val="32"/>
        </w:rPr>
        <w:t>免</w:t>
      </w:r>
      <w:r>
        <w:rPr>
          <w:color w:val="auto"/>
          <w:spacing w:val="7"/>
          <w:sz w:val="32"/>
        </w:rPr>
        <w:t>）</w:t>
      </w:r>
      <w:r>
        <w:rPr>
          <w:color w:val="auto"/>
          <w:spacing w:val="6"/>
          <w:sz w:val="32"/>
        </w:rPr>
        <w:t>税备案撤回;（2）</w:t>
      </w:r>
      <w:r>
        <w:rPr>
          <w:color w:val="auto"/>
          <w:spacing w:val="4"/>
          <w:sz w:val="32"/>
        </w:rPr>
        <w:t>已办结退</w:t>
      </w:r>
      <w:r>
        <w:rPr>
          <w:color w:val="auto"/>
          <w:sz w:val="32"/>
        </w:rPr>
        <w:t>税的出口货物免退税申报，发现申报数据有误而作申报调整;</w:t>
      </w:r>
    </w:p>
    <w:p>
      <w:pPr>
        <w:pStyle w:val="12"/>
        <w:keepNext w:val="0"/>
        <w:keepLines w:val="0"/>
        <w:pageBreakBefore w:val="0"/>
        <w:widowControl w:val="0"/>
        <w:numPr>
          <w:ilvl w:val="0"/>
          <w:numId w:val="47"/>
        </w:numPr>
        <w:tabs>
          <w:tab w:val="left" w:pos="1139"/>
        </w:tabs>
        <w:kinsoku/>
        <w:wordWrap/>
        <w:overflowPunct/>
        <w:topLinePunct w:val="0"/>
        <w:autoSpaceDE w:val="0"/>
        <w:autoSpaceDN w:val="0"/>
        <w:bidi w:val="0"/>
        <w:adjustRightInd/>
        <w:snapToGrid/>
        <w:spacing w:before="4" w:after="0" w:line="364" w:lineRule="auto"/>
        <w:ind w:left="320" w:right="537" w:firstLine="0"/>
        <w:jc w:val="both"/>
        <w:textAlignment w:val="auto"/>
        <w:rPr>
          <w:color w:val="auto"/>
          <w:sz w:val="32"/>
        </w:rPr>
      </w:pPr>
      <w:r>
        <w:rPr>
          <w:color w:val="auto"/>
          <w:spacing w:val="4"/>
          <w:w w:val="95"/>
          <w:sz w:val="32"/>
        </w:rPr>
        <w:t>将申请出口退税的增值税专用发票、海关进口增值税 专用缴款书用途改为申报抵扣;（4）</w:t>
      </w:r>
      <w:r>
        <w:rPr>
          <w:color w:val="auto"/>
          <w:spacing w:val="1"/>
          <w:w w:val="95"/>
          <w:sz w:val="32"/>
        </w:rPr>
        <w:t>出口退</w:t>
      </w:r>
      <w:r>
        <w:rPr>
          <w:color w:val="auto"/>
          <w:w w:val="95"/>
          <w:sz w:val="32"/>
        </w:rPr>
        <w:t>（免</w:t>
      </w:r>
      <w:r>
        <w:rPr>
          <w:color w:val="auto"/>
          <w:spacing w:val="-3"/>
          <w:w w:val="95"/>
          <w:sz w:val="32"/>
        </w:rPr>
        <w:t>）</w:t>
      </w:r>
      <w:r>
        <w:rPr>
          <w:color w:val="auto"/>
          <w:w w:val="95"/>
          <w:sz w:val="32"/>
        </w:rPr>
        <w:t xml:space="preserve">税相关证 </w:t>
      </w:r>
      <w:r>
        <w:rPr>
          <w:color w:val="auto"/>
          <w:sz w:val="32"/>
        </w:rPr>
        <w:t>明作废;（5）进料加工计划分配率调整。</w:t>
      </w:r>
    </w:p>
    <w:p>
      <w:pPr>
        <w:keepNext w:val="0"/>
        <w:keepLines w:val="0"/>
        <w:pageBreakBefore w:val="0"/>
        <w:widowControl w:val="0"/>
        <w:kinsoku/>
        <w:wordWrap/>
        <w:overflowPunct/>
        <w:topLinePunct w:val="0"/>
        <w:autoSpaceDE w:val="0"/>
        <w:autoSpaceDN w:val="0"/>
        <w:bidi w:val="0"/>
        <w:adjustRightInd/>
        <w:snapToGrid/>
        <w:spacing w:before="3"/>
        <w:ind w:left="320" w:right="0" w:firstLine="0"/>
        <w:jc w:val="both"/>
        <w:textAlignment w:val="auto"/>
        <w:rPr>
          <w:rFonts w:hint="eastAsia" w:ascii="宋体" w:eastAsia="宋体"/>
          <w:b/>
          <w:color w:val="auto"/>
          <w:sz w:val="32"/>
        </w:rPr>
      </w:pPr>
      <w:r>
        <w:rPr>
          <w:rFonts w:hint="eastAsia" w:ascii="宋体" w:eastAsia="宋体"/>
          <w:b/>
          <w:color w:val="auto"/>
          <w:sz w:val="32"/>
        </w:rPr>
        <w:t>【政策依据】</w:t>
      </w:r>
    </w:p>
    <w:p>
      <w:pPr>
        <w:pStyle w:val="12"/>
        <w:keepNext w:val="0"/>
        <w:keepLines w:val="0"/>
        <w:pageBreakBefore w:val="0"/>
        <w:widowControl w:val="0"/>
        <w:numPr>
          <w:ilvl w:val="1"/>
          <w:numId w:val="47"/>
        </w:numPr>
        <w:tabs>
          <w:tab w:val="left" w:pos="1283"/>
        </w:tabs>
        <w:kinsoku/>
        <w:wordWrap/>
        <w:overflowPunct/>
        <w:topLinePunct w:val="0"/>
        <w:autoSpaceDE w:val="0"/>
        <w:autoSpaceDN w:val="0"/>
        <w:bidi w:val="0"/>
        <w:adjustRightInd/>
        <w:snapToGrid/>
        <w:spacing w:before="235" w:after="0" w:line="326" w:lineRule="auto"/>
        <w:ind w:left="320" w:right="379" w:firstLine="640"/>
        <w:jc w:val="both"/>
        <w:textAlignment w:val="auto"/>
        <w:rPr>
          <w:rFonts w:hint="eastAsia" w:ascii="黑体" w:eastAsia="黑体"/>
          <w:color w:val="auto"/>
          <w:sz w:val="32"/>
        </w:rPr>
      </w:pPr>
      <w:r>
        <w:rPr>
          <w:rFonts w:hint="eastAsia" w:ascii="黑体" w:eastAsia="黑体"/>
          <w:color w:val="auto"/>
          <w:sz w:val="32"/>
        </w:rPr>
        <w:t>《税务总局等十部门关于进一步加大出口退税支持力</w:t>
      </w:r>
      <w:r>
        <w:rPr>
          <w:rFonts w:hint="eastAsia" w:ascii="黑体" w:eastAsia="黑体"/>
          <w:color w:val="auto"/>
          <w:spacing w:val="-7"/>
          <w:sz w:val="32"/>
        </w:rPr>
        <w:t>度 促进外贸平稳发展的通知》</w:t>
      </w:r>
      <w:r>
        <w:rPr>
          <w:rFonts w:hint="eastAsia" w:ascii="黑体" w:eastAsia="黑体"/>
          <w:color w:val="auto"/>
          <w:sz w:val="32"/>
        </w:rPr>
        <w:t>（</w:t>
      </w:r>
      <w:r>
        <w:rPr>
          <w:rFonts w:hint="eastAsia" w:ascii="黑体" w:eastAsia="黑体"/>
          <w:color w:val="auto"/>
          <w:spacing w:val="-5"/>
          <w:sz w:val="32"/>
        </w:rPr>
        <w:t>税总货劳发〔</w:t>
      </w:r>
      <w:r>
        <w:rPr>
          <w:rFonts w:hint="eastAsia" w:ascii="黑体" w:eastAsia="黑体"/>
          <w:color w:val="auto"/>
          <w:sz w:val="32"/>
        </w:rPr>
        <w:t>2022</w:t>
      </w:r>
      <w:r>
        <w:rPr>
          <w:rFonts w:hint="eastAsia" w:ascii="黑体" w:eastAsia="黑体"/>
          <w:color w:val="auto"/>
          <w:spacing w:val="-22"/>
          <w:sz w:val="32"/>
        </w:rPr>
        <w:t>〕</w:t>
      </w:r>
      <w:r>
        <w:rPr>
          <w:rFonts w:hint="eastAsia" w:ascii="黑体" w:eastAsia="黑体"/>
          <w:color w:val="auto"/>
          <w:sz w:val="32"/>
        </w:rPr>
        <w:t>36</w:t>
      </w:r>
      <w:r>
        <w:rPr>
          <w:rFonts w:hint="eastAsia" w:ascii="黑体" w:eastAsia="黑体"/>
          <w:color w:val="auto"/>
          <w:spacing w:val="-42"/>
          <w:sz w:val="32"/>
        </w:rPr>
        <w:t xml:space="preserve"> 号</w:t>
      </w:r>
      <w:r>
        <w:rPr>
          <w:rFonts w:hint="eastAsia" w:ascii="黑体" w:eastAsia="黑体"/>
          <w:color w:val="auto"/>
          <w:sz w:val="32"/>
        </w:rPr>
        <w:t>）</w:t>
      </w:r>
    </w:p>
    <w:p>
      <w:pPr>
        <w:pStyle w:val="12"/>
        <w:keepNext w:val="0"/>
        <w:keepLines w:val="0"/>
        <w:pageBreakBefore w:val="0"/>
        <w:widowControl w:val="0"/>
        <w:numPr>
          <w:ilvl w:val="1"/>
          <w:numId w:val="47"/>
        </w:numPr>
        <w:tabs>
          <w:tab w:val="left" w:pos="1285"/>
        </w:tabs>
        <w:kinsoku/>
        <w:wordWrap/>
        <w:overflowPunct/>
        <w:topLinePunct w:val="0"/>
        <w:autoSpaceDE w:val="0"/>
        <w:autoSpaceDN w:val="0"/>
        <w:bidi w:val="0"/>
        <w:adjustRightInd/>
        <w:snapToGrid/>
        <w:spacing w:before="3" w:after="0" w:line="328" w:lineRule="auto"/>
        <w:ind w:left="320" w:right="540" w:firstLine="640"/>
        <w:jc w:val="both"/>
        <w:textAlignment w:val="auto"/>
        <w:rPr>
          <w:rFonts w:hint="eastAsia" w:ascii="黑体" w:eastAsia="黑体"/>
          <w:color w:val="auto"/>
          <w:sz w:val="32"/>
        </w:rPr>
      </w:pPr>
      <w:r>
        <w:rPr>
          <w:rFonts w:hint="eastAsia" w:ascii="黑体" w:eastAsia="黑体"/>
          <w:color w:val="auto"/>
          <w:spacing w:val="4"/>
          <w:sz w:val="32"/>
        </w:rPr>
        <w:t>《国家税务总局关于进一步便利出口退税办理 促进外贸平稳发展有关事项的公告》（2022</w:t>
      </w:r>
      <w:r>
        <w:rPr>
          <w:rFonts w:hint="eastAsia" w:ascii="黑体" w:eastAsia="黑体"/>
          <w:color w:val="auto"/>
          <w:spacing w:val="-41"/>
          <w:sz w:val="32"/>
        </w:rPr>
        <w:t xml:space="preserve"> 年第 </w:t>
      </w:r>
      <w:r>
        <w:rPr>
          <w:rFonts w:hint="eastAsia" w:ascii="黑体" w:eastAsia="黑体"/>
          <w:color w:val="auto"/>
          <w:sz w:val="32"/>
        </w:rPr>
        <w:t>9</w:t>
      </w:r>
      <w:r>
        <w:rPr>
          <w:rFonts w:hint="eastAsia" w:ascii="黑体" w:eastAsia="黑体"/>
          <w:color w:val="auto"/>
          <w:spacing w:val="-40"/>
          <w:sz w:val="32"/>
        </w:rPr>
        <w:t xml:space="preserve"> 号</w:t>
      </w:r>
      <w:r>
        <w:rPr>
          <w:rFonts w:hint="eastAsia" w:ascii="黑体" w:eastAsia="黑体"/>
          <w:color w:val="auto"/>
          <w:sz w:val="32"/>
        </w:rPr>
        <w:t>）</w:t>
      </w:r>
    </w:p>
    <w:p>
      <w:pPr>
        <w:pStyle w:val="12"/>
        <w:keepNext w:val="0"/>
        <w:keepLines w:val="0"/>
        <w:pageBreakBefore w:val="0"/>
        <w:widowControl w:val="0"/>
        <w:numPr>
          <w:ilvl w:val="1"/>
          <w:numId w:val="47"/>
        </w:numPr>
        <w:tabs>
          <w:tab w:val="left" w:pos="1285"/>
        </w:tabs>
        <w:kinsoku/>
        <w:wordWrap/>
        <w:overflowPunct/>
        <w:topLinePunct w:val="0"/>
        <w:autoSpaceDE w:val="0"/>
        <w:autoSpaceDN w:val="0"/>
        <w:bidi w:val="0"/>
        <w:adjustRightInd/>
        <w:snapToGrid/>
        <w:spacing w:before="0" w:after="0" w:line="326" w:lineRule="auto"/>
        <w:ind w:left="320" w:right="540" w:firstLine="640"/>
        <w:jc w:val="both"/>
        <w:textAlignment w:val="auto"/>
        <w:rPr>
          <w:rFonts w:hint="eastAsia" w:ascii="黑体" w:eastAsia="黑体"/>
          <w:color w:val="auto"/>
          <w:sz w:val="32"/>
        </w:rPr>
      </w:pPr>
      <w:r>
        <w:rPr>
          <w:rFonts w:hint="eastAsia" w:ascii="黑体" w:eastAsia="黑体"/>
          <w:color w:val="auto"/>
          <w:spacing w:val="4"/>
          <w:sz w:val="32"/>
        </w:rPr>
        <w:t>《国家税务总局关于优化整合出口退税信息系统 更好服务纳税人有关事项的公告》（2021</w:t>
      </w:r>
      <w:r>
        <w:rPr>
          <w:rFonts w:hint="eastAsia" w:ascii="黑体" w:eastAsia="黑体"/>
          <w:color w:val="auto"/>
          <w:spacing w:val="-41"/>
          <w:sz w:val="32"/>
        </w:rPr>
        <w:t xml:space="preserve"> 年第 </w:t>
      </w:r>
      <w:r>
        <w:rPr>
          <w:rFonts w:hint="eastAsia" w:ascii="黑体" w:eastAsia="黑体"/>
          <w:color w:val="auto"/>
          <w:sz w:val="32"/>
        </w:rPr>
        <w:t>15</w:t>
      </w:r>
      <w:r>
        <w:rPr>
          <w:rFonts w:hint="eastAsia" w:ascii="黑体" w:eastAsia="黑体"/>
          <w:color w:val="auto"/>
          <w:spacing w:val="-41"/>
          <w:sz w:val="32"/>
        </w:rPr>
        <w:t xml:space="preserve"> 号</w:t>
      </w:r>
      <w:r>
        <w:rPr>
          <w:rFonts w:hint="eastAsia" w:ascii="黑体" w:eastAsia="黑体"/>
          <w:color w:val="auto"/>
          <w:sz w:val="32"/>
        </w:rPr>
        <w:t>）</w:t>
      </w:r>
    </w:p>
    <w:p>
      <w:pPr>
        <w:pStyle w:val="4"/>
        <w:keepNext w:val="0"/>
        <w:keepLines w:val="0"/>
        <w:pageBreakBefore w:val="0"/>
        <w:widowControl w:val="0"/>
        <w:kinsoku/>
        <w:wordWrap/>
        <w:overflowPunct/>
        <w:topLinePunct w:val="0"/>
        <w:autoSpaceDE w:val="0"/>
        <w:autoSpaceDN w:val="0"/>
        <w:bidi w:val="0"/>
        <w:adjustRightInd/>
        <w:snapToGrid/>
        <w:spacing w:before="3"/>
        <w:ind w:left="0" w:firstLine="0"/>
        <w:jc w:val="both"/>
        <w:textAlignment w:val="auto"/>
        <w:rPr>
          <w:rFonts w:ascii="黑体"/>
          <w:color w:val="auto"/>
          <w:sz w:val="40"/>
        </w:rPr>
      </w:pPr>
    </w:p>
    <w:p>
      <w:pPr>
        <w:pStyle w:val="2"/>
        <w:keepNext w:val="0"/>
        <w:keepLines w:val="0"/>
        <w:pageBreakBefore w:val="0"/>
        <w:widowControl w:val="0"/>
        <w:kinsoku/>
        <w:wordWrap/>
        <w:overflowPunct/>
        <w:topLinePunct w:val="0"/>
        <w:autoSpaceDE w:val="0"/>
        <w:autoSpaceDN w:val="0"/>
        <w:bidi w:val="0"/>
        <w:adjustRightInd/>
        <w:snapToGrid/>
        <w:spacing w:before="0"/>
        <w:ind w:left="320"/>
        <w:jc w:val="both"/>
        <w:textAlignment w:val="auto"/>
        <w:rPr>
          <w:color w:val="auto"/>
        </w:rPr>
      </w:pPr>
      <w:bookmarkStart w:id="23" w:name="_TOC_250026"/>
      <w:bookmarkEnd w:id="23"/>
      <w:r>
        <w:rPr>
          <w:color w:val="auto"/>
        </w:rPr>
        <w:t>二、稳外资税收政策</w:t>
      </w:r>
    </w:p>
    <w:p>
      <w:pPr>
        <w:keepNext w:val="0"/>
        <w:keepLines w:val="0"/>
        <w:pageBreakBefore w:val="0"/>
        <w:widowControl w:val="0"/>
        <w:kinsoku/>
        <w:wordWrap/>
        <w:overflowPunct/>
        <w:topLinePunct w:val="0"/>
        <w:autoSpaceDE w:val="0"/>
        <w:autoSpaceDN w:val="0"/>
        <w:bidi w:val="0"/>
        <w:adjustRightInd/>
        <w:snapToGrid/>
        <w:spacing w:before="163"/>
        <w:ind w:left="320" w:right="0" w:firstLine="0"/>
        <w:jc w:val="both"/>
        <w:textAlignment w:val="auto"/>
        <w:rPr>
          <w:rFonts w:hint="eastAsia" w:ascii="楷体_GB2312" w:eastAsia="楷体_GB2312"/>
          <w:b/>
          <w:color w:val="auto"/>
          <w:sz w:val="36"/>
        </w:rPr>
      </w:pPr>
      <w:bookmarkStart w:id="24" w:name="_TOC_250025"/>
      <w:bookmarkEnd w:id="24"/>
      <w:r>
        <w:rPr>
          <w:rFonts w:hint="eastAsia" w:ascii="楷体_GB2312" w:eastAsia="楷体_GB2312"/>
          <w:b/>
          <w:color w:val="auto"/>
          <w:sz w:val="36"/>
        </w:rPr>
        <w:t>（一）鼓励外商投资税收政策</w:t>
      </w:r>
    </w:p>
    <w:p>
      <w:pPr>
        <w:pStyle w:val="12"/>
        <w:keepNext w:val="0"/>
        <w:keepLines w:val="0"/>
        <w:pageBreakBefore w:val="0"/>
        <w:widowControl w:val="0"/>
        <w:numPr>
          <w:ilvl w:val="0"/>
          <w:numId w:val="48"/>
        </w:numPr>
        <w:tabs>
          <w:tab w:val="left" w:pos="805"/>
        </w:tabs>
        <w:kinsoku/>
        <w:wordWrap/>
        <w:overflowPunct/>
        <w:topLinePunct w:val="0"/>
        <w:autoSpaceDE w:val="0"/>
        <w:autoSpaceDN w:val="0"/>
        <w:bidi w:val="0"/>
        <w:adjustRightInd/>
        <w:snapToGrid/>
        <w:spacing w:before="188" w:after="0" w:line="240" w:lineRule="auto"/>
        <w:ind w:left="804" w:right="0" w:hanging="485"/>
        <w:jc w:val="both"/>
        <w:textAlignment w:val="auto"/>
        <w:rPr>
          <w:rFonts w:hint="eastAsia" w:ascii="宋体" w:eastAsia="宋体"/>
          <w:b/>
          <w:color w:val="auto"/>
          <w:sz w:val="32"/>
        </w:rPr>
      </w:pPr>
      <w:bookmarkStart w:id="25" w:name="_TOC_250024"/>
      <w:bookmarkEnd w:id="25"/>
      <w:r>
        <w:rPr>
          <w:rFonts w:hint="eastAsia" w:ascii="宋体" w:eastAsia="宋体"/>
          <w:b/>
          <w:color w:val="auto"/>
          <w:sz w:val="32"/>
        </w:rPr>
        <w:t>境外投资者以分配利润直接投资暂不征收预提所得税</w:t>
      </w:r>
    </w:p>
    <w:p>
      <w:pPr>
        <w:keepNext w:val="0"/>
        <w:keepLines w:val="0"/>
        <w:pageBreakBefore w:val="0"/>
        <w:widowControl w:val="0"/>
        <w:kinsoku/>
        <w:wordWrap/>
        <w:overflowPunct/>
        <w:topLinePunct w:val="0"/>
        <w:autoSpaceDE w:val="0"/>
        <w:autoSpaceDN w:val="0"/>
        <w:bidi w:val="0"/>
        <w:adjustRightInd/>
        <w:snapToGrid/>
        <w:spacing w:before="30"/>
        <w:ind w:left="320" w:right="0" w:firstLine="0"/>
        <w:jc w:val="both"/>
        <w:textAlignment w:val="auto"/>
        <w:rPr>
          <w:rFonts w:hint="eastAsia" w:ascii="宋体" w:eastAsia="宋体"/>
          <w:b/>
          <w:color w:val="auto"/>
          <w:sz w:val="32"/>
        </w:rPr>
      </w:pPr>
      <w:r>
        <w:rPr>
          <w:rFonts w:hint="eastAsia" w:ascii="宋体" w:eastAsia="宋体"/>
          <w:b/>
          <w:color w:val="auto"/>
          <w:sz w:val="32"/>
        </w:rPr>
        <w:t>【适用主体】</w:t>
      </w:r>
    </w:p>
    <w:p>
      <w:pPr>
        <w:pStyle w:val="4"/>
        <w:keepNext w:val="0"/>
        <w:keepLines w:val="0"/>
        <w:pageBreakBefore w:val="0"/>
        <w:widowControl w:val="0"/>
        <w:kinsoku/>
        <w:wordWrap/>
        <w:overflowPunct/>
        <w:topLinePunct w:val="0"/>
        <w:autoSpaceDE w:val="0"/>
        <w:autoSpaceDN w:val="0"/>
        <w:bidi w:val="0"/>
        <w:adjustRightInd/>
        <w:snapToGrid/>
        <w:ind w:left="960" w:firstLine="0"/>
        <w:jc w:val="both"/>
        <w:textAlignment w:val="auto"/>
        <w:rPr>
          <w:color w:val="auto"/>
        </w:rPr>
      </w:pPr>
      <w:r>
        <w:rPr>
          <w:color w:val="auto"/>
        </w:rPr>
        <w:t>符合条件的境外投资者</w:t>
      </w:r>
    </w:p>
    <w:p>
      <w:pPr>
        <w:keepNext w:val="0"/>
        <w:keepLines w:val="0"/>
        <w:pageBreakBefore w:val="0"/>
        <w:widowControl w:val="0"/>
        <w:kinsoku/>
        <w:wordWrap/>
        <w:overflowPunct/>
        <w:topLinePunct w:val="0"/>
        <w:autoSpaceDE w:val="0"/>
        <w:autoSpaceDN w:val="0"/>
        <w:bidi w:val="0"/>
        <w:adjustRightInd/>
        <w:snapToGrid/>
        <w:spacing w:before="214"/>
        <w:ind w:left="320" w:right="0" w:firstLine="0"/>
        <w:jc w:val="both"/>
        <w:textAlignment w:val="auto"/>
        <w:rPr>
          <w:rFonts w:hint="eastAsia" w:ascii="宋体" w:eastAsia="宋体"/>
          <w:b/>
          <w:color w:val="auto"/>
          <w:sz w:val="32"/>
        </w:rPr>
      </w:pPr>
      <w:r>
        <w:rPr>
          <w:rFonts w:hint="eastAsia" w:ascii="宋体" w:eastAsia="宋体"/>
          <w:b/>
          <w:color w:val="auto"/>
          <w:w w:val="95"/>
          <w:sz w:val="32"/>
        </w:rPr>
        <w:t>【政策内容】</w:t>
      </w:r>
    </w:p>
    <w:p>
      <w:pPr>
        <w:pStyle w:val="4"/>
        <w:keepNext w:val="0"/>
        <w:keepLines w:val="0"/>
        <w:pageBreakBefore w:val="0"/>
        <w:widowControl w:val="0"/>
        <w:kinsoku/>
        <w:wordWrap/>
        <w:overflowPunct/>
        <w:topLinePunct w:val="0"/>
        <w:autoSpaceDE w:val="0"/>
        <w:autoSpaceDN w:val="0"/>
        <w:bidi w:val="0"/>
        <w:adjustRightInd/>
        <w:snapToGrid/>
        <w:spacing w:line="364" w:lineRule="auto"/>
        <w:ind w:right="540"/>
        <w:jc w:val="both"/>
        <w:textAlignment w:val="auto"/>
        <w:rPr>
          <w:color w:val="auto"/>
        </w:rPr>
      </w:pPr>
      <w:r>
        <w:rPr>
          <w:color w:val="auto"/>
          <w:spacing w:val="-39"/>
        </w:rPr>
        <w:t xml:space="preserve">自 </w:t>
      </w:r>
      <w:r>
        <w:rPr>
          <w:color w:val="auto"/>
        </w:rPr>
        <w:t>2018</w:t>
      </w:r>
      <w:r>
        <w:rPr>
          <w:color w:val="auto"/>
          <w:spacing w:val="-52"/>
        </w:rPr>
        <w:t xml:space="preserve"> 年 </w:t>
      </w:r>
      <w:r>
        <w:rPr>
          <w:color w:val="auto"/>
        </w:rPr>
        <w:t>1</w:t>
      </w:r>
      <w:r>
        <w:rPr>
          <w:color w:val="auto"/>
          <w:spacing w:val="-51"/>
        </w:rPr>
        <w:t xml:space="preserve"> 月 </w:t>
      </w:r>
      <w:r>
        <w:rPr>
          <w:color w:val="auto"/>
        </w:rPr>
        <w:t>1</w:t>
      </w:r>
      <w:r>
        <w:rPr>
          <w:color w:val="auto"/>
          <w:spacing w:val="-2"/>
        </w:rPr>
        <w:t xml:space="preserve"> 日起，境外投资者从中国境内居民企</w:t>
      </w:r>
      <w:r>
        <w:rPr>
          <w:color w:val="auto"/>
          <w:spacing w:val="-3"/>
        </w:rPr>
        <w:t>业分配的利润用于境内直接投资，符合规定条件的暂不征收预提所得税。</w:t>
      </w:r>
    </w:p>
    <w:p>
      <w:pPr>
        <w:keepNext w:val="0"/>
        <w:keepLines w:val="0"/>
        <w:pageBreakBefore w:val="0"/>
        <w:widowControl w:val="0"/>
        <w:kinsoku/>
        <w:wordWrap/>
        <w:overflowPunct/>
        <w:topLinePunct w:val="0"/>
        <w:autoSpaceDE w:val="0"/>
        <w:autoSpaceDN w:val="0"/>
        <w:bidi w:val="0"/>
        <w:adjustRightInd/>
        <w:snapToGrid/>
        <w:spacing w:before="2"/>
        <w:ind w:left="320" w:right="0" w:firstLine="0"/>
        <w:jc w:val="both"/>
        <w:textAlignment w:val="auto"/>
        <w:rPr>
          <w:rFonts w:hint="eastAsia" w:ascii="宋体" w:eastAsia="宋体"/>
          <w:b/>
          <w:color w:val="auto"/>
          <w:sz w:val="32"/>
        </w:rPr>
      </w:pPr>
      <w:r>
        <w:rPr>
          <w:rFonts w:hint="eastAsia" w:ascii="宋体" w:eastAsia="宋体"/>
          <w:b/>
          <w:color w:val="auto"/>
          <w:w w:val="95"/>
          <w:sz w:val="32"/>
        </w:rPr>
        <w:t>【适用条件】</w:t>
      </w:r>
    </w:p>
    <w:p>
      <w:pPr>
        <w:pStyle w:val="12"/>
        <w:keepNext w:val="0"/>
        <w:keepLines w:val="0"/>
        <w:pageBreakBefore w:val="0"/>
        <w:widowControl w:val="0"/>
        <w:numPr>
          <w:ilvl w:val="1"/>
          <w:numId w:val="48"/>
        </w:numPr>
        <w:tabs>
          <w:tab w:val="left" w:pos="1292"/>
        </w:tabs>
        <w:kinsoku/>
        <w:wordWrap/>
        <w:overflowPunct/>
        <w:topLinePunct w:val="0"/>
        <w:autoSpaceDE w:val="0"/>
        <w:autoSpaceDN w:val="0"/>
        <w:bidi w:val="0"/>
        <w:adjustRightInd/>
        <w:snapToGrid/>
        <w:spacing w:before="214" w:after="0" w:line="240" w:lineRule="auto"/>
        <w:ind w:left="1292" w:right="0" w:hanging="332"/>
        <w:jc w:val="both"/>
        <w:textAlignment w:val="auto"/>
        <w:rPr>
          <w:color w:val="auto"/>
          <w:sz w:val="30"/>
        </w:rPr>
      </w:pPr>
      <w:r>
        <w:rPr>
          <w:color w:val="auto"/>
          <w:spacing w:val="13"/>
          <w:sz w:val="32"/>
        </w:rPr>
        <w:t>境内直接投资的范围是非禁止外商投资的项目和领</w:t>
      </w:r>
    </w:p>
    <w:p>
      <w:pPr>
        <w:pStyle w:val="4"/>
        <w:keepNext w:val="0"/>
        <w:keepLines w:val="0"/>
        <w:pageBreakBefore w:val="0"/>
        <w:widowControl w:val="0"/>
        <w:kinsoku/>
        <w:wordWrap/>
        <w:overflowPunct/>
        <w:topLinePunct w:val="0"/>
        <w:autoSpaceDE w:val="0"/>
        <w:autoSpaceDN w:val="0"/>
        <w:bidi w:val="0"/>
        <w:adjustRightInd/>
        <w:snapToGrid/>
        <w:spacing w:before="6"/>
        <w:ind w:left="0" w:firstLine="0"/>
        <w:jc w:val="both"/>
        <w:textAlignment w:val="auto"/>
        <w:rPr>
          <w:color w:val="auto"/>
          <w:sz w:val="12"/>
        </w:rPr>
      </w:pPr>
    </w:p>
    <w:p>
      <w:pPr>
        <w:pStyle w:val="4"/>
        <w:keepNext w:val="0"/>
        <w:keepLines w:val="0"/>
        <w:pageBreakBefore w:val="0"/>
        <w:widowControl w:val="0"/>
        <w:kinsoku/>
        <w:wordWrap/>
        <w:overflowPunct/>
        <w:topLinePunct w:val="0"/>
        <w:autoSpaceDE w:val="0"/>
        <w:autoSpaceDN w:val="0"/>
        <w:bidi w:val="0"/>
        <w:adjustRightInd/>
        <w:snapToGrid/>
        <w:spacing w:before="55"/>
        <w:ind w:firstLine="0"/>
        <w:jc w:val="both"/>
        <w:textAlignment w:val="auto"/>
        <w:rPr>
          <w:color w:val="auto"/>
        </w:rPr>
      </w:pPr>
      <w:r>
        <w:rPr>
          <w:color w:val="auto"/>
        </w:rPr>
        <w:t>域。</w:t>
      </w:r>
    </w:p>
    <w:p>
      <w:pPr>
        <w:pStyle w:val="12"/>
        <w:keepNext w:val="0"/>
        <w:keepLines w:val="0"/>
        <w:pageBreakBefore w:val="0"/>
        <w:widowControl w:val="0"/>
        <w:numPr>
          <w:ilvl w:val="1"/>
          <w:numId w:val="48"/>
        </w:numPr>
        <w:tabs>
          <w:tab w:val="left" w:pos="1283"/>
        </w:tabs>
        <w:kinsoku/>
        <w:wordWrap/>
        <w:overflowPunct/>
        <w:topLinePunct w:val="0"/>
        <w:autoSpaceDE w:val="0"/>
        <w:autoSpaceDN w:val="0"/>
        <w:bidi w:val="0"/>
        <w:adjustRightInd/>
        <w:snapToGrid/>
        <w:spacing w:before="214" w:after="0" w:line="240" w:lineRule="auto"/>
        <w:ind w:left="1282" w:right="0" w:hanging="323"/>
        <w:jc w:val="both"/>
        <w:textAlignment w:val="auto"/>
        <w:rPr>
          <w:color w:val="auto"/>
          <w:sz w:val="30"/>
        </w:rPr>
      </w:pPr>
      <w:r>
        <w:rPr>
          <w:color w:val="auto"/>
          <w:spacing w:val="-1"/>
          <w:sz w:val="32"/>
        </w:rPr>
        <w:t>境外投资者以分得利润进行的直接投资，包括境外投</w:t>
      </w:r>
    </w:p>
    <w:p>
      <w:pPr>
        <w:pStyle w:val="4"/>
        <w:keepNext w:val="0"/>
        <w:keepLines w:val="0"/>
        <w:pageBreakBefore w:val="0"/>
        <w:widowControl w:val="0"/>
        <w:kinsoku/>
        <w:wordWrap/>
        <w:overflowPunct/>
        <w:topLinePunct w:val="0"/>
        <w:autoSpaceDE w:val="0"/>
        <w:autoSpaceDN w:val="0"/>
        <w:bidi w:val="0"/>
        <w:adjustRightInd/>
        <w:snapToGrid/>
        <w:spacing w:before="5"/>
        <w:ind w:left="0" w:firstLine="0"/>
        <w:jc w:val="both"/>
        <w:textAlignment w:val="auto"/>
        <w:rPr>
          <w:color w:val="auto"/>
          <w:sz w:val="12"/>
        </w:rPr>
      </w:pPr>
    </w:p>
    <w:p>
      <w:pPr>
        <w:pStyle w:val="4"/>
        <w:keepNext w:val="0"/>
        <w:keepLines w:val="0"/>
        <w:pageBreakBefore w:val="0"/>
        <w:widowControl w:val="0"/>
        <w:kinsoku/>
        <w:wordWrap/>
        <w:overflowPunct/>
        <w:topLinePunct w:val="0"/>
        <w:autoSpaceDE w:val="0"/>
        <w:autoSpaceDN w:val="0"/>
        <w:bidi w:val="0"/>
        <w:adjustRightInd/>
        <w:snapToGrid/>
        <w:spacing w:before="55" w:line="364" w:lineRule="auto"/>
        <w:ind w:right="537" w:firstLine="0"/>
        <w:jc w:val="both"/>
        <w:textAlignment w:val="auto"/>
        <w:rPr>
          <w:color w:val="auto"/>
        </w:rPr>
      </w:pPr>
      <w:r>
        <w:rPr>
          <w:color w:val="auto"/>
          <w:spacing w:val="-2"/>
        </w:rPr>
        <w:t>资者以分得利润进行的增资、新建、股权收购等权益性投资</w:t>
      </w:r>
      <w:r>
        <w:rPr>
          <w:color w:val="auto"/>
          <w:spacing w:val="-4"/>
        </w:rPr>
        <w:t>行为，但不包括新增、转增、收购上市公司股份</w:t>
      </w:r>
      <w:r>
        <w:rPr>
          <w:color w:val="auto"/>
        </w:rPr>
        <w:t>（符合条件的战略投资除外）。具体是指：</w:t>
      </w:r>
    </w:p>
    <w:p>
      <w:pPr>
        <w:pStyle w:val="12"/>
        <w:keepNext w:val="0"/>
        <w:keepLines w:val="0"/>
        <w:pageBreakBefore w:val="0"/>
        <w:widowControl w:val="0"/>
        <w:numPr>
          <w:ilvl w:val="0"/>
          <w:numId w:val="49"/>
        </w:numPr>
        <w:tabs>
          <w:tab w:val="left" w:pos="1780"/>
        </w:tabs>
        <w:kinsoku/>
        <w:wordWrap/>
        <w:overflowPunct/>
        <w:topLinePunct w:val="0"/>
        <w:autoSpaceDE w:val="0"/>
        <w:autoSpaceDN w:val="0"/>
        <w:bidi w:val="0"/>
        <w:adjustRightInd/>
        <w:snapToGrid/>
        <w:spacing w:before="2" w:after="0" w:line="364" w:lineRule="auto"/>
        <w:ind w:left="320" w:right="525" w:firstLine="640"/>
        <w:jc w:val="both"/>
        <w:textAlignment w:val="auto"/>
        <w:rPr>
          <w:color w:val="auto"/>
          <w:sz w:val="32"/>
        </w:rPr>
      </w:pPr>
      <w:r>
        <w:rPr>
          <w:color w:val="auto"/>
          <w:spacing w:val="6"/>
          <w:w w:val="95"/>
          <w:sz w:val="32"/>
        </w:rPr>
        <w:t xml:space="preserve">新增或转增中国境内居民企业实收资本或者资本 </w:t>
      </w:r>
      <w:r>
        <w:rPr>
          <w:color w:val="auto"/>
          <w:spacing w:val="-1"/>
          <w:sz w:val="32"/>
        </w:rPr>
        <w:t>公积。境外投资者以分得的利润用于补缴其在境内居民企业</w:t>
      </w:r>
      <w:r>
        <w:rPr>
          <w:color w:val="auto"/>
          <w:spacing w:val="-3"/>
          <w:sz w:val="32"/>
        </w:rPr>
        <w:t>已经认缴的注册资本，增加实收资本或资本公积的，属于符合“新增或转增中国境内居民企业实收资本或者资本公积” 情形。</w:t>
      </w:r>
    </w:p>
    <w:p>
      <w:pPr>
        <w:pStyle w:val="12"/>
        <w:keepNext w:val="0"/>
        <w:keepLines w:val="0"/>
        <w:pageBreakBefore w:val="0"/>
        <w:widowControl w:val="0"/>
        <w:numPr>
          <w:ilvl w:val="0"/>
          <w:numId w:val="49"/>
        </w:numPr>
        <w:tabs>
          <w:tab w:val="left" w:pos="1761"/>
        </w:tabs>
        <w:kinsoku/>
        <w:wordWrap/>
        <w:overflowPunct/>
        <w:topLinePunct w:val="0"/>
        <w:autoSpaceDE w:val="0"/>
        <w:autoSpaceDN w:val="0"/>
        <w:bidi w:val="0"/>
        <w:adjustRightInd/>
        <w:snapToGrid/>
        <w:spacing w:before="4" w:after="0" w:line="240" w:lineRule="auto"/>
        <w:ind w:left="1760" w:right="0" w:hanging="801"/>
        <w:jc w:val="both"/>
        <w:textAlignment w:val="auto"/>
        <w:rPr>
          <w:color w:val="auto"/>
          <w:sz w:val="32"/>
        </w:rPr>
      </w:pPr>
      <w:r>
        <w:rPr>
          <w:color w:val="auto"/>
          <w:sz w:val="32"/>
        </w:rPr>
        <w:t>在中国境内投资新建居民企业。</w:t>
      </w:r>
    </w:p>
    <w:p>
      <w:pPr>
        <w:pStyle w:val="12"/>
        <w:keepNext w:val="0"/>
        <w:keepLines w:val="0"/>
        <w:pageBreakBefore w:val="0"/>
        <w:widowControl w:val="0"/>
        <w:numPr>
          <w:ilvl w:val="0"/>
          <w:numId w:val="49"/>
        </w:numPr>
        <w:tabs>
          <w:tab w:val="left" w:pos="1761"/>
        </w:tabs>
        <w:kinsoku/>
        <w:wordWrap/>
        <w:overflowPunct/>
        <w:topLinePunct w:val="0"/>
        <w:autoSpaceDE w:val="0"/>
        <w:autoSpaceDN w:val="0"/>
        <w:bidi w:val="0"/>
        <w:adjustRightInd/>
        <w:snapToGrid/>
        <w:spacing w:before="214" w:after="0" w:line="240" w:lineRule="auto"/>
        <w:ind w:left="1760" w:right="0" w:hanging="801"/>
        <w:jc w:val="both"/>
        <w:textAlignment w:val="auto"/>
        <w:rPr>
          <w:color w:val="auto"/>
          <w:sz w:val="32"/>
        </w:rPr>
      </w:pPr>
      <w:r>
        <w:rPr>
          <w:color w:val="auto"/>
          <w:sz w:val="32"/>
        </w:rPr>
        <w:t>从非关联方收购中国境内居民企业股权。</w:t>
      </w:r>
    </w:p>
    <w:p>
      <w:pPr>
        <w:pStyle w:val="12"/>
        <w:keepNext w:val="0"/>
        <w:keepLines w:val="0"/>
        <w:pageBreakBefore w:val="0"/>
        <w:widowControl w:val="0"/>
        <w:numPr>
          <w:ilvl w:val="0"/>
          <w:numId w:val="49"/>
        </w:numPr>
        <w:tabs>
          <w:tab w:val="left" w:pos="1761"/>
        </w:tabs>
        <w:kinsoku/>
        <w:wordWrap/>
        <w:overflowPunct/>
        <w:topLinePunct w:val="0"/>
        <w:autoSpaceDE w:val="0"/>
        <w:autoSpaceDN w:val="0"/>
        <w:bidi w:val="0"/>
        <w:adjustRightInd/>
        <w:snapToGrid/>
        <w:spacing w:before="214" w:after="0" w:line="240" w:lineRule="auto"/>
        <w:ind w:left="1760" w:right="0" w:hanging="801"/>
        <w:jc w:val="both"/>
        <w:textAlignment w:val="auto"/>
        <w:rPr>
          <w:color w:val="auto"/>
          <w:sz w:val="32"/>
        </w:rPr>
      </w:pPr>
      <w:r>
        <w:rPr>
          <w:color w:val="auto"/>
          <w:sz w:val="32"/>
        </w:rPr>
        <w:t>财政部、税务总局规定的其他方式。</w:t>
      </w:r>
    </w:p>
    <w:p>
      <w:pPr>
        <w:pStyle w:val="12"/>
        <w:keepNext w:val="0"/>
        <w:keepLines w:val="0"/>
        <w:pageBreakBefore w:val="0"/>
        <w:widowControl w:val="0"/>
        <w:numPr>
          <w:ilvl w:val="1"/>
          <w:numId w:val="48"/>
        </w:numPr>
        <w:tabs>
          <w:tab w:val="left" w:pos="1292"/>
        </w:tabs>
        <w:kinsoku/>
        <w:wordWrap/>
        <w:overflowPunct/>
        <w:topLinePunct w:val="0"/>
        <w:autoSpaceDE w:val="0"/>
        <w:autoSpaceDN w:val="0"/>
        <w:bidi w:val="0"/>
        <w:adjustRightInd/>
        <w:snapToGrid/>
        <w:spacing w:before="214" w:after="0" w:line="240" w:lineRule="auto"/>
        <w:ind w:left="1292" w:right="0" w:hanging="332"/>
        <w:jc w:val="both"/>
        <w:textAlignment w:val="auto"/>
        <w:rPr>
          <w:color w:val="auto"/>
          <w:sz w:val="30"/>
        </w:rPr>
      </w:pPr>
      <w:r>
        <w:rPr>
          <w:color w:val="auto"/>
          <w:spacing w:val="13"/>
          <w:sz w:val="32"/>
        </w:rPr>
        <w:t>境外投资者分得的利润属于中国境内居民企业向投</w:t>
      </w:r>
    </w:p>
    <w:p>
      <w:pPr>
        <w:pStyle w:val="4"/>
        <w:keepNext w:val="0"/>
        <w:keepLines w:val="0"/>
        <w:pageBreakBefore w:val="0"/>
        <w:widowControl w:val="0"/>
        <w:kinsoku/>
        <w:wordWrap/>
        <w:overflowPunct/>
        <w:topLinePunct w:val="0"/>
        <w:autoSpaceDE w:val="0"/>
        <w:autoSpaceDN w:val="0"/>
        <w:bidi w:val="0"/>
        <w:adjustRightInd/>
        <w:snapToGrid/>
        <w:spacing w:before="30" w:line="364" w:lineRule="auto"/>
        <w:ind w:right="495" w:firstLine="0"/>
        <w:jc w:val="both"/>
        <w:textAlignment w:val="auto"/>
        <w:rPr>
          <w:color w:val="auto"/>
        </w:rPr>
      </w:pPr>
      <w:r>
        <w:rPr>
          <w:color w:val="auto"/>
        </w:rPr>
        <w:t>资者实际分配已经实现的留存收益而形成的股息、红利等权益性投资收益。</w:t>
      </w:r>
    </w:p>
    <w:p>
      <w:pPr>
        <w:pStyle w:val="12"/>
        <w:keepNext w:val="0"/>
        <w:keepLines w:val="0"/>
        <w:pageBreakBefore w:val="0"/>
        <w:widowControl w:val="0"/>
        <w:numPr>
          <w:ilvl w:val="1"/>
          <w:numId w:val="48"/>
        </w:numPr>
        <w:tabs>
          <w:tab w:val="left" w:pos="1283"/>
        </w:tabs>
        <w:kinsoku/>
        <w:wordWrap/>
        <w:overflowPunct/>
        <w:topLinePunct w:val="0"/>
        <w:autoSpaceDE w:val="0"/>
        <w:autoSpaceDN w:val="0"/>
        <w:bidi w:val="0"/>
        <w:adjustRightInd/>
        <w:snapToGrid/>
        <w:spacing w:before="1" w:after="0" w:line="364" w:lineRule="auto"/>
        <w:ind w:left="320" w:right="525" w:firstLine="640"/>
        <w:jc w:val="both"/>
        <w:textAlignment w:val="auto"/>
        <w:rPr>
          <w:color w:val="auto"/>
          <w:sz w:val="30"/>
        </w:rPr>
      </w:pPr>
      <w:r>
        <w:rPr>
          <w:color w:val="auto"/>
          <w:w w:val="95"/>
          <w:sz w:val="32"/>
        </w:rPr>
        <w:t xml:space="preserve">境外投资者用于直接投资的利润以现金形式支付的， </w:t>
      </w:r>
      <w:r>
        <w:rPr>
          <w:color w:val="auto"/>
          <w:spacing w:val="11"/>
          <w:w w:val="95"/>
          <w:sz w:val="32"/>
        </w:rPr>
        <w:t xml:space="preserve">相关款项从利润分配企业的账户直接转入被投资企业或股 </w:t>
      </w:r>
      <w:r>
        <w:rPr>
          <w:color w:val="auto"/>
          <w:spacing w:val="11"/>
          <w:sz w:val="32"/>
        </w:rPr>
        <w:t xml:space="preserve">权转让方账户，在直接投资前不得在境内外其他账户周转； </w:t>
      </w:r>
      <w:r>
        <w:rPr>
          <w:color w:val="auto"/>
          <w:spacing w:val="1"/>
          <w:sz w:val="32"/>
        </w:rPr>
        <w:t>境外投资者用于直接投资的利润以实物、有价证券等非现金</w:t>
      </w:r>
      <w:r>
        <w:rPr>
          <w:color w:val="auto"/>
          <w:spacing w:val="-2"/>
          <w:sz w:val="32"/>
        </w:rPr>
        <w:t>形式支付的，相关资产所有权直接从利润分配企业转入被投</w:t>
      </w:r>
      <w:r>
        <w:rPr>
          <w:color w:val="auto"/>
          <w:spacing w:val="-4"/>
          <w:sz w:val="32"/>
        </w:rPr>
        <w:t>资企业或股权转让方，在直接投资前不得由其他企业、个人代为持有或临时持有。</w:t>
      </w:r>
    </w:p>
    <w:p>
      <w:pPr>
        <w:pStyle w:val="12"/>
        <w:keepNext w:val="0"/>
        <w:keepLines w:val="0"/>
        <w:pageBreakBefore w:val="0"/>
        <w:widowControl w:val="0"/>
        <w:numPr>
          <w:ilvl w:val="1"/>
          <w:numId w:val="48"/>
        </w:numPr>
        <w:tabs>
          <w:tab w:val="left" w:pos="1283"/>
        </w:tabs>
        <w:kinsoku/>
        <w:wordWrap/>
        <w:overflowPunct/>
        <w:topLinePunct w:val="0"/>
        <w:autoSpaceDE w:val="0"/>
        <w:autoSpaceDN w:val="0"/>
        <w:bidi w:val="0"/>
        <w:adjustRightInd/>
        <w:snapToGrid/>
        <w:spacing w:before="6" w:after="0" w:line="364" w:lineRule="auto"/>
        <w:ind w:left="320" w:right="537" w:firstLine="640"/>
        <w:jc w:val="both"/>
        <w:textAlignment w:val="auto"/>
        <w:rPr>
          <w:color w:val="auto"/>
          <w:sz w:val="30"/>
        </w:rPr>
      </w:pPr>
      <w:r>
        <w:rPr>
          <w:color w:val="auto"/>
          <w:spacing w:val="-3"/>
          <w:w w:val="95"/>
          <w:sz w:val="32"/>
        </w:rPr>
        <w:t xml:space="preserve">“境外投资者”，是指适用《企业所得税法》第三条 </w:t>
      </w:r>
      <w:r>
        <w:rPr>
          <w:color w:val="auto"/>
          <w:spacing w:val="-3"/>
          <w:sz w:val="32"/>
        </w:rPr>
        <w:t>第三款规定的非居民企业；“中国境内居民企业”，是指依法在中国境内成立的居民企业。</w:t>
      </w:r>
    </w:p>
    <w:p>
      <w:pPr>
        <w:keepNext w:val="0"/>
        <w:keepLines w:val="0"/>
        <w:pageBreakBefore w:val="0"/>
        <w:widowControl w:val="0"/>
        <w:kinsoku/>
        <w:wordWrap/>
        <w:overflowPunct/>
        <w:topLinePunct w:val="0"/>
        <w:autoSpaceDE w:val="0"/>
        <w:autoSpaceDN w:val="0"/>
        <w:bidi w:val="0"/>
        <w:adjustRightInd/>
        <w:snapToGrid/>
        <w:spacing w:before="2"/>
        <w:ind w:left="320" w:right="0" w:firstLine="0"/>
        <w:jc w:val="both"/>
        <w:textAlignment w:val="auto"/>
        <w:rPr>
          <w:rFonts w:hint="eastAsia" w:ascii="宋体" w:eastAsia="宋体"/>
          <w:b/>
          <w:color w:val="auto"/>
          <w:sz w:val="32"/>
        </w:rPr>
      </w:pPr>
      <w:r>
        <w:rPr>
          <w:rFonts w:hint="eastAsia" w:ascii="宋体" w:eastAsia="宋体"/>
          <w:b/>
          <w:color w:val="auto"/>
          <w:sz w:val="32"/>
        </w:rPr>
        <w:t>【政策依据】</w:t>
      </w:r>
    </w:p>
    <w:p>
      <w:pPr>
        <w:pStyle w:val="12"/>
        <w:keepNext w:val="0"/>
        <w:keepLines w:val="0"/>
        <w:pageBreakBefore w:val="0"/>
        <w:widowControl w:val="0"/>
        <w:numPr>
          <w:ilvl w:val="0"/>
          <w:numId w:val="50"/>
        </w:numPr>
        <w:tabs>
          <w:tab w:val="left" w:pos="1285"/>
        </w:tabs>
        <w:kinsoku/>
        <w:wordWrap/>
        <w:overflowPunct/>
        <w:topLinePunct w:val="0"/>
        <w:autoSpaceDE w:val="0"/>
        <w:autoSpaceDN w:val="0"/>
        <w:bidi w:val="0"/>
        <w:adjustRightInd/>
        <w:snapToGrid/>
        <w:spacing w:before="236" w:after="0" w:line="326" w:lineRule="auto"/>
        <w:ind w:left="320" w:right="540" w:firstLine="640"/>
        <w:jc w:val="both"/>
        <w:textAlignment w:val="auto"/>
        <w:rPr>
          <w:rFonts w:hint="eastAsia" w:ascii="黑体" w:eastAsia="黑体"/>
          <w:color w:val="auto"/>
          <w:sz w:val="32"/>
        </w:rPr>
      </w:pPr>
      <w:r>
        <w:rPr>
          <w:rFonts w:hint="eastAsia" w:ascii="黑体" w:eastAsia="黑体"/>
          <w:color w:val="auto"/>
          <w:spacing w:val="1"/>
          <w:sz w:val="32"/>
        </w:rPr>
        <w:t>《财政部 税务总局 国家发展改革委 商务部关于扩</w:t>
      </w:r>
      <w:r>
        <w:rPr>
          <w:rFonts w:hint="eastAsia" w:ascii="黑体" w:eastAsia="黑体"/>
          <w:color w:val="auto"/>
          <w:spacing w:val="11"/>
          <w:w w:val="95"/>
          <w:sz w:val="32"/>
        </w:rPr>
        <w:t xml:space="preserve">大境外投资者以分配利润直接投资暂不征收预提所得税政 </w:t>
      </w:r>
      <w:r>
        <w:rPr>
          <w:rFonts w:hint="eastAsia" w:ascii="黑体" w:eastAsia="黑体"/>
          <w:color w:val="auto"/>
          <w:spacing w:val="11"/>
          <w:sz w:val="32"/>
        </w:rPr>
        <w:t>策适用范围的通知》（财税〔2018〕102</w:t>
      </w:r>
      <w:r>
        <w:rPr>
          <w:rFonts w:hint="eastAsia" w:ascii="黑体" w:eastAsia="黑体"/>
          <w:color w:val="auto"/>
          <w:spacing w:val="-41"/>
          <w:sz w:val="32"/>
        </w:rPr>
        <w:t xml:space="preserve"> 号</w:t>
      </w:r>
      <w:r>
        <w:rPr>
          <w:rFonts w:hint="eastAsia" w:ascii="黑体" w:eastAsia="黑体"/>
          <w:color w:val="auto"/>
          <w:sz w:val="32"/>
        </w:rPr>
        <w:t>）</w:t>
      </w:r>
    </w:p>
    <w:p>
      <w:pPr>
        <w:pStyle w:val="12"/>
        <w:keepNext w:val="0"/>
        <w:keepLines w:val="0"/>
        <w:pageBreakBefore w:val="0"/>
        <w:widowControl w:val="0"/>
        <w:numPr>
          <w:ilvl w:val="0"/>
          <w:numId w:val="50"/>
        </w:numPr>
        <w:tabs>
          <w:tab w:val="left" w:pos="1283"/>
        </w:tabs>
        <w:kinsoku/>
        <w:wordWrap/>
        <w:overflowPunct/>
        <w:topLinePunct w:val="0"/>
        <w:autoSpaceDE w:val="0"/>
        <w:autoSpaceDN w:val="0"/>
        <w:bidi w:val="0"/>
        <w:adjustRightInd/>
        <w:snapToGrid/>
        <w:spacing w:before="7" w:after="0" w:line="326" w:lineRule="auto"/>
        <w:ind w:left="320" w:right="537" w:firstLine="640"/>
        <w:jc w:val="both"/>
        <w:textAlignment w:val="auto"/>
        <w:rPr>
          <w:rFonts w:hint="eastAsia" w:ascii="黑体" w:eastAsia="黑体"/>
          <w:color w:val="auto"/>
          <w:sz w:val="32"/>
        </w:rPr>
      </w:pPr>
      <w:r>
        <w:rPr>
          <w:rFonts w:hint="eastAsia" w:ascii="黑体" w:eastAsia="黑体"/>
          <w:color w:val="auto"/>
          <w:sz w:val="32"/>
        </w:rPr>
        <w:t xml:space="preserve">《国家税务总局关于扩大境外投资者以分配利润直 </w:t>
      </w:r>
      <w:r>
        <w:rPr>
          <w:rFonts w:hint="eastAsia" w:ascii="黑体" w:eastAsia="黑体"/>
          <w:color w:val="auto"/>
          <w:spacing w:val="10"/>
          <w:w w:val="95"/>
          <w:sz w:val="32"/>
        </w:rPr>
        <w:t xml:space="preserve">接投资暂不征收预提所得税政策适用范围有关问题的公告 </w:t>
      </w:r>
      <w:r>
        <w:rPr>
          <w:rFonts w:hint="eastAsia" w:ascii="黑体" w:eastAsia="黑体"/>
          <w:color w:val="auto"/>
          <w:sz w:val="32"/>
        </w:rPr>
        <w:t>》</w:t>
      </w:r>
    </w:p>
    <w:p>
      <w:pPr>
        <w:pStyle w:val="4"/>
        <w:keepNext w:val="0"/>
        <w:keepLines w:val="0"/>
        <w:pageBreakBefore w:val="0"/>
        <w:widowControl w:val="0"/>
        <w:kinsoku/>
        <w:wordWrap/>
        <w:overflowPunct/>
        <w:topLinePunct w:val="0"/>
        <w:autoSpaceDE w:val="0"/>
        <w:autoSpaceDN w:val="0"/>
        <w:bidi w:val="0"/>
        <w:adjustRightInd/>
        <w:snapToGrid/>
        <w:spacing w:before="3"/>
        <w:ind w:firstLine="0"/>
        <w:jc w:val="both"/>
        <w:textAlignment w:val="auto"/>
        <w:rPr>
          <w:rFonts w:hint="eastAsia" w:ascii="黑体" w:eastAsia="黑体"/>
          <w:color w:val="auto"/>
        </w:rPr>
      </w:pPr>
      <w:r>
        <w:rPr>
          <w:rFonts w:hint="eastAsia" w:ascii="黑体" w:eastAsia="黑体"/>
          <w:color w:val="auto"/>
        </w:rPr>
        <w:t>（2018 年第 53 号）</w:t>
      </w:r>
    </w:p>
    <w:p>
      <w:pPr>
        <w:pStyle w:val="4"/>
        <w:keepNext w:val="0"/>
        <w:keepLines w:val="0"/>
        <w:pageBreakBefore w:val="0"/>
        <w:widowControl w:val="0"/>
        <w:kinsoku/>
        <w:wordWrap/>
        <w:overflowPunct/>
        <w:topLinePunct w:val="0"/>
        <w:autoSpaceDE w:val="0"/>
        <w:autoSpaceDN w:val="0"/>
        <w:bidi w:val="0"/>
        <w:adjustRightInd/>
        <w:snapToGrid/>
        <w:spacing w:before="0"/>
        <w:ind w:left="0" w:firstLine="0"/>
        <w:jc w:val="both"/>
        <w:textAlignment w:val="auto"/>
        <w:rPr>
          <w:rFonts w:ascii="黑体"/>
          <w:color w:val="auto"/>
        </w:rPr>
      </w:pPr>
    </w:p>
    <w:p>
      <w:pPr>
        <w:pStyle w:val="12"/>
        <w:keepNext w:val="0"/>
        <w:keepLines w:val="0"/>
        <w:pageBreakBefore w:val="0"/>
        <w:widowControl w:val="0"/>
        <w:numPr>
          <w:ilvl w:val="0"/>
          <w:numId w:val="48"/>
        </w:numPr>
        <w:tabs>
          <w:tab w:val="left" w:pos="805"/>
        </w:tabs>
        <w:kinsoku/>
        <w:wordWrap/>
        <w:overflowPunct/>
        <w:topLinePunct w:val="0"/>
        <w:autoSpaceDE w:val="0"/>
        <w:autoSpaceDN w:val="0"/>
        <w:bidi w:val="0"/>
        <w:adjustRightInd/>
        <w:snapToGrid/>
        <w:spacing w:before="280" w:after="0" w:line="240" w:lineRule="auto"/>
        <w:ind w:left="804" w:right="0" w:hanging="485"/>
        <w:jc w:val="both"/>
        <w:textAlignment w:val="auto"/>
        <w:rPr>
          <w:rFonts w:hint="eastAsia" w:ascii="宋体" w:eastAsia="宋体"/>
          <w:b/>
          <w:color w:val="auto"/>
          <w:sz w:val="32"/>
        </w:rPr>
      </w:pPr>
      <w:bookmarkStart w:id="26" w:name="_TOC_250023"/>
      <w:bookmarkEnd w:id="26"/>
      <w:r>
        <w:rPr>
          <w:rFonts w:hint="eastAsia" w:ascii="宋体" w:eastAsia="宋体"/>
          <w:b/>
          <w:color w:val="auto"/>
          <w:sz w:val="32"/>
        </w:rPr>
        <w:t>符合条件的非居民纳税人享受协定待遇</w:t>
      </w:r>
    </w:p>
    <w:p>
      <w:pPr>
        <w:keepNext w:val="0"/>
        <w:keepLines w:val="0"/>
        <w:pageBreakBefore w:val="0"/>
        <w:widowControl w:val="0"/>
        <w:kinsoku/>
        <w:wordWrap/>
        <w:overflowPunct/>
        <w:topLinePunct w:val="0"/>
        <w:autoSpaceDE w:val="0"/>
        <w:autoSpaceDN w:val="0"/>
        <w:bidi w:val="0"/>
        <w:adjustRightInd/>
        <w:snapToGrid/>
        <w:spacing w:before="214"/>
        <w:ind w:left="320" w:right="0" w:firstLine="0"/>
        <w:jc w:val="both"/>
        <w:textAlignment w:val="auto"/>
        <w:rPr>
          <w:rFonts w:hint="eastAsia" w:ascii="宋体" w:eastAsia="宋体"/>
          <w:b/>
          <w:color w:val="auto"/>
          <w:sz w:val="32"/>
        </w:rPr>
      </w:pPr>
      <w:r>
        <w:rPr>
          <w:rFonts w:hint="eastAsia" w:ascii="宋体" w:eastAsia="宋体"/>
          <w:b/>
          <w:color w:val="auto"/>
          <w:sz w:val="32"/>
        </w:rPr>
        <w:t>【适用主体】</w:t>
      </w:r>
    </w:p>
    <w:p>
      <w:pPr>
        <w:pStyle w:val="4"/>
        <w:keepNext w:val="0"/>
        <w:keepLines w:val="0"/>
        <w:pageBreakBefore w:val="0"/>
        <w:widowControl w:val="0"/>
        <w:kinsoku/>
        <w:wordWrap/>
        <w:overflowPunct/>
        <w:topLinePunct w:val="0"/>
        <w:autoSpaceDE w:val="0"/>
        <w:autoSpaceDN w:val="0"/>
        <w:bidi w:val="0"/>
        <w:adjustRightInd/>
        <w:snapToGrid/>
        <w:ind w:left="960" w:firstLine="0"/>
        <w:jc w:val="both"/>
        <w:textAlignment w:val="auto"/>
        <w:rPr>
          <w:color w:val="auto"/>
        </w:rPr>
      </w:pPr>
      <w:r>
        <w:rPr>
          <w:color w:val="auto"/>
        </w:rPr>
        <w:t>符合条件的非居民纳税人</w:t>
      </w:r>
    </w:p>
    <w:p>
      <w:pPr>
        <w:keepNext w:val="0"/>
        <w:keepLines w:val="0"/>
        <w:pageBreakBefore w:val="0"/>
        <w:widowControl w:val="0"/>
        <w:kinsoku/>
        <w:wordWrap/>
        <w:overflowPunct/>
        <w:topLinePunct w:val="0"/>
        <w:autoSpaceDE w:val="0"/>
        <w:autoSpaceDN w:val="0"/>
        <w:bidi w:val="0"/>
        <w:adjustRightInd/>
        <w:snapToGrid/>
        <w:spacing w:before="30"/>
        <w:ind w:left="320" w:right="0" w:firstLine="0"/>
        <w:jc w:val="both"/>
        <w:textAlignment w:val="auto"/>
        <w:rPr>
          <w:rFonts w:hint="eastAsia" w:ascii="宋体" w:eastAsia="宋体"/>
          <w:b/>
          <w:color w:val="auto"/>
          <w:sz w:val="32"/>
        </w:rPr>
      </w:pPr>
      <w:r>
        <w:rPr>
          <w:rFonts w:hint="eastAsia" w:ascii="宋体" w:eastAsia="宋体"/>
          <w:b/>
          <w:color w:val="auto"/>
          <w:w w:val="95"/>
          <w:sz w:val="32"/>
        </w:rPr>
        <w:t>【政策内容】</w:t>
      </w:r>
    </w:p>
    <w:p>
      <w:pPr>
        <w:pStyle w:val="4"/>
        <w:keepNext w:val="0"/>
        <w:keepLines w:val="0"/>
        <w:pageBreakBefore w:val="0"/>
        <w:widowControl w:val="0"/>
        <w:kinsoku/>
        <w:wordWrap/>
        <w:overflowPunct/>
        <w:topLinePunct w:val="0"/>
        <w:autoSpaceDE w:val="0"/>
        <w:autoSpaceDN w:val="0"/>
        <w:bidi w:val="0"/>
        <w:adjustRightInd/>
        <w:snapToGrid/>
        <w:spacing w:line="364" w:lineRule="auto"/>
        <w:ind w:right="540"/>
        <w:jc w:val="both"/>
        <w:textAlignment w:val="auto"/>
        <w:rPr>
          <w:color w:val="auto"/>
        </w:rPr>
      </w:pPr>
      <w:r>
        <w:rPr>
          <w:color w:val="auto"/>
          <w:spacing w:val="12"/>
          <w:w w:val="95"/>
        </w:rPr>
        <w:t xml:space="preserve">非居民纳税人可以按照中华人民共和国政府签署的避 </w:t>
      </w:r>
      <w:r>
        <w:rPr>
          <w:color w:val="auto"/>
          <w:spacing w:val="5"/>
        </w:rPr>
        <w:t>免双重征税协定和国际运输协定税收条款规定，减轻或者免</w:t>
      </w:r>
      <w:r>
        <w:rPr>
          <w:color w:val="auto"/>
        </w:rPr>
        <w:t>除按照国内税收法律规定应当履行的企业所得税、个人所得税纳税义务。</w:t>
      </w:r>
    </w:p>
    <w:p>
      <w:pPr>
        <w:pStyle w:val="4"/>
        <w:keepNext w:val="0"/>
        <w:keepLines w:val="0"/>
        <w:pageBreakBefore w:val="0"/>
        <w:widowControl w:val="0"/>
        <w:kinsoku/>
        <w:wordWrap/>
        <w:overflowPunct/>
        <w:topLinePunct w:val="0"/>
        <w:autoSpaceDE w:val="0"/>
        <w:autoSpaceDN w:val="0"/>
        <w:bidi w:val="0"/>
        <w:adjustRightInd/>
        <w:snapToGrid/>
        <w:spacing w:before="3" w:line="364" w:lineRule="auto"/>
        <w:ind w:right="536"/>
        <w:jc w:val="both"/>
        <w:textAlignment w:val="auto"/>
        <w:rPr>
          <w:color w:val="auto"/>
        </w:rPr>
      </w:pPr>
      <w:r>
        <w:rPr>
          <w:color w:val="auto"/>
          <w:spacing w:val="-1"/>
        </w:rPr>
        <w:t>非居民纳税人需要享受内地与香港、澳门特别行政区签</w:t>
      </w:r>
      <w:r>
        <w:rPr>
          <w:color w:val="auto"/>
          <w:spacing w:val="-3"/>
        </w:rPr>
        <w:t>署的避免双重征税安排待遇的，按照《国家税务总局关于发</w:t>
      </w:r>
      <w:r>
        <w:rPr>
          <w:color w:val="auto"/>
          <w:spacing w:val="-4"/>
          <w:w w:val="95"/>
        </w:rPr>
        <w:t>布〈非居民纳税人享受协定待遇管理办法〉的公告》</w:t>
      </w:r>
      <w:r>
        <w:rPr>
          <w:color w:val="auto"/>
          <w:w w:val="95"/>
        </w:rPr>
        <w:t xml:space="preserve">（2019 </w:t>
      </w:r>
      <w:r>
        <w:rPr>
          <w:color w:val="auto"/>
          <w:spacing w:val="-27"/>
        </w:rPr>
        <w:t xml:space="preserve">年第 </w:t>
      </w:r>
      <w:r>
        <w:rPr>
          <w:color w:val="auto"/>
        </w:rPr>
        <w:t>35</w:t>
      </w:r>
      <w:r>
        <w:rPr>
          <w:color w:val="auto"/>
          <w:spacing w:val="-40"/>
        </w:rPr>
        <w:t xml:space="preserve"> 号</w:t>
      </w:r>
      <w:r>
        <w:rPr>
          <w:color w:val="auto"/>
        </w:rPr>
        <w:t>）执行。</w:t>
      </w:r>
    </w:p>
    <w:p>
      <w:pPr>
        <w:keepNext w:val="0"/>
        <w:keepLines w:val="0"/>
        <w:pageBreakBefore w:val="0"/>
        <w:widowControl w:val="0"/>
        <w:kinsoku/>
        <w:wordWrap/>
        <w:overflowPunct/>
        <w:topLinePunct w:val="0"/>
        <w:autoSpaceDE w:val="0"/>
        <w:autoSpaceDN w:val="0"/>
        <w:bidi w:val="0"/>
        <w:adjustRightInd/>
        <w:snapToGrid/>
        <w:spacing w:before="3"/>
        <w:ind w:left="320" w:right="0" w:firstLine="0"/>
        <w:jc w:val="both"/>
        <w:textAlignment w:val="auto"/>
        <w:rPr>
          <w:rFonts w:hint="eastAsia" w:ascii="宋体" w:eastAsia="宋体"/>
          <w:b/>
          <w:color w:val="auto"/>
          <w:sz w:val="32"/>
        </w:rPr>
      </w:pPr>
      <w:r>
        <w:rPr>
          <w:rFonts w:hint="eastAsia" w:ascii="宋体" w:eastAsia="宋体"/>
          <w:b/>
          <w:color w:val="auto"/>
          <w:sz w:val="32"/>
        </w:rPr>
        <w:t>【适用条件】</w:t>
      </w:r>
    </w:p>
    <w:p>
      <w:pPr>
        <w:pStyle w:val="12"/>
        <w:keepNext w:val="0"/>
        <w:keepLines w:val="0"/>
        <w:pageBreakBefore w:val="0"/>
        <w:widowControl w:val="0"/>
        <w:numPr>
          <w:ilvl w:val="1"/>
          <w:numId w:val="48"/>
        </w:numPr>
        <w:tabs>
          <w:tab w:val="left" w:pos="1283"/>
        </w:tabs>
        <w:kinsoku/>
        <w:wordWrap/>
        <w:overflowPunct/>
        <w:topLinePunct w:val="0"/>
        <w:autoSpaceDE w:val="0"/>
        <w:autoSpaceDN w:val="0"/>
        <w:bidi w:val="0"/>
        <w:adjustRightInd/>
        <w:snapToGrid/>
        <w:spacing w:before="214" w:after="0" w:line="364" w:lineRule="auto"/>
        <w:ind w:left="320" w:right="540" w:firstLine="640"/>
        <w:jc w:val="both"/>
        <w:textAlignment w:val="auto"/>
        <w:rPr>
          <w:color w:val="auto"/>
          <w:sz w:val="30"/>
        </w:rPr>
      </w:pPr>
      <w:r>
        <w:rPr>
          <w:color w:val="auto"/>
          <w:spacing w:val="-3"/>
          <w:w w:val="95"/>
          <w:sz w:val="32"/>
        </w:rPr>
        <w:t xml:space="preserve">非居民纳税人，是指按照税收协定居民条款规定应为 </w:t>
      </w:r>
      <w:r>
        <w:rPr>
          <w:color w:val="auto"/>
          <w:spacing w:val="-3"/>
          <w:sz w:val="32"/>
        </w:rPr>
        <w:t>缔约对方税收居民的纳税人。</w:t>
      </w:r>
    </w:p>
    <w:p>
      <w:pPr>
        <w:pStyle w:val="12"/>
        <w:keepNext w:val="0"/>
        <w:keepLines w:val="0"/>
        <w:pageBreakBefore w:val="0"/>
        <w:widowControl w:val="0"/>
        <w:numPr>
          <w:ilvl w:val="1"/>
          <w:numId w:val="48"/>
        </w:numPr>
        <w:tabs>
          <w:tab w:val="left" w:pos="1283"/>
        </w:tabs>
        <w:kinsoku/>
        <w:wordWrap/>
        <w:overflowPunct/>
        <w:topLinePunct w:val="0"/>
        <w:autoSpaceDE w:val="0"/>
        <w:autoSpaceDN w:val="0"/>
        <w:bidi w:val="0"/>
        <w:adjustRightInd/>
        <w:snapToGrid/>
        <w:spacing w:before="2" w:after="0" w:line="364" w:lineRule="auto"/>
        <w:ind w:left="320" w:right="540" w:firstLine="640"/>
        <w:jc w:val="both"/>
        <w:textAlignment w:val="auto"/>
        <w:rPr>
          <w:color w:val="auto"/>
          <w:sz w:val="30"/>
        </w:rPr>
      </w:pPr>
      <w:r>
        <w:rPr>
          <w:color w:val="auto"/>
          <w:spacing w:val="-2"/>
          <w:w w:val="95"/>
          <w:sz w:val="32"/>
        </w:rPr>
        <w:t xml:space="preserve">非居民纳税人享受协定待遇，采取“自行判断、申报 </w:t>
      </w:r>
      <w:r>
        <w:rPr>
          <w:color w:val="auto"/>
          <w:spacing w:val="-5"/>
          <w:sz w:val="32"/>
        </w:rPr>
        <w:t>享受、相关资料留存备查”的方式办理。自行判断符合享受</w:t>
      </w:r>
      <w:r>
        <w:rPr>
          <w:color w:val="auto"/>
          <w:spacing w:val="-3"/>
          <w:sz w:val="32"/>
        </w:rPr>
        <w:t>协定待遇条件的，可在纳税申报时，或通过扣缴义务人在扣</w:t>
      </w:r>
      <w:r>
        <w:rPr>
          <w:color w:val="auto"/>
          <w:spacing w:val="-3"/>
          <w:w w:val="95"/>
          <w:sz w:val="32"/>
        </w:rPr>
        <w:t xml:space="preserve">缴申报时，自行享受协定待遇，同时按照《国家税务总局关 </w:t>
      </w:r>
      <w:r>
        <w:rPr>
          <w:color w:val="auto"/>
          <w:spacing w:val="11"/>
          <w:w w:val="95"/>
          <w:sz w:val="32"/>
        </w:rPr>
        <w:t>于发布〈非居民纳税人享受协定待遇管理办法〉的公告》</w:t>
      </w:r>
    </w:p>
    <w:p>
      <w:pPr>
        <w:pStyle w:val="4"/>
        <w:keepNext w:val="0"/>
        <w:keepLines w:val="0"/>
        <w:pageBreakBefore w:val="0"/>
        <w:widowControl w:val="0"/>
        <w:kinsoku/>
        <w:wordWrap/>
        <w:overflowPunct/>
        <w:topLinePunct w:val="0"/>
        <w:autoSpaceDE w:val="0"/>
        <w:autoSpaceDN w:val="0"/>
        <w:bidi w:val="0"/>
        <w:adjustRightInd/>
        <w:snapToGrid/>
        <w:spacing w:before="4" w:line="364" w:lineRule="auto"/>
        <w:ind w:right="537" w:firstLine="0"/>
        <w:jc w:val="both"/>
        <w:textAlignment w:val="auto"/>
        <w:rPr>
          <w:color w:val="auto"/>
        </w:rPr>
      </w:pPr>
      <w:r>
        <w:rPr>
          <w:color w:val="auto"/>
        </w:rPr>
        <w:t>（2019</w:t>
      </w:r>
      <w:r>
        <w:rPr>
          <w:color w:val="auto"/>
          <w:spacing w:val="-39"/>
        </w:rPr>
        <w:t xml:space="preserve"> 年第 </w:t>
      </w:r>
      <w:r>
        <w:rPr>
          <w:color w:val="auto"/>
        </w:rPr>
        <w:t>35</w:t>
      </w:r>
      <w:r>
        <w:rPr>
          <w:color w:val="auto"/>
          <w:spacing w:val="-38"/>
        </w:rPr>
        <w:t xml:space="preserve"> 号</w:t>
      </w:r>
      <w:r>
        <w:rPr>
          <w:color w:val="auto"/>
        </w:rPr>
        <w:t>）的规定归集和留存相关资料备查，并接受税务机关后续管理。</w:t>
      </w:r>
    </w:p>
    <w:p>
      <w:pPr>
        <w:pStyle w:val="12"/>
        <w:keepNext w:val="0"/>
        <w:keepLines w:val="0"/>
        <w:pageBreakBefore w:val="0"/>
        <w:widowControl w:val="0"/>
        <w:numPr>
          <w:ilvl w:val="1"/>
          <w:numId w:val="48"/>
        </w:numPr>
        <w:tabs>
          <w:tab w:val="left" w:pos="1283"/>
        </w:tabs>
        <w:kinsoku/>
        <w:wordWrap/>
        <w:overflowPunct/>
        <w:topLinePunct w:val="0"/>
        <w:autoSpaceDE w:val="0"/>
        <w:autoSpaceDN w:val="0"/>
        <w:bidi w:val="0"/>
        <w:adjustRightInd/>
        <w:snapToGrid/>
        <w:spacing w:before="1" w:after="0" w:line="240" w:lineRule="auto"/>
        <w:ind w:left="1282" w:right="0" w:hanging="323"/>
        <w:jc w:val="both"/>
        <w:textAlignment w:val="auto"/>
        <w:rPr>
          <w:color w:val="auto"/>
          <w:sz w:val="30"/>
        </w:rPr>
      </w:pPr>
      <w:r>
        <w:rPr>
          <w:color w:val="auto"/>
          <w:sz w:val="32"/>
        </w:rPr>
        <w:t>需留存备查资料包括：</w:t>
      </w:r>
    </w:p>
    <w:p>
      <w:pPr>
        <w:pStyle w:val="12"/>
        <w:keepNext w:val="0"/>
        <w:keepLines w:val="0"/>
        <w:pageBreakBefore w:val="0"/>
        <w:widowControl w:val="0"/>
        <w:numPr>
          <w:ilvl w:val="0"/>
          <w:numId w:val="51"/>
        </w:numPr>
        <w:tabs>
          <w:tab w:val="left" w:pos="1780"/>
        </w:tabs>
        <w:kinsoku/>
        <w:wordWrap/>
        <w:overflowPunct/>
        <w:topLinePunct w:val="0"/>
        <w:autoSpaceDE w:val="0"/>
        <w:autoSpaceDN w:val="0"/>
        <w:bidi w:val="0"/>
        <w:adjustRightInd/>
        <w:snapToGrid/>
        <w:spacing w:before="214" w:after="0" w:line="364" w:lineRule="auto"/>
        <w:ind w:left="320" w:right="537" w:firstLine="640"/>
        <w:jc w:val="both"/>
        <w:textAlignment w:val="auto"/>
        <w:rPr>
          <w:color w:val="auto"/>
          <w:sz w:val="32"/>
        </w:rPr>
      </w:pPr>
      <w:r>
        <w:rPr>
          <w:color w:val="auto"/>
          <w:spacing w:val="6"/>
          <w:w w:val="95"/>
          <w:sz w:val="32"/>
        </w:rPr>
        <w:t xml:space="preserve">由协定缔约对方税务主管当局开具的证明非居民 </w:t>
      </w:r>
      <w:r>
        <w:rPr>
          <w:color w:val="auto"/>
          <w:spacing w:val="11"/>
          <w:w w:val="95"/>
          <w:sz w:val="32"/>
        </w:rPr>
        <w:t>纳税人取得所得的当年度或上一年度税收居民身份的税收</w:t>
      </w:r>
    </w:p>
    <w:p>
      <w:pPr>
        <w:pStyle w:val="4"/>
        <w:keepNext w:val="0"/>
        <w:keepLines w:val="0"/>
        <w:pageBreakBefore w:val="0"/>
        <w:widowControl w:val="0"/>
        <w:kinsoku/>
        <w:wordWrap/>
        <w:overflowPunct/>
        <w:topLinePunct w:val="0"/>
        <w:autoSpaceDE w:val="0"/>
        <w:autoSpaceDN w:val="0"/>
        <w:bidi w:val="0"/>
        <w:adjustRightInd/>
        <w:snapToGrid/>
        <w:spacing w:before="30" w:line="364" w:lineRule="auto"/>
        <w:ind w:right="540" w:firstLine="0"/>
        <w:jc w:val="both"/>
        <w:textAlignment w:val="auto"/>
        <w:rPr>
          <w:color w:val="auto"/>
        </w:rPr>
      </w:pPr>
      <w:r>
        <w:rPr>
          <w:color w:val="auto"/>
          <w:spacing w:val="-3"/>
        </w:rPr>
        <w:t>居民身份证明；享受税收协定国际运输条款或国际运输协定</w:t>
      </w:r>
      <w:r>
        <w:rPr>
          <w:color w:val="auto"/>
          <w:spacing w:val="-5"/>
        </w:rPr>
        <w:t>待遇的，可用能够证明符合协定规定身份的证明代替税收居民身份证明。</w:t>
      </w:r>
    </w:p>
    <w:p>
      <w:pPr>
        <w:pStyle w:val="12"/>
        <w:keepNext w:val="0"/>
        <w:keepLines w:val="0"/>
        <w:pageBreakBefore w:val="0"/>
        <w:widowControl w:val="0"/>
        <w:numPr>
          <w:ilvl w:val="0"/>
          <w:numId w:val="51"/>
        </w:numPr>
        <w:tabs>
          <w:tab w:val="left" w:pos="1780"/>
        </w:tabs>
        <w:kinsoku/>
        <w:wordWrap/>
        <w:overflowPunct/>
        <w:topLinePunct w:val="0"/>
        <w:autoSpaceDE w:val="0"/>
        <w:autoSpaceDN w:val="0"/>
        <w:bidi w:val="0"/>
        <w:adjustRightInd/>
        <w:snapToGrid/>
        <w:spacing w:before="2" w:after="0" w:line="364" w:lineRule="auto"/>
        <w:ind w:left="320" w:right="537" w:firstLine="640"/>
        <w:jc w:val="both"/>
        <w:textAlignment w:val="auto"/>
        <w:rPr>
          <w:color w:val="auto"/>
          <w:sz w:val="32"/>
        </w:rPr>
      </w:pPr>
      <w:r>
        <w:rPr>
          <w:color w:val="auto"/>
          <w:spacing w:val="6"/>
          <w:w w:val="95"/>
          <w:sz w:val="32"/>
        </w:rPr>
        <w:t xml:space="preserve">与取得相关所得有关的合同、协议、董事会或股 </w:t>
      </w:r>
      <w:r>
        <w:rPr>
          <w:color w:val="auto"/>
          <w:spacing w:val="6"/>
          <w:sz w:val="32"/>
        </w:rPr>
        <w:t>东会决议、支付凭证等权属证明资料。</w:t>
      </w:r>
    </w:p>
    <w:p>
      <w:pPr>
        <w:pStyle w:val="12"/>
        <w:keepNext w:val="0"/>
        <w:keepLines w:val="0"/>
        <w:pageBreakBefore w:val="0"/>
        <w:widowControl w:val="0"/>
        <w:numPr>
          <w:ilvl w:val="0"/>
          <w:numId w:val="51"/>
        </w:numPr>
        <w:tabs>
          <w:tab w:val="left" w:pos="1761"/>
        </w:tabs>
        <w:kinsoku/>
        <w:wordWrap/>
        <w:overflowPunct/>
        <w:topLinePunct w:val="0"/>
        <w:autoSpaceDE w:val="0"/>
        <w:autoSpaceDN w:val="0"/>
        <w:bidi w:val="0"/>
        <w:adjustRightInd/>
        <w:snapToGrid/>
        <w:spacing w:before="2" w:after="0" w:line="364" w:lineRule="auto"/>
        <w:ind w:left="320" w:right="378" w:firstLine="640"/>
        <w:jc w:val="both"/>
        <w:textAlignment w:val="auto"/>
        <w:rPr>
          <w:color w:val="auto"/>
          <w:sz w:val="32"/>
        </w:rPr>
      </w:pPr>
      <w:r>
        <w:rPr>
          <w:color w:val="auto"/>
          <w:spacing w:val="-2"/>
          <w:w w:val="95"/>
          <w:sz w:val="32"/>
        </w:rPr>
        <w:t xml:space="preserve">享受股息、利息、特许权使用费条款协定待遇的， </w:t>
      </w:r>
      <w:r>
        <w:rPr>
          <w:color w:val="auto"/>
          <w:spacing w:val="-2"/>
          <w:sz w:val="32"/>
        </w:rPr>
        <w:t>应留存证明“受益所有人”身份的相关资料。</w:t>
      </w:r>
    </w:p>
    <w:p>
      <w:pPr>
        <w:pStyle w:val="12"/>
        <w:keepNext w:val="0"/>
        <w:keepLines w:val="0"/>
        <w:pageBreakBefore w:val="0"/>
        <w:widowControl w:val="0"/>
        <w:numPr>
          <w:ilvl w:val="0"/>
          <w:numId w:val="51"/>
        </w:numPr>
        <w:tabs>
          <w:tab w:val="left" w:pos="1780"/>
        </w:tabs>
        <w:kinsoku/>
        <w:wordWrap/>
        <w:overflowPunct/>
        <w:topLinePunct w:val="0"/>
        <w:autoSpaceDE w:val="0"/>
        <w:autoSpaceDN w:val="0"/>
        <w:bidi w:val="0"/>
        <w:adjustRightInd/>
        <w:snapToGrid/>
        <w:spacing w:before="1" w:after="0" w:line="364" w:lineRule="auto"/>
        <w:ind w:left="320" w:right="537" w:firstLine="640"/>
        <w:jc w:val="both"/>
        <w:textAlignment w:val="auto"/>
        <w:rPr>
          <w:color w:val="auto"/>
          <w:sz w:val="32"/>
        </w:rPr>
      </w:pPr>
      <w:r>
        <w:rPr>
          <w:color w:val="auto"/>
          <w:spacing w:val="6"/>
          <w:w w:val="95"/>
          <w:sz w:val="32"/>
        </w:rPr>
        <w:t xml:space="preserve">非居民纳税人认为能够证明其符合享受协定待遇 </w:t>
      </w:r>
      <w:r>
        <w:rPr>
          <w:color w:val="auto"/>
          <w:spacing w:val="6"/>
          <w:sz w:val="32"/>
        </w:rPr>
        <w:t>条件的其他资料。</w:t>
      </w:r>
    </w:p>
    <w:p>
      <w:pPr>
        <w:keepNext w:val="0"/>
        <w:keepLines w:val="0"/>
        <w:pageBreakBefore w:val="0"/>
        <w:widowControl w:val="0"/>
        <w:kinsoku/>
        <w:wordWrap/>
        <w:overflowPunct/>
        <w:topLinePunct w:val="0"/>
        <w:autoSpaceDE w:val="0"/>
        <w:autoSpaceDN w:val="0"/>
        <w:bidi w:val="0"/>
        <w:adjustRightInd/>
        <w:snapToGrid/>
        <w:spacing w:before="2"/>
        <w:ind w:left="320" w:right="0" w:firstLine="0"/>
        <w:jc w:val="both"/>
        <w:textAlignment w:val="auto"/>
        <w:rPr>
          <w:rFonts w:hint="eastAsia" w:ascii="宋体" w:eastAsia="宋体"/>
          <w:b/>
          <w:color w:val="auto"/>
          <w:sz w:val="32"/>
        </w:rPr>
      </w:pPr>
      <w:r>
        <w:rPr>
          <w:rFonts w:hint="eastAsia" w:ascii="宋体" w:eastAsia="宋体"/>
          <w:b/>
          <w:color w:val="auto"/>
          <w:sz w:val="32"/>
        </w:rPr>
        <w:t>【政策依据】</w:t>
      </w:r>
    </w:p>
    <w:p>
      <w:pPr>
        <w:pStyle w:val="4"/>
        <w:keepNext w:val="0"/>
        <w:keepLines w:val="0"/>
        <w:pageBreakBefore w:val="0"/>
        <w:widowControl w:val="0"/>
        <w:kinsoku/>
        <w:wordWrap/>
        <w:overflowPunct/>
        <w:topLinePunct w:val="0"/>
        <w:autoSpaceDE w:val="0"/>
        <w:autoSpaceDN w:val="0"/>
        <w:bidi w:val="0"/>
        <w:adjustRightInd/>
        <w:snapToGrid/>
        <w:spacing w:before="236" w:line="326" w:lineRule="auto"/>
        <w:ind w:right="493"/>
        <w:jc w:val="both"/>
        <w:textAlignment w:val="auto"/>
        <w:rPr>
          <w:rFonts w:hint="eastAsia" w:ascii="黑体" w:eastAsia="黑体"/>
          <w:color w:val="auto"/>
        </w:rPr>
      </w:pPr>
      <w:r>
        <w:rPr>
          <w:rFonts w:hint="eastAsia" w:ascii="黑体" w:eastAsia="黑体"/>
          <w:color w:val="auto"/>
        </w:rPr>
        <w:t>《国家税务总局关于发布〈非居民纳税人享受协定待遇管理办法〉的公告》（2019 年第 35 号）</w:t>
      </w:r>
    </w:p>
    <w:p>
      <w:pPr>
        <w:pStyle w:val="4"/>
        <w:keepNext w:val="0"/>
        <w:keepLines w:val="0"/>
        <w:pageBreakBefore w:val="0"/>
        <w:widowControl w:val="0"/>
        <w:kinsoku/>
        <w:wordWrap/>
        <w:overflowPunct/>
        <w:topLinePunct w:val="0"/>
        <w:autoSpaceDE w:val="0"/>
        <w:autoSpaceDN w:val="0"/>
        <w:bidi w:val="0"/>
        <w:adjustRightInd/>
        <w:snapToGrid/>
        <w:spacing w:before="5"/>
        <w:ind w:left="0" w:firstLine="0"/>
        <w:jc w:val="both"/>
        <w:textAlignment w:val="auto"/>
        <w:rPr>
          <w:rFonts w:ascii="黑体"/>
          <w:color w:val="auto"/>
          <w:sz w:val="42"/>
        </w:rPr>
      </w:pPr>
    </w:p>
    <w:p>
      <w:pPr>
        <w:pStyle w:val="12"/>
        <w:keepNext w:val="0"/>
        <w:keepLines w:val="0"/>
        <w:pageBreakBefore w:val="0"/>
        <w:widowControl w:val="0"/>
        <w:numPr>
          <w:ilvl w:val="0"/>
          <w:numId w:val="48"/>
        </w:numPr>
        <w:tabs>
          <w:tab w:val="left" w:pos="805"/>
        </w:tabs>
        <w:kinsoku/>
        <w:wordWrap/>
        <w:overflowPunct/>
        <w:topLinePunct w:val="0"/>
        <w:autoSpaceDE w:val="0"/>
        <w:autoSpaceDN w:val="0"/>
        <w:bidi w:val="0"/>
        <w:adjustRightInd/>
        <w:snapToGrid/>
        <w:spacing w:before="0" w:after="0" w:line="240" w:lineRule="auto"/>
        <w:ind w:left="804" w:right="0" w:hanging="485"/>
        <w:jc w:val="both"/>
        <w:textAlignment w:val="auto"/>
        <w:rPr>
          <w:rFonts w:hint="eastAsia" w:ascii="宋体" w:eastAsia="宋体"/>
          <w:b/>
          <w:color w:val="auto"/>
          <w:sz w:val="32"/>
        </w:rPr>
      </w:pPr>
      <w:bookmarkStart w:id="27" w:name="_TOC_250022"/>
      <w:bookmarkEnd w:id="27"/>
      <w:r>
        <w:rPr>
          <w:rFonts w:hint="eastAsia" w:ascii="宋体" w:eastAsia="宋体"/>
          <w:b/>
          <w:color w:val="auto"/>
          <w:sz w:val="32"/>
        </w:rPr>
        <w:t>中外合作办学免征增值税</w:t>
      </w:r>
    </w:p>
    <w:p>
      <w:pPr>
        <w:keepNext w:val="0"/>
        <w:keepLines w:val="0"/>
        <w:pageBreakBefore w:val="0"/>
        <w:widowControl w:val="0"/>
        <w:kinsoku/>
        <w:wordWrap/>
        <w:overflowPunct/>
        <w:topLinePunct w:val="0"/>
        <w:autoSpaceDE w:val="0"/>
        <w:autoSpaceDN w:val="0"/>
        <w:bidi w:val="0"/>
        <w:adjustRightInd/>
        <w:snapToGrid/>
        <w:spacing w:before="214"/>
        <w:ind w:left="320" w:right="0" w:firstLine="0"/>
        <w:jc w:val="both"/>
        <w:textAlignment w:val="auto"/>
        <w:rPr>
          <w:rFonts w:hint="eastAsia" w:ascii="宋体" w:eastAsia="宋体"/>
          <w:b/>
          <w:color w:val="auto"/>
          <w:sz w:val="32"/>
        </w:rPr>
      </w:pPr>
      <w:r>
        <w:rPr>
          <w:rFonts w:hint="eastAsia" w:ascii="宋体" w:eastAsia="宋体"/>
          <w:b/>
          <w:color w:val="auto"/>
          <w:sz w:val="32"/>
        </w:rPr>
        <w:t>【适用主体】</w:t>
      </w:r>
    </w:p>
    <w:p>
      <w:pPr>
        <w:pStyle w:val="4"/>
        <w:keepNext w:val="0"/>
        <w:keepLines w:val="0"/>
        <w:pageBreakBefore w:val="0"/>
        <w:widowControl w:val="0"/>
        <w:kinsoku/>
        <w:wordWrap/>
        <w:overflowPunct/>
        <w:topLinePunct w:val="0"/>
        <w:autoSpaceDE w:val="0"/>
        <w:autoSpaceDN w:val="0"/>
        <w:bidi w:val="0"/>
        <w:adjustRightInd/>
        <w:snapToGrid/>
        <w:ind w:left="960" w:firstLine="0"/>
        <w:jc w:val="both"/>
        <w:textAlignment w:val="auto"/>
        <w:rPr>
          <w:color w:val="auto"/>
        </w:rPr>
      </w:pPr>
      <w:r>
        <w:rPr>
          <w:color w:val="auto"/>
        </w:rPr>
        <w:t>境外教育机构与境内从事学历教育的学校</w:t>
      </w:r>
    </w:p>
    <w:p>
      <w:pPr>
        <w:keepNext w:val="0"/>
        <w:keepLines w:val="0"/>
        <w:pageBreakBefore w:val="0"/>
        <w:widowControl w:val="0"/>
        <w:kinsoku/>
        <w:wordWrap/>
        <w:overflowPunct/>
        <w:topLinePunct w:val="0"/>
        <w:autoSpaceDE w:val="0"/>
        <w:autoSpaceDN w:val="0"/>
        <w:bidi w:val="0"/>
        <w:adjustRightInd/>
        <w:snapToGrid/>
        <w:spacing w:before="214"/>
        <w:ind w:left="320" w:right="0" w:firstLine="0"/>
        <w:jc w:val="both"/>
        <w:textAlignment w:val="auto"/>
        <w:rPr>
          <w:rFonts w:hint="eastAsia" w:ascii="宋体" w:eastAsia="宋体"/>
          <w:b/>
          <w:color w:val="auto"/>
          <w:sz w:val="32"/>
        </w:rPr>
      </w:pPr>
      <w:r>
        <w:rPr>
          <w:rFonts w:hint="eastAsia" w:ascii="宋体" w:eastAsia="宋体"/>
          <w:b/>
          <w:color w:val="auto"/>
          <w:sz w:val="32"/>
        </w:rPr>
        <w:t>【政策内容】</w:t>
      </w:r>
    </w:p>
    <w:p>
      <w:pPr>
        <w:pStyle w:val="4"/>
        <w:keepNext w:val="0"/>
        <w:keepLines w:val="0"/>
        <w:pageBreakBefore w:val="0"/>
        <w:widowControl w:val="0"/>
        <w:kinsoku/>
        <w:wordWrap/>
        <w:overflowPunct/>
        <w:topLinePunct w:val="0"/>
        <w:autoSpaceDE w:val="0"/>
        <w:autoSpaceDN w:val="0"/>
        <w:bidi w:val="0"/>
        <w:adjustRightInd/>
        <w:snapToGrid/>
        <w:spacing w:line="364" w:lineRule="auto"/>
        <w:ind w:right="537"/>
        <w:jc w:val="both"/>
        <w:textAlignment w:val="auto"/>
        <w:rPr>
          <w:color w:val="auto"/>
        </w:rPr>
      </w:pPr>
      <w:r>
        <w:rPr>
          <w:color w:val="auto"/>
          <w:spacing w:val="-42"/>
        </w:rPr>
        <w:t xml:space="preserve">自 </w:t>
      </w:r>
      <w:r>
        <w:rPr>
          <w:color w:val="auto"/>
        </w:rPr>
        <w:t>2018</w:t>
      </w:r>
      <w:r>
        <w:rPr>
          <w:color w:val="auto"/>
          <w:spacing w:val="-55"/>
        </w:rPr>
        <w:t xml:space="preserve"> 年 </w:t>
      </w:r>
      <w:r>
        <w:rPr>
          <w:color w:val="auto"/>
        </w:rPr>
        <w:t>7</w:t>
      </w:r>
      <w:r>
        <w:rPr>
          <w:color w:val="auto"/>
          <w:spacing w:val="-55"/>
        </w:rPr>
        <w:t xml:space="preserve"> 月 </w:t>
      </w:r>
      <w:r>
        <w:rPr>
          <w:color w:val="auto"/>
        </w:rPr>
        <w:t>25</w:t>
      </w:r>
      <w:r>
        <w:rPr>
          <w:color w:val="auto"/>
          <w:spacing w:val="-11"/>
        </w:rPr>
        <w:t xml:space="preserve"> 日起，境外教育机构与境内从事学历</w:t>
      </w:r>
      <w:r>
        <w:rPr>
          <w:color w:val="auto"/>
          <w:spacing w:val="-12"/>
        </w:rPr>
        <w:t>教育的学校开展中外合作办学，提供学历教育服务取得的收入免征增值税。</w:t>
      </w:r>
    </w:p>
    <w:p>
      <w:pPr>
        <w:keepNext w:val="0"/>
        <w:keepLines w:val="0"/>
        <w:pageBreakBefore w:val="0"/>
        <w:widowControl w:val="0"/>
        <w:kinsoku/>
        <w:wordWrap/>
        <w:overflowPunct/>
        <w:topLinePunct w:val="0"/>
        <w:autoSpaceDE w:val="0"/>
        <w:autoSpaceDN w:val="0"/>
        <w:bidi w:val="0"/>
        <w:adjustRightInd/>
        <w:snapToGrid/>
        <w:spacing w:before="2"/>
        <w:ind w:left="320" w:right="0" w:firstLine="0"/>
        <w:jc w:val="both"/>
        <w:textAlignment w:val="auto"/>
        <w:rPr>
          <w:rFonts w:hint="eastAsia" w:ascii="宋体" w:eastAsia="宋体"/>
          <w:b/>
          <w:color w:val="auto"/>
          <w:sz w:val="32"/>
        </w:rPr>
      </w:pPr>
      <w:r>
        <w:rPr>
          <w:rFonts w:hint="eastAsia" w:ascii="宋体" w:eastAsia="宋体"/>
          <w:b/>
          <w:color w:val="auto"/>
          <w:sz w:val="32"/>
        </w:rPr>
        <w:t>【适用条件】</w:t>
      </w:r>
    </w:p>
    <w:p>
      <w:pPr>
        <w:pStyle w:val="12"/>
        <w:keepNext w:val="0"/>
        <w:keepLines w:val="0"/>
        <w:pageBreakBefore w:val="0"/>
        <w:widowControl w:val="0"/>
        <w:numPr>
          <w:ilvl w:val="1"/>
          <w:numId w:val="48"/>
        </w:numPr>
        <w:tabs>
          <w:tab w:val="left" w:pos="1283"/>
        </w:tabs>
        <w:kinsoku/>
        <w:wordWrap/>
        <w:overflowPunct/>
        <w:topLinePunct w:val="0"/>
        <w:autoSpaceDE w:val="0"/>
        <w:autoSpaceDN w:val="0"/>
        <w:bidi w:val="0"/>
        <w:adjustRightInd/>
        <w:snapToGrid/>
        <w:spacing w:before="214" w:after="0" w:line="240" w:lineRule="auto"/>
        <w:ind w:left="1282" w:right="0" w:hanging="323"/>
        <w:jc w:val="both"/>
        <w:textAlignment w:val="auto"/>
        <w:rPr>
          <w:color w:val="auto"/>
          <w:sz w:val="30"/>
        </w:rPr>
      </w:pPr>
      <w:r>
        <w:rPr>
          <w:color w:val="auto"/>
          <w:spacing w:val="-2"/>
          <w:sz w:val="32"/>
        </w:rPr>
        <w:t>中外合作办学，是指中外教育机构按照《中华人民共</w:t>
      </w:r>
    </w:p>
    <w:p>
      <w:pPr>
        <w:pStyle w:val="4"/>
        <w:keepNext w:val="0"/>
        <w:keepLines w:val="0"/>
        <w:pageBreakBefore w:val="0"/>
        <w:widowControl w:val="0"/>
        <w:kinsoku/>
        <w:wordWrap/>
        <w:overflowPunct/>
        <w:topLinePunct w:val="0"/>
        <w:autoSpaceDE w:val="0"/>
        <w:autoSpaceDN w:val="0"/>
        <w:bidi w:val="0"/>
        <w:adjustRightInd/>
        <w:snapToGrid/>
        <w:spacing w:before="30" w:line="364" w:lineRule="auto"/>
        <w:ind w:right="379" w:firstLine="0"/>
        <w:jc w:val="both"/>
        <w:textAlignment w:val="auto"/>
        <w:rPr>
          <w:color w:val="auto"/>
        </w:rPr>
      </w:pPr>
      <w:r>
        <w:rPr>
          <w:color w:val="auto"/>
          <w:spacing w:val="-11"/>
        </w:rPr>
        <w:t>和国中外合作办学条例》</w:t>
      </w:r>
      <w:r>
        <w:rPr>
          <w:color w:val="auto"/>
        </w:rPr>
        <w:t>（</w:t>
      </w:r>
      <w:r>
        <w:rPr>
          <w:color w:val="auto"/>
          <w:spacing w:val="-15"/>
        </w:rPr>
        <w:t xml:space="preserve">国务院令第 </w:t>
      </w:r>
      <w:r>
        <w:rPr>
          <w:color w:val="auto"/>
        </w:rPr>
        <w:t>372</w:t>
      </w:r>
      <w:r>
        <w:rPr>
          <w:color w:val="auto"/>
          <w:spacing w:val="-44"/>
        </w:rPr>
        <w:t xml:space="preserve"> 号</w:t>
      </w:r>
      <w:r>
        <w:rPr>
          <w:color w:val="auto"/>
          <w:spacing w:val="-58"/>
        </w:rPr>
        <w:t>）</w:t>
      </w:r>
      <w:r>
        <w:rPr>
          <w:color w:val="auto"/>
        </w:rPr>
        <w:t>的有关规定， 合作举办的以中国公民为主要招生对象的教育教学活动。</w:t>
      </w:r>
    </w:p>
    <w:p>
      <w:pPr>
        <w:pStyle w:val="12"/>
        <w:keepNext w:val="0"/>
        <w:keepLines w:val="0"/>
        <w:pageBreakBefore w:val="0"/>
        <w:widowControl w:val="0"/>
        <w:numPr>
          <w:ilvl w:val="1"/>
          <w:numId w:val="48"/>
        </w:numPr>
        <w:tabs>
          <w:tab w:val="left" w:pos="1283"/>
        </w:tabs>
        <w:kinsoku/>
        <w:wordWrap/>
        <w:overflowPunct/>
        <w:topLinePunct w:val="0"/>
        <w:autoSpaceDE w:val="0"/>
        <w:autoSpaceDN w:val="0"/>
        <w:bidi w:val="0"/>
        <w:adjustRightInd/>
        <w:snapToGrid/>
        <w:spacing w:before="1" w:after="0" w:line="364" w:lineRule="auto"/>
        <w:ind w:left="320" w:right="537" w:firstLine="640"/>
        <w:jc w:val="both"/>
        <w:textAlignment w:val="auto"/>
        <w:rPr>
          <w:color w:val="auto"/>
          <w:sz w:val="30"/>
        </w:rPr>
      </w:pPr>
      <w:r>
        <w:rPr>
          <w:color w:val="auto"/>
          <w:spacing w:val="-2"/>
          <w:w w:val="95"/>
          <w:sz w:val="32"/>
        </w:rPr>
        <w:t xml:space="preserve">上述“学历教育”“从事学历教育的学校”“提供学 </w:t>
      </w:r>
      <w:r>
        <w:rPr>
          <w:color w:val="auto"/>
          <w:spacing w:val="-4"/>
          <w:w w:val="95"/>
          <w:sz w:val="32"/>
        </w:rPr>
        <w:t xml:space="preserve">历教育服务取得的收入”的范围，按照《营业税改征增值税 </w:t>
      </w:r>
      <w:r>
        <w:rPr>
          <w:color w:val="auto"/>
          <w:spacing w:val="-5"/>
          <w:sz w:val="32"/>
        </w:rPr>
        <w:t>试点过渡政策的规定》</w:t>
      </w:r>
      <w:r>
        <w:rPr>
          <w:color w:val="auto"/>
          <w:sz w:val="32"/>
        </w:rPr>
        <w:t>（财税〔2016</w:t>
      </w:r>
      <w:r>
        <w:rPr>
          <w:color w:val="auto"/>
          <w:spacing w:val="-3"/>
          <w:sz w:val="32"/>
        </w:rPr>
        <w:t>〕</w:t>
      </w:r>
      <w:r>
        <w:rPr>
          <w:color w:val="auto"/>
          <w:sz w:val="32"/>
        </w:rPr>
        <w:t>36</w:t>
      </w:r>
      <w:r>
        <w:rPr>
          <w:color w:val="auto"/>
          <w:spacing w:val="-27"/>
          <w:sz w:val="32"/>
        </w:rPr>
        <w:t xml:space="preserve"> 号文件附件 </w:t>
      </w:r>
      <w:r>
        <w:rPr>
          <w:color w:val="auto"/>
          <w:sz w:val="32"/>
        </w:rPr>
        <w:t>3）第一条第（八）项的有关规定执行。</w:t>
      </w:r>
    </w:p>
    <w:p>
      <w:pPr>
        <w:keepNext w:val="0"/>
        <w:keepLines w:val="0"/>
        <w:pageBreakBefore w:val="0"/>
        <w:widowControl w:val="0"/>
        <w:kinsoku/>
        <w:wordWrap/>
        <w:overflowPunct/>
        <w:topLinePunct w:val="0"/>
        <w:autoSpaceDE w:val="0"/>
        <w:autoSpaceDN w:val="0"/>
        <w:bidi w:val="0"/>
        <w:adjustRightInd/>
        <w:snapToGrid/>
        <w:spacing w:before="4"/>
        <w:ind w:left="320" w:right="0" w:firstLine="0"/>
        <w:jc w:val="both"/>
        <w:textAlignment w:val="auto"/>
        <w:rPr>
          <w:rFonts w:hint="eastAsia" w:ascii="宋体" w:eastAsia="宋体"/>
          <w:b/>
          <w:color w:val="auto"/>
          <w:sz w:val="32"/>
        </w:rPr>
      </w:pPr>
      <w:r>
        <w:rPr>
          <w:rFonts w:hint="eastAsia" w:ascii="宋体" w:eastAsia="宋体"/>
          <w:b/>
          <w:color w:val="auto"/>
          <w:sz w:val="32"/>
        </w:rPr>
        <w:t>【政策依据】</w:t>
      </w:r>
    </w:p>
    <w:p>
      <w:pPr>
        <w:pStyle w:val="4"/>
        <w:keepNext w:val="0"/>
        <w:keepLines w:val="0"/>
        <w:pageBreakBefore w:val="0"/>
        <w:widowControl w:val="0"/>
        <w:kinsoku/>
        <w:wordWrap/>
        <w:overflowPunct/>
        <w:topLinePunct w:val="0"/>
        <w:autoSpaceDE w:val="0"/>
        <w:autoSpaceDN w:val="0"/>
        <w:bidi w:val="0"/>
        <w:adjustRightInd/>
        <w:snapToGrid/>
        <w:spacing w:before="235" w:line="326" w:lineRule="auto"/>
        <w:ind w:right="537"/>
        <w:jc w:val="both"/>
        <w:textAlignment w:val="auto"/>
        <w:rPr>
          <w:rFonts w:hint="eastAsia" w:ascii="黑体" w:eastAsia="黑体"/>
          <w:color w:val="auto"/>
        </w:rPr>
      </w:pPr>
      <w:r>
        <w:rPr>
          <w:rFonts w:hint="eastAsia" w:ascii="黑体" w:eastAsia="黑体"/>
          <w:color w:val="auto"/>
          <w:spacing w:val="13"/>
          <w:w w:val="95"/>
        </w:rPr>
        <w:t xml:space="preserve">《国家税务总局关于明确中外合作办学等若干增值税 </w:t>
      </w:r>
      <w:r>
        <w:rPr>
          <w:rFonts w:hint="eastAsia" w:ascii="黑体" w:eastAsia="黑体"/>
          <w:color w:val="auto"/>
          <w:spacing w:val="13"/>
        </w:rPr>
        <w:t>征管问题的公告》（2018</w:t>
      </w:r>
      <w:r>
        <w:rPr>
          <w:rFonts w:hint="eastAsia" w:ascii="黑体" w:eastAsia="黑体"/>
          <w:color w:val="auto"/>
          <w:spacing w:val="-41"/>
        </w:rPr>
        <w:t xml:space="preserve"> 年第 </w:t>
      </w:r>
      <w:r>
        <w:rPr>
          <w:rFonts w:hint="eastAsia" w:ascii="黑体" w:eastAsia="黑体"/>
          <w:color w:val="auto"/>
        </w:rPr>
        <w:t>42</w:t>
      </w:r>
      <w:r>
        <w:rPr>
          <w:rFonts w:hint="eastAsia" w:ascii="黑体" w:eastAsia="黑体"/>
          <w:color w:val="auto"/>
          <w:spacing w:val="-41"/>
        </w:rPr>
        <w:t xml:space="preserve"> 号</w:t>
      </w:r>
      <w:r>
        <w:rPr>
          <w:rFonts w:hint="eastAsia" w:ascii="黑体" w:eastAsia="黑体"/>
          <w:color w:val="auto"/>
        </w:rPr>
        <w:t>）第一条</w:t>
      </w:r>
    </w:p>
    <w:p>
      <w:pPr>
        <w:pStyle w:val="12"/>
        <w:keepNext w:val="0"/>
        <w:keepLines w:val="0"/>
        <w:pageBreakBefore w:val="0"/>
        <w:widowControl w:val="0"/>
        <w:numPr>
          <w:ilvl w:val="0"/>
          <w:numId w:val="48"/>
        </w:numPr>
        <w:tabs>
          <w:tab w:val="left" w:pos="805"/>
        </w:tabs>
        <w:kinsoku/>
        <w:wordWrap/>
        <w:overflowPunct/>
        <w:topLinePunct w:val="0"/>
        <w:autoSpaceDE w:val="0"/>
        <w:autoSpaceDN w:val="0"/>
        <w:bidi w:val="0"/>
        <w:adjustRightInd/>
        <w:snapToGrid/>
        <w:spacing w:before="0" w:after="0" w:line="240" w:lineRule="auto"/>
        <w:ind w:left="804" w:right="0" w:hanging="485"/>
        <w:jc w:val="both"/>
        <w:textAlignment w:val="auto"/>
        <w:rPr>
          <w:rFonts w:hint="eastAsia" w:ascii="宋体" w:eastAsia="宋体"/>
          <w:b/>
          <w:color w:val="auto"/>
          <w:sz w:val="32"/>
        </w:rPr>
      </w:pPr>
      <w:bookmarkStart w:id="28" w:name="_TOC_250021"/>
      <w:bookmarkEnd w:id="28"/>
      <w:r>
        <w:rPr>
          <w:rFonts w:hint="eastAsia" w:ascii="宋体" w:eastAsia="宋体"/>
          <w:b/>
          <w:color w:val="auto"/>
          <w:sz w:val="32"/>
        </w:rPr>
        <w:t>台湾航运公司从事海峡两岸海上直航业务免征增值税</w:t>
      </w:r>
    </w:p>
    <w:p>
      <w:pPr>
        <w:keepNext w:val="0"/>
        <w:keepLines w:val="0"/>
        <w:pageBreakBefore w:val="0"/>
        <w:widowControl w:val="0"/>
        <w:kinsoku/>
        <w:wordWrap/>
        <w:overflowPunct/>
        <w:topLinePunct w:val="0"/>
        <w:autoSpaceDE w:val="0"/>
        <w:autoSpaceDN w:val="0"/>
        <w:bidi w:val="0"/>
        <w:adjustRightInd/>
        <w:snapToGrid/>
        <w:spacing w:before="214"/>
        <w:ind w:left="320" w:right="0" w:firstLine="0"/>
        <w:jc w:val="both"/>
        <w:textAlignment w:val="auto"/>
        <w:rPr>
          <w:rFonts w:hint="eastAsia" w:ascii="宋体" w:eastAsia="宋体"/>
          <w:b/>
          <w:color w:val="auto"/>
          <w:sz w:val="32"/>
        </w:rPr>
      </w:pPr>
      <w:r>
        <w:rPr>
          <w:rFonts w:hint="eastAsia" w:ascii="宋体" w:eastAsia="宋体"/>
          <w:b/>
          <w:color w:val="auto"/>
          <w:sz w:val="32"/>
        </w:rPr>
        <w:t>【适用主体】</w:t>
      </w:r>
    </w:p>
    <w:p>
      <w:pPr>
        <w:pStyle w:val="4"/>
        <w:keepNext w:val="0"/>
        <w:keepLines w:val="0"/>
        <w:pageBreakBefore w:val="0"/>
        <w:widowControl w:val="0"/>
        <w:kinsoku/>
        <w:wordWrap/>
        <w:overflowPunct/>
        <w:topLinePunct w:val="0"/>
        <w:autoSpaceDE w:val="0"/>
        <w:autoSpaceDN w:val="0"/>
        <w:bidi w:val="0"/>
        <w:adjustRightInd/>
        <w:snapToGrid/>
        <w:ind w:left="960" w:firstLine="0"/>
        <w:jc w:val="both"/>
        <w:textAlignment w:val="auto"/>
        <w:rPr>
          <w:color w:val="auto"/>
        </w:rPr>
      </w:pPr>
      <w:r>
        <w:rPr>
          <w:color w:val="auto"/>
        </w:rPr>
        <w:t>台湾航运公司</w:t>
      </w:r>
    </w:p>
    <w:p>
      <w:pPr>
        <w:keepNext w:val="0"/>
        <w:keepLines w:val="0"/>
        <w:pageBreakBefore w:val="0"/>
        <w:widowControl w:val="0"/>
        <w:kinsoku/>
        <w:wordWrap/>
        <w:overflowPunct/>
        <w:topLinePunct w:val="0"/>
        <w:autoSpaceDE w:val="0"/>
        <w:autoSpaceDN w:val="0"/>
        <w:bidi w:val="0"/>
        <w:adjustRightInd/>
        <w:snapToGrid/>
        <w:spacing w:before="214"/>
        <w:ind w:left="320" w:right="0" w:firstLine="0"/>
        <w:jc w:val="both"/>
        <w:textAlignment w:val="auto"/>
        <w:rPr>
          <w:rFonts w:hint="eastAsia" w:ascii="宋体" w:eastAsia="宋体"/>
          <w:b/>
          <w:color w:val="auto"/>
          <w:sz w:val="32"/>
        </w:rPr>
      </w:pPr>
      <w:r>
        <w:rPr>
          <w:rFonts w:hint="eastAsia" w:ascii="宋体" w:eastAsia="宋体"/>
          <w:b/>
          <w:color w:val="auto"/>
          <w:sz w:val="32"/>
        </w:rPr>
        <w:t>【政策内容】</w:t>
      </w:r>
    </w:p>
    <w:p>
      <w:pPr>
        <w:pStyle w:val="4"/>
        <w:keepNext w:val="0"/>
        <w:keepLines w:val="0"/>
        <w:pageBreakBefore w:val="0"/>
        <w:widowControl w:val="0"/>
        <w:kinsoku/>
        <w:wordWrap/>
        <w:overflowPunct/>
        <w:topLinePunct w:val="0"/>
        <w:autoSpaceDE w:val="0"/>
        <w:autoSpaceDN w:val="0"/>
        <w:bidi w:val="0"/>
        <w:adjustRightInd/>
        <w:snapToGrid/>
        <w:spacing w:line="364" w:lineRule="auto"/>
        <w:ind w:right="537"/>
        <w:jc w:val="both"/>
        <w:textAlignment w:val="auto"/>
        <w:rPr>
          <w:color w:val="auto"/>
        </w:rPr>
      </w:pPr>
      <w:r>
        <w:rPr>
          <w:color w:val="auto"/>
          <w:spacing w:val="13"/>
          <w:w w:val="95"/>
        </w:rPr>
        <w:t xml:space="preserve">台湾航运公司从事海峡两岸海上直航业务在大陆取得 </w:t>
      </w:r>
      <w:r>
        <w:rPr>
          <w:color w:val="auto"/>
          <w:spacing w:val="13"/>
        </w:rPr>
        <w:t>的运输收入，免征增值税。</w:t>
      </w:r>
    </w:p>
    <w:p>
      <w:pPr>
        <w:keepNext w:val="0"/>
        <w:keepLines w:val="0"/>
        <w:pageBreakBefore w:val="0"/>
        <w:widowControl w:val="0"/>
        <w:kinsoku/>
        <w:wordWrap/>
        <w:overflowPunct/>
        <w:topLinePunct w:val="0"/>
        <w:autoSpaceDE w:val="0"/>
        <w:autoSpaceDN w:val="0"/>
        <w:bidi w:val="0"/>
        <w:adjustRightInd/>
        <w:snapToGrid/>
        <w:spacing w:before="2"/>
        <w:ind w:left="320" w:right="0" w:firstLine="0"/>
        <w:jc w:val="both"/>
        <w:textAlignment w:val="auto"/>
        <w:rPr>
          <w:rFonts w:hint="eastAsia" w:ascii="宋体" w:eastAsia="宋体"/>
          <w:b/>
          <w:color w:val="auto"/>
          <w:sz w:val="32"/>
        </w:rPr>
      </w:pPr>
      <w:r>
        <w:rPr>
          <w:rFonts w:hint="eastAsia" w:ascii="宋体" w:eastAsia="宋体"/>
          <w:b/>
          <w:color w:val="auto"/>
          <w:sz w:val="32"/>
        </w:rPr>
        <w:t>【适用条件】</w:t>
      </w:r>
    </w:p>
    <w:p>
      <w:pPr>
        <w:pStyle w:val="4"/>
        <w:keepNext w:val="0"/>
        <w:keepLines w:val="0"/>
        <w:pageBreakBefore w:val="0"/>
        <w:widowControl w:val="0"/>
        <w:kinsoku/>
        <w:wordWrap/>
        <w:overflowPunct/>
        <w:topLinePunct w:val="0"/>
        <w:autoSpaceDE w:val="0"/>
        <w:autoSpaceDN w:val="0"/>
        <w:bidi w:val="0"/>
        <w:adjustRightInd/>
        <w:snapToGrid/>
        <w:spacing w:line="364" w:lineRule="auto"/>
        <w:ind w:right="537"/>
        <w:jc w:val="both"/>
        <w:textAlignment w:val="auto"/>
        <w:rPr>
          <w:color w:val="auto"/>
        </w:rPr>
      </w:pPr>
      <w:r>
        <w:rPr>
          <w:color w:val="auto"/>
          <w:spacing w:val="-2"/>
        </w:rPr>
        <w:t>台湾航运公司，是指取得交通运输部颁发的“台湾海峡</w:t>
      </w:r>
      <w:r>
        <w:rPr>
          <w:color w:val="auto"/>
          <w:spacing w:val="-3"/>
        </w:rPr>
        <w:t>两岸间水路运输许可证”且该许可证上注明的公司登记地址在台湾的航运公司。</w:t>
      </w:r>
    </w:p>
    <w:p>
      <w:pPr>
        <w:keepNext w:val="0"/>
        <w:keepLines w:val="0"/>
        <w:pageBreakBefore w:val="0"/>
        <w:widowControl w:val="0"/>
        <w:kinsoku/>
        <w:wordWrap/>
        <w:overflowPunct/>
        <w:topLinePunct w:val="0"/>
        <w:autoSpaceDE w:val="0"/>
        <w:autoSpaceDN w:val="0"/>
        <w:bidi w:val="0"/>
        <w:adjustRightInd/>
        <w:snapToGrid/>
        <w:spacing w:before="2"/>
        <w:ind w:left="320" w:right="0" w:firstLine="0"/>
        <w:jc w:val="both"/>
        <w:textAlignment w:val="auto"/>
        <w:rPr>
          <w:rFonts w:hint="eastAsia" w:ascii="宋体" w:eastAsia="宋体"/>
          <w:b/>
          <w:color w:val="auto"/>
          <w:sz w:val="32"/>
        </w:rPr>
      </w:pPr>
      <w:r>
        <w:rPr>
          <w:rFonts w:hint="eastAsia" w:ascii="宋体" w:eastAsia="宋体"/>
          <w:b/>
          <w:color w:val="auto"/>
          <w:sz w:val="32"/>
        </w:rPr>
        <w:t>【政策依据】</w:t>
      </w:r>
    </w:p>
    <w:p>
      <w:pPr>
        <w:pStyle w:val="4"/>
        <w:keepNext w:val="0"/>
        <w:keepLines w:val="0"/>
        <w:pageBreakBefore w:val="0"/>
        <w:widowControl w:val="0"/>
        <w:kinsoku/>
        <w:wordWrap/>
        <w:overflowPunct/>
        <w:topLinePunct w:val="0"/>
        <w:autoSpaceDE w:val="0"/>
        <w:autoSpaceDN w:val="0"/>
        <w:bidi w:val="0"/>
        <w:adjustRightInd/>
        <w:snapToGrid/>
        <w:spacing w:before="233"/>
        <w:ind w:left="960" w:firstLine="0"/>
        <w:jc w:val="both"/>
        <w:textAlignment w:val="auto"/>
        <w:rPr>
          <w:rFonts w:hint="eastAsia" w:ascii="黑体" w:eastAsia="黑体"/>
          <w:color w:val="auto"/>
        </w:rPr>
      </w:pPr>
      <w:r>
        <w:rPr>
          <w:rFonts w:hint="eastAsia" w:ascii="黑体" w:eastAsia="黑体"/>
          <w:color w:val="auto"/>
        </w:rPr>
        <w:t>《财政部 国家税务总局关于全面推开营业税改征增值</w:t>
      </w:r>
    </w:p>
    <w:p>
      <w:pPr>
        <w:pStyle w:val="4"/>
        <w:keepNext w:val="0"/>
        <w:keepLines w:val="0"/>
        <w:pageBreakBefore w:val="0"/>
        <w:widowControl w:val="0"/>
        <w:kinsoku/>
        <w:wordWrap/>
        <w:overflowPunct/>
        <w:topLinePunct w:val="0"/>
        <w:autoSpaceDE w:val="0"/>
        <w:autoSpaceDN w:val="0"/>
        <w:bidi w:val="0"/>
        <w:adjustRightInd/>
        <w:snapToGrid/>
        <w:spacing w:before="32" w:line="326" w:lineRule="auto"/>
        <w:ind w:right="535" w:firstLine="0"/>
        <w:jc w:val="both"/>
        <w:textAlignment w:val="auto"/>
        <w:rPr>
          <w:rFonts w:hint="eastAsia" w:ascii="黑体" w:eastAsia="黑体"/>
          <w:color w:val="auto"/>
        </w:rPr>
      </w:pPr>
      <w:r>
        <w:rPr>
          <w:rFonts w:hint="eastAsia" w:ascii="黑体" w:eastAsia="黑体"/>
          <w:color w:val="auto"/>
          <w:spacing w:val="-1"/>
        </w:rPr>
        <w:t>税试点的通知》</w:t>
      </w:r>
      <w:r>
        <w:rPr>
          <w:rFonts w:hint="eastAsia" w:ascii="黑体" w:eastAsia="黑体"/>
          <w:color w:val="auto"/>
        </w:rPr>
        <w:t>（财税〔2016</w:t>
      </w:r>
      <w:r>
        <w:rPr>
          <w:rFonts w:hint="eastAsia" w:ascii="黑体" w:eastAsia="黑体"/>
          <w:color w:val="auto"/>
          <w:spacing w:val="-3"/>
        </w:rPr>
        <w:t>〕</w:t>
      </w:r>
      <w:r>
        <w:rPr>
          <w:rFonts w:hint="eastAsia" w:ascii="黑体" w:eastAsia="黑体"/>
          <w:color w:val="auto"/>
        </w:rPr>
        <w:t>36</w:t>
      </w:r>
      <w:r>
        <w:rPr>
          <w:rFonts w:hint="eastAsia" w:ascii="黑体" w:eastAsia="黑体"/>
          <w:color w:val="auto"/>
          <w:spacing w:val="-44"/>
        </w:rPr>
        <w:t xml:space="preserve"> 号</w:t>
      </w:r>
      <w:r>
        <w:rPr>
          <w:rFonts w:hint="eastAsia" w:ascii="黑体" w:eastAsia="黑体"/>
          <w:color w:val="auto"/>
          <w:spacing w:val="-3"/>
        </w:rPr>
        <w:t>）</w:t>
      </w:r>
      <w:r>
        <w:rPr>
          <w:rFonts w:hint="eastAsia" w:ascii="黑体" w:eastAsia="黑体"/>
          <w:color w:val="auto"/>
          <w:spacing w:val="-29"/>
        </w:rPr>
        <w:t xml:space="preserve">附件 </w:t>
      </w:r>
      <w:r>
        <w:rPr>
          <w:rFonts w:hint="eastAsia" w:ascii="黑体" w:eastAsia="黑体"/>
          <w:color w:val="auto"/>
        </w:rPr>
        <w:t>3《营业税改征增值税试点过渡政策的规定》第一条第（十七）项</w:t>
      </w:r>
    </w:p>
    <w:p>
      <w:pPr>
        <w:pStyle w:val="4"/>
        <w:keepNext w:val="0"/>
        <w:keepLines w:val="0"/>
        <w:pageBreakBefore w:val="0"/>
        <w:widowControl w:val="0"/>
        <w:kinsoku/>
        <w:wordWrap/>
        <w:overflowPunct/>
        <w:topLinePunct w:val="0"/>
        <w:autoSpaceDE w:val="0"/>
        <w:autoSpaceDN w:val="0"/>
        <w:bidi w:val="0"/>
        <w:adjustRightInd/>
        <w:snapToGrid/>
        <w:spacing w:before="4"/>
        <w:ind w:left="0" w:firstLine="0"/>
        <w:jc w:val="both"/>
        <w:textAlignment w:val="auto"/>
        <w:rPr>
          <w:rFonts w:ascii="黑体"/>
          <w:color w:val="auto"/>
          <w:sz w:val="42"/>
        </w:rPr>
      </w:pPr>
    </w:p>
    <w:p>
      <w:pPr>
        <w:pStyle w:val="12"/>
        <w:keepNext w:val="0"/>
        <w:keepLines w:val="0"/>
        <w:pageBreakBefore w:val="0"/>
        <w:widowControl w:val="0"/>
        <w:numPr>
          <w:ilvl w:val="0"/>
          <w:numId w:val="48"/>
        </w:numPr>
        <w:tabs>
          <w:tab w:val="left" w:pos="805"/>
        </w:tabs>
        <w:kinsoku/>
        <w:wordWrap/>
        <w:overflowPunct/>
        <w:topLinePunct w:val="0"/>
        <w:autoSpaceDE w:val="0"/>
        <w:autoSpaceDN w:val="0"/>
        <w:bidi w:val="0"/>
        <w:adjustRightInd/>
        <w:snapToGrid/>
        <w:spacing w:before="1" w:after="0" w:line="364" w:lineRule="auto"/>
        <w:ind w:left="320" w:right="535" w:firstLine="0"/>
        <w:jc w:val="both"/>
        <w:textAlignment w:val="auto"/>
        <w:rPr>
          <w:rFonts w:hint="eastAsia" w:ascii="宋体" w:eastAsia="宋体"/>
          <w:b/>
          <w:color w:val="auto"/>
          <w:sz w:val="32"/>
        </w:rPr>
      </w:pPr>
      <w:bookmarkStart w:id="29" w:name="_TOC_250020"/>
      <w:r>
        <w:rPr>
          <w:rFonts w:hint="eastAsia" w:ascii="宋体" w:eastAsia="宋体"/>
          <w:b/>
          <w:color w:val="auto"/>
          <w:spacing w:val="6"/>
          <w:w w:val="95"/>
          <w:sz w:val="32"/>
        </w:rPr>
        <w:t xml:space="preserve">台湾航运公司从事海峡两岸海上直航业务免征企业所得 </w:t>
      </w:r>
      <w:bookmarkEnd w:id="29"/>
      <w:r>
        <w:rPr>
          <w:rFonts w:hint="eastAsia" w:ascii="宋体" w:eastAsia="宋体"/>
          <w:b/>
          <w:color w:val="auto"/>
          <w:spacing w:val="6"/>
          <w:sz w:val="32"/>
        </w:rPr>
        <w:t>税</w:t>
      </w:r>
    </w:p>
    <w:p>
      <w:pPr>
        <w:keepNext w:val="0"/>
        <w:keepLines w:val="0"/>
        <w:pageBreakBefore w:val="0"/>
        <w:widowControl w:val="0"/>
        <w:kinsoku/>
        <w:wordWrap/>
        <w:overflowPunct/>
        <w:topLinePunct w:val="0"/>
        <w:autoSpaceDE w:val="0"/>
        <w:autoSpaceDN w:val="0"/>
        <w:bidi w:val="0"/>
        <w:adjustRightInd/>
        <w:snapToGrid/>
        <w:spacing w:before="1"/>
        <w:ind w:left="320" w:right="0" w:firstLine="0"/>
        <w:jc w:val="both"/>
        <w:textAlignment w:val="auto"/>
        <w:rPr>
          <w:rFonts w:hint="eastAsia" w:ascii="宋体" w:eastAsia="宋体"/>
          <w:b/>
          <w:color w:val="auto"/>
          <w:sz w:val="32"/>
        </w:rPr>
      </w:pPr>
      <w:r>
        <w:rPr>
          <w:rFonts w:hint="eastAsia" w:ascii="宋体" w:eastAsia="宋体"/>
          <w:b/>
          <w:color w:val="auto"/>
          <w:sz w:val="32"/>
        </w:rPr>
        <w:t>【适用主体】</w:t>
      </w:r>
    </w:p>
    <w:p>
      <w:pPr>
        <w:pStyle w:val="4"/>
        <w:keepNext w:val="0"/>
        <w:keepLines w:val="0"/>
        <w:pageBreakBefore w:val="0"/>
        <w:widowControl w:val="0"/>
        <w:kinsoku/>
        <w:wordWrap/>
        <w:overflowPunct/>
        <w:topLinePunct w:val="0"/>
        <w:autoSpaceDE w:val="0"/>
        <w:autoSpaceDN w:val="0"/>
        <w:bidi w:val="0"/>
        <w:adjustRightInd/>
        <w:snapToGrid/>
        <w:ind w:left="960" w:firstLine="0"/>
        <w:jc w:val="both"/>
        <w:textAlignment w:val="auto"/>
        <w:rPr>
          <w:color w:val="auto"/>
        </w:rPr>
      </w:pPr>
      <w:r>
        <w:rPr>
          <w:color w:val="auto"/>
        </w:rPr>
        <w:t>台湾航运公司</w:t>
      </w:r>
    </w:p>
    <w:p>
      <w:pPr>
        <w:keepNext w:val="0"/>
        <w:keepLines w:val="0"/>
        <w:pageBreakBefore w:val="0"/>
        <w:widowControl w:val="0"/>
        <w:kinsoku/>
        <w:wordWrap/>
        <w:overflowPunct/>
        <w:topLinePunct w:val="0"/>
        <w:autoSpaceDE w:val="0"/>
        <w:autoSpaceDN w:val="0"/>
        <w:bidi w:val="0"/>
        <w:adjustRightInd/>
        <w:snapToGrid/>
        <w:spacing w:before="214"/>
        <w:ind w:left="320" w:right="0" w:firstLine="0"/>
        <w:jc w:val="both"/>
        <w:textAlignment w:val="auto"/>
        <w:rPr>
          <w:rFonts w:hint="eastAsia" w:ascii="宋体" w:eastAsia="宋体"/>
          <w:b/>
          <w:color w:val="auto"/>
          <w:sz w:val="32"/>
        </w:rPr>
      </w:pPr>
      <w:r>
        <w:rPr>
          <w:rFonts w:hint="eastAsia" w:ascii="宋体" w:eastAsia="宋体"/>
          <w:b/>
          <w:color w:val="auto"/>
          <w:sz w:val="32"/>
        </w:rPr>
        <w:t>【政策内容】</w:t>
      </w:r>
    </w:p>
    <w:p>
      <w:pPr>
        <w:pStyle w:val="4"/>
        <w:keepNext w:val="0"/>
        <w:keepLines w:val="0"/>
        <w:pageBreakBefore w:val="0"/>
        <w:widowControl w:val="0"/>
        <w:kinsoku/>
        <w:wordWrap/>
        <w:overflowPunct/>
        <w:topLinePunct w:val="0"/>
        <w:autoSpaceDE w:val="0"/>
        <w:autoSpaceDN w:val="0"/>
        <w:bidi w:val="0"/>
        <w:adjustRightInd/>
        <w:snapToGrid/>
        <w:spacing w:line="364" w:lineRule="auto"/>
        <w:ind w:right="540"/>
        <w:jc w:val="both"/>
        <w:textAlignment w:val="auto"/>
        <w:rPr>
          <w:color w:val="auto"/>
        </w:rPr>
      </w:pPr>
      <w:r>
        <w:rPr>
          <w:color w:val="auto"/>
          <w:spacing w:val="-39"/>
        </w:rPr>
        <w:t xml:space="preserve">自 </w:t>
      </w:r>
      <w:r>
        <w:rPr>
          <w:color w:val="auto"/>
        </w:rPr>
        <w:t>2008</w:t>
      </w:r>
      <w:r>
        <w:rPr>
          <w:color w:val="auto"/>
          <w:spacing w:val="-50"/>
        </w:rPr>
        <w:t xml:space="preserve"> 年 </w:t>
      </w:r>
      <w:r>
        <w:rPr>
          <w:color w:val="auto"/>
        </w:rPr>
        <w:t>12</w:t>
      </w:r>
      <w:r>
        <w:rPr>
          <w:color w:val="auto"/>
          <w:spacing w:val="-52"/>
        </w:rPr>
        <w:t xml:space="preserve"> 月 </w:t>
      </w:r>
      <w:r>
        <w:rPr>
          <w:color w:val="auto"/>
        </w:rPr>
        <w:t>15</w:t>
      </w:r>
      <w:r>
        <w:rPr>
          <w:color w:val="auto"/>
          <w:spacing w:val="-1"/>
        </w:rPr>
        <w:t xml:space="preserve"> 日起，对台湾航运公司从事海峡两</w:t>
      </w:r>
      <w:r>
        <w:rPr>
          <w:color w:val="auto"/>
          <w:spacing w:val="11"/>
          <w:w w:val="95"/>
        </w:rPr>
        <w:t xml:space="preserve">岸海上直航业务取得的来源于大陆的所得，免征企业所得 </w:t>
      </w:r>
      <w:r>
        <w:rPr>
          <w:color w:val="auto"/>
          <w:spacing w:val="11"/>
        </w:rPr>
        <w:t>税。</w:t>
      </w:r>
    </w:p>
    <w:p>
      <w:pPr>
        <w:keepNext w:val="0"/>
        <w:keepLines w:val="0"/>
        <w:pageBreakBefore w:val="0"/>
        <w:widowControl w:val="0"/>
        <w:kinsoku/>
        <w:wordWrap/>
        <w:overflowPunct/>
        <w:topLinePunct w:val="0"/>
        <w:autoSpaceDE w:val="0"/>
        <w:autoSpaceDN w:val="0"/>
        <w:bidi w:val="0"/>
        <w:adjustRightInd/>
        <w:snapToGrid/>
        <w:spacing w:before="3"/>
        <w:ind w:left="320" w:right="0" w:firstLine="0"/>
        <w:jc w:val="both"/>
        <w:textAlignment w:val="auto"/>
        <w:rPr>
          <w:rFonts w:hint="eastAsia" w:ascii="宋体" w:eastAsia="宋体"/>
          <w:b/>
          <w:color w:val="auto"/>
          <w:sz w:val="32"/>
        </w:rPr>
      </w:pPr>
      <w:r>
        <w:rPr>
          <w:rFonts w:hint="eastAsia" w:ascii="宋体" w:eastAsia="宋体"/>
          <w:b/>
          <w:color w:val="auto"/>
          <w:sz w:val="32"/>
        </w:rPr>
        <w:t>【适用条件】</w:t>
      </w:r>
    </w:p>
    <w:p>
      <w:pPr>
        <w:pStyle w:val="12"/>
        <w:keepNext w:val="0"/>
        <w:keepLines w:val="0"/>
        <w:pageBreakBefore w:val="0"/>
        <w:widowControl w:val="0"/>
        <w:numPr>
          <w:ilvl w:val="1"/>
          <w:numId w:val="48"/>
        </w:numPr>
        <w:tabs>
          <w:tab w:val="left" w:pos="1283"/>
        </w:tabs>
        <w:kinsoku/>
        <w:wordWrap/>
        <w:overflowPunct/>
        <w:topLinePunct w:val="0"/>
        <w:autoSpaceDE w:val="0"/>
        <w:autoSpaceDN w:val="0"/>
        <w:bidi w:val="0"/>
        <w:adjustRightInd/>
        <w:snapToGrid/>
        <w:spacing w:before="214" w:after="0" w:line="364" w:lineRule="auto"/>
        <w:ind w:left="320" w:right="537" w:firstLine="640"/>
        <w:jc w:val="both"/>
        <w:textAlignment w:val="auto"/>
        <w:rPr>
          <w:color w:val="auto"/>
          <w:sz w:val="30"/>
        </w:rPr>
      </w:pPr>
      <w:r>
        <w:rPr>
          <w:color w:val="auto"/>
          <w:spacing w:val="-3"/>
          <w:sz w:val="32"/>
        </w:rPr>
        <w:t>台湾航运公司，是指取得交通运输部颁发的“台湾海</w:t>
      </w:r>
      <w:r>
        <w:rPr>
          <w:color w:val="auto"/>
          <w:spacing w:val="11"/>
          <w:w w:val="95"/>
          <w:sz w:val="32"/>
        </w:rPr>
        <w:t xml:space="preserve">峡两岸间水路运输许可证”且上述许可证上注明的公司登 </w:t>
      </w:r>
      <w:r>
        <w:rPr>
          <w:color w:val="auto"/>
          <w:spacing w:val="11"/>
          <w:sz w:val="32"/>
        </w:rPr>
        <w:t>记地址在台湾的航运公司。</w:t>
      </w:r>
    </w:p>
    <w:p>
      <w:pPr>
        <w:pStyle w:val="12"/>
        <w:keepNext w:val="0"/>
        <w:keepLines w:val="0"/>
        <w:pageBreakBefore w:val="0"/>
        <w:widowControl w:val="0"/>
        <w:numPr>
          <w:ilvl w:val="1"/>
          <w:numId w:val="48"/>
        </w:numPr>
        <w:tabs>
          <w:tab w:val="left" w:pos="1292"/>
        </w:tabs>
        <w:kinsoku/>
        <w:wordWrap/>
        <w:overflowPunct/>
        <w:topLinePunct w:val="0"/>
        <w:autoSpaceDE w:val="0"/>
        <w:autoSpaceDN w:val="0"/>
        <w:bidi w:val="0"/>
        <w:adjustRightInd/>
        <w:snapToGrid/>
        <w:spacing w:before="2" w:after="0" w:line="364" w:lineRule="auto"/>
        <w:ind w:left="320" w:right="540" w:firstLine="640"/>
        <w:jc w:val="both"/>
        <w:textAlignment w:val="auto"/>
        <w:rPr>
          <w:color w:val="auto"/>
          <w:sz w:val="30"/>
        </w:rPr>
      </w:pPr>
      <w:r>
        <w:rPr>
          <w:color w:val="auto"/>
          <w:spacing w:val="13"/>
          <w:w w:val="95"/>
          <w:sz w:val="32"/>
        </w:rPr>
        <w:t xml:space="preserve">享受政策的台湾航运公司应当按照企业所得税法实 </w:t>
      </w:r>
      <w:r>
        <w:rPr>
          <w:color w:val="auto"/>
          <w:sz w:val="32"/>
        </w:rPr>
        <w:t>施条例的有关规定，单独核算其从事上述业务在大陆取得的</w:t>
      </w:r>
      <w:r>
        <w:rPr>
          <w:color w:val="auto"/>
          <w:spacing w:val="-3"/>
          <w:sz w:val="32"/>
        </w:rPr>
        <w:t>收入和发生的成本、费用；未单独核算的，不得享受免征企业所得税政策。</w:t>
      </w:r>
    </w:p>
    <w:p>
      <w:pPr>
        <w:keepNext w:val="0"/>
        <w:keepLines w:val="0"/>
        <w:pageBreakBefore w:val="0"/>
        <w:widowControl w:val="0"/>
        <w:kinsoku/>
        <w:wordWrap/>
        <w:overflowPunct/>
        <w:topLinePunct w:val="0"/>
        <w:autoSpaceDE w:val="0"/>
        <w:autoSpaceDN w:val="0"/>
        <w:bidi w:val="0"/>
        <w:adjustRightInd/>
        <w:snapToGrid/>
        <w:spacing w:before="3"/>
        <w:ind w:left="320" w:right="0" w:firstLine="0"/>
        <w:jc w:val="both"/>
        <w:textAlignment w:val="auto"/>
        <w:rPr>
          <w:rFonts w:hint="eastAsia" w:ascii="宋体" w:eastAsia="宋体"/>
          <w:b/>
          <w:color w:val="auto"/>
          <w:sz w:val="32"/>
        </w:rPr>
      </w:pPr>
      <w:r>
        <w:rPr>
          <w:rFonts w:hint="eastAsia" w:ascii="宋体" w:eastAsia="宋体"/>
          <w:b/>
          <w:color w:val="auto"/>
          <w:sz w:val="32"/>
        </w:rPr>
        <w:t>【政策依据】</w:t>
      </w:r>
    </w:p>
    <w:p>
      <w:pPr>
        <w:pStyle w:val="4"/>
        <w:keepNext w:val="0"/>
        <w:keepLines w:val="0"/>
        <w:pageBreakBefore w:val="0"/>
        <w:widowControl w:val="0"/>
        <w:kinsoku/>
        <w:wordWrap/>
        <w:overflowPunct/>
        <w:topLinePunct w:val="0"/>
        <w:autoSpaceDE w:val="0"/>
        <w:autoSpaceDN w:val="0"/>
        <w:bidi w:val="0"/>
        <w:adjustRightInd/>
        <w:snapToGrid/>
        <w:spacing w:before="236" w:line="326" w:lineRule="auto"/>
        <w:ind w:right="537"/>
        <w:jc w:val="both"/>
        <w:textAlignment w:val="auto"/>
        <w:rPr>
          <w:rFonts w:hint="eastAsia" w:ascii="黑体" w:eastAsia="黑体"/>
          <w:color w:val="auto"/>
        </w:rPr>
      </w:pPr>
      <w:r>
        <w:rPr>
          <w:rFonts w:hint="eastAsia" w:ascii="黑体" w:eastAsia="黑体"/>
          <w:color w:val="auto"/>
          <w:spacing w:val="1"/>
        </w:rPr>
        <w:t>《财政部 国家税务总局关于海峡两岸海上直航营业税</w:t>
      </w:r>
      <w:r>
        <w:rPr>
          <w:rFonts w:hint="eastAsia" w:ascii="黑体" w:eastAsia="黑体"/>
          <w:color w:val="auto"/>
        </w:rPr>
        <w:t>和企业所得税政策的通知》（</w:t>
      </w:r>
      <w:r>
        <w:rPr>
          <w:rFonts w:hint="eastAsia" w:ascii="黑体" w:eastAsia="黑体"/>
          <w:color w:val="auto"/>
          <w:spacing w:val="3"/>
        </w:rPr>
        <w:t>财税〔</w:t>
      </w:r>
      <w:r>
        <w:rPr>
          <w:rFonts w:hint="eastAsia" w:ascii="黑体" w:eastAsia="黑体"/>
          <w:color w:val="auto"/>
        </w:rPr>
        <w:t>2009</w:t>
      </w:r>
      <w:r>
        <w:rPr>
          <w:rFonts w:hint="eastAsia" w:ascii="黑体" w:eastAsia="黑体"/>
          <w:color w:val="auto"/>
          <w:spacing w:val="5"/>
        </w:rPr>
        <w:t>〕</w:t>
      </w:r>
      <w:r>
        <w:rPr>
          <w:rFonts w:hint="eastAsia" w:ascii="黑体" w:eastAsia="黑体"/>
          <w:color w:val="auto"/>
        </w:rPr>
        <w:t>4</w:t>
      </w:r>
      <w:r>
        <w:rPr>
          <w:rFonts w:hint="eastAsia" w:ascii="黑体" w:eastAsia="黑体"/>
          <w:color w:val="auto"/>
          <w:spacing w:val="-40"/>
        </w:rPr>
        <w:t xml:space="preserve"> 号</w:t>
      </w:r>
      <w:r>
        <w:rPr>
          <w:rFonts w:hint="eastAsia" w:ascii="黑体" w:eastAsia="黑体"/>
          <w:color w:val="auto"/>
          <w:spacing w:val="5"/>
        </w:rPr>
        <w:t>）</w:t>
      </w:r>
      <w:r>
        <w:rPr>
          <w:rFonts w:hint="eastAsia" w:ascii="黑体" w:eastAsia="黑体"/>
          <w:color w:val="auto"/>
        </w:rPr>
        <w:t>第二条、</w:t>
      </w:r>
    </w:p>
    <w:p>
      <w:pPr>
        <w:pStyle w:val="4"/>
        <w:keepNext w:val="0"/>
        <w:keepLines w:val="0"/>
        <w:pageBreakBefore w:val="0"/>
        <w:widowControl w:val="0"/>
        <w:kinsoku/>
        <w:wordWrap/>
        <w:overflowPunct/>
        <w:topLinePunct w:val="0"/>
        <w:autoSpaceDE w:val="0"/>
        <w:autoSpaceDN w:val="0"/>
        <w:bidi w:val="0"/>
        <w:adjustRightInd/>
        <w:snapToGrid/>
        <w:spacing w:before="32"/>
        <w:ind w:firstLine="0"/>
        <w:jc w:val="both"/>
        <w:textAlignment w:val="auto"/>
        <w:rPr>
          <w:rFonts w:hint="eastAsia" w:ascii="黑体" w:eastAsia="黑体"/>
          <w:color w:val="auto"/>
        </w:rPr>
      </w:pPr>
      <w:r>
        <w:rPr>
          <w:rFonts w:hint="eastAsia" w:ascii="黑体" w:eastAsia="黑体"/>
          <w:color w:val="auto"/>
        </w:rPr>
        <w:t>第三条</w:t>
      </w:r>
    </w:p>
    <w:p>
      <w:pPr>
        <w:pStyle w:val="4"/>
        <w:keepNext w:val="0"/>
        <w:keepLines w:val="0"/>
        <w:pageBreakBefore w:val="0"/>
        <w:widowControl w:val="0"/>
        <w:kinsoku/>
        <w:wordWrap/>
        <w:overflowPunct/>
        <w:topLinePunct w:val="0"/>
        <w:autoSpaceDE w:val="0"/>
        <w:autoSpaceDN w:val="0"/>
        <w:bidi w:val="0"/>
        <w:adjustRightInd/>
        <w:snapToGrid/>
        <w:spacing w:before="0"/>
        <w:ind w:left="0" w:firstLine="0"/>
        <w:jc w:val="both"/>
        <w:textAlignment w:val="auto"/>
        <w:rPr>
          <w:rFonts w:ascii="黑体"/>
          <w:color w:val="auto"/>
        </w:rPr>
      </w:pPr>
    </w:p>
    <w:p>
      <w:pPr>
        <w:pStyle w:val="12"/>
        <w:keepNext w:val="0"/>
        <w:keepLines w:val="0"/>
        <w:pageBreakBefore w:val="0"/>
        <w:widowControl w:val="0"/>
        <w:numPr>
          <w:ilvl w:val="0"/>
          <w:numId w:val="48"/>
        </w:numPr>
        <w:tabs>
          <w:tab w:val="left" w:pos="805"/>
        </w:tabs>
        <w:kinsoku/>
        <w:wordWrap/>
        <w:overflowPunct/>
        <w:topLinePunct w:val="0"/>
        <w:autoSpaceDE w:val="0"/>
        <w:autoSpaceDN w:val="0"/>
        <w:bidi w:val="0"/>
        <w:adjustRightInd/>
        <w:snapToGrid/>
        <w:spacing w:before="279" w:after="0" w:line="240" w:lineRule="auto"/>
        <w:ind w:left="804" w:right="0" w:hanging="485"/>
        <w:jc w:val="both"/>
        <w:textAlignment w:val="auto"/>
        <w:rPr>
          <w:rFonts w:hint="eastAsia" w:ascii="宋体" w:eastAsia="宋体"/>
          <w:b/>
          <w:color w:val="auto"/>
          <w:sz w:val="32"/>
        </w:rPr>
      </w:pPr>
      <w:bookmarkStart w:id="30" w:name="_TOC_250019"/>
      <w:bookmarkEnd w:id="30"/>
      <w:r>
        <w:rPr>
          <w:rFonts w:hint="eastAsia" w:ascii="宋体" w:eastAsia="宋体"/>
          <w:b/>
          <w:color w:val="auto"/>
          <w:sz w:val="32"/>
        </w:rPr>
        <w:t>台湾航空公司从事海峡两岸空中直航业务免征增值税</w:t>
      </w:r>
    </w:p>
    <w:p>
      <w:pPr>
        <w:keepNext w:val="0"/>
        <w:keepLines w:val="0"/>
        <w:pageBreakBefore w:val="0"/>
        <w:widowControl w:val="0"/>
        <w:kinsoku/>
        <w:wordWrap/>
        <w:overflowPunct/>
        <w:topLinePunct w:val="0"/>
        <w:autoSpaceDE w:val="0"/>
        <w:autoSpaceDN w:val="0"/>
        <w:bidi w:val="0"/>
        <w:adjustRightInd/>
        <w:snapToGrid/>
        <w:spacing w:before="214"/>
        <w:ind w:left="320" w:right="0" w:firstLine="0"/>
        <w:jc w:val="both"/>
        <w:textAlignment w:val="auto"/>
        <w:rPr>
          <w:rFonts w:hint="eastAsia" w:ascii="宋体" w:eastAsia="宋体"/>
          <w:b/>
          <w:color w:val="auto"/>
          <w:sz w:val="32"/>
        </w:rPr>
      </w:pPr>
      <w:r>
        <w:rPr>
          <w:rFonts w:hint="eastAsia" w:ascii="宋体" w:eastAsia="宋体"/>
          <w:b/>
          <w:color w:val="auto"/>
          <w:sz w:val="32"/>
        </w:rPr>
        <w:t>【适用主体】</w:t>
      </w:r>
    </w:p>
    <w:p>
      <w:pPr>
        <w:pStyle w:val="4"/>
        <w:keepNext w:val="0"/>
        <w:keepLines w:val="0"/>
        <w:pageBreakBefore w:val="0"/>
        <w:widowControl w:val="0"/>
        <w:kinsoku/>
        <w:wordWrap/>
        <w:overflowPunct/>
        <w:topLinePunct w:val="0"/>
        <w:autoSpaceDE w:val="0"/>
        <w:autoSpaceDN w:val="0"/>
        <w:bidi w:val="0"/>
        <w:adjustRightInd/>
        <w:snapToGrid/>
        <w:ind w:left="960" w:firstLine="0"/>
        <w:jc w:val="both"/>
        <w:textAlignment w:val="auto"/>
        <w:rPr>
          <w:color w:val="auto"/>
        </w:rPr>
      </w:pPr>
      <w:r>
        <w:rPr>
          <w:color w:val="auto"/>
        </w:rPr>
        <w:t>台湾航空公司</w:t>
      </w:r>
    </w:p>
    <w:p>
      <w:pPr>
        <w:keepNext w:val="0"/>
        <w:keepLines w:val="0"/>
        <w:pageBreakBefore w:val="0"/>
        <w:widowControl w:val="0"/>
        <w:kinsoku/>
        <w:wordWrap/>
        <w:overflowPunct/>
        <w:topLinePunct w:val="0"/>
        <w:autoSpaceDE w:val="0"/>
        <w:autoSpaceDN w:val="0"/>
        <w:bidi w:val="0"/>
        <w:adjustRightInd/>
        <w:snapToGrid/>
        <w:spacing w:before="214"/>
        <w:ind w:left="320" w:right="0" w:firstLine="0"/>
        <w:jc w:val="both"/>
        <w:textAlignment w:val="auto"/>
        <w:rPr>
          <w:rFonts w:hint="eastAsia" w:ascii="宋体" w:eastAsia="宋体"/>
          <w:b/>
          <w:color w:val="auto"/>
          <w:sz w:val="32"/>
        </w:rPr>
      </w:pPr>
      <w:r>
        <w:rPr>
          <w:rFonts w:hint="eastAsia" w:ascii="宋体" w:eastAsia="宋体"/>
          <w:b/>
          <w:color w:val="auto"/>
          <w:sz w:val="32"/>
        </w:rPr>
        <w:t>【政策内容】</w:t>
      </w:r>
    </w:p>
    <w:p>
      <w:pPr>
        <w:pStyle w:val="4"/>
        <w:keepNext w:val="0"/>
        <w:keepLines w:val="0"/>
        <w:pageBreakBefore w:val="0"/>
        <w:widowControl w:val="0"/>
        <w:kinsoku/>
        <w:wordWrap/>
        <w:overflowPunct/>
        <w:topLinePunct w:val="0"/>
        <w:autoSpaceDE w:val="0"/>
        <w:autoSpaceDN w:val="0"/>
        <w:bidi w:val="0"/>
        <w:adjustRightInd/>
        <w:snapToGrid/>
        <w:spacing w:line="364" w:lineRule="auto"/>
        <w:ind w:right="540"/>
        <w:jc w:val="both"/>
        <w:textAlignment w:val="auto"/>
        <w:rPr>
          <w:color w:val="auto"/>
        </w:rPr>
      </w:pPr>
      <w:r>
        <w:rPr>
          <w:color w:val="auto"/>
          <w:spacing w:val="13"/>
          <w:w w:val="95"/>
        </w:rPr>
        <w:t xml:space="preserve">台湾航空公司从事海峡两岸空中直航业务在大陆取得 </w:t>
      </w:r>
      <w:r>
        <w:rPr>
          <w:color w:val="auto"/>
          <w:spacing w:val="13"/>
        </w:rPr>
        <w:t>的运输收入，免征增值税。</w:t>
      </w:r>
    </w:p>
    <w:p>
      <w:pPr>
        <w:keepNext w:val="0"/>
        <w:keepLines w:val="0"/>
        <w:pageBreakBefore w:val="0"/>
        <w:widowControl w:val="0"/>
        <w:kinsoku/>
        <w:wordWrap/>
        <w:overflowPunct/>
        <w:topLinePunct w:val="0"/>
        <w:autoSpaceDE w:val="0"/>
        <w:autoSpaceDN w:val="0"/>
        <w:bidi w:val="0"/>
        <w:adjustRightInd/>
        <w:snapToGrid/>
        <w:spacing w:before="1"/>
        <w:ind w:left="320" w:right="0" w:firstLine="0"/>
        <w:jc w:val="both"/>
        <w:textAlignment w:val="auto"/>
        <w:rPr>
          <w:rFonts w:hint="eastAsia" w:ascii="宋体" w:eastAsia="宋体"/>
          <w:b/>
          <w:color w:val="auto"/>
          <w:sz w:val="32"/>
        </w:rPr>
      </w:pPr>
      <w:r>
        <w:rPr>
          <w:rFonts w:hint="eastAsia" w:ascii="宋体" w:eastAsia="宋体"/>
          <w:b/>
          <w:color w:val="auto"/>
          <w:sz w:val="32"/>
        </w:rPr>
        <w:t>【适用条件】</w:t>
      </w:r>
    </w:p>
    <w:p>
      <w:pPr>
        <w:pStyle w:val="4"/>
        <w:keepNext w:val="0"/>
        <w:keepLines w:val="0"/>
        <w:pageBreakBefore w:val="0"/>
        <w:widowControl w:val="0"/>
        <w:kinsoku/>
        <w:wordWrap/>
        <w:overflowPunct/>
        <w:topLinePunct w:val="0"/>
        <w:autoSpaceDE w:val="0"/>
        <w:autoSpaceDN w:val="0"/>
        <w:bidi w:val="0"/>
        <w:adjustRightInd/>
        <w:snapToGrid/>
        <w:spacing w:line="364" w:lineRule="auto"/>
        <w:ind w:right="537"/>
        <w:jc w:val="both"/>
        <w:textAlignment w:val="auto"/>
        <w:rPr>
          <w:color w:val="auto"/>
        </w:rPr>
      </w:pPr>
      <w:r>
        <w:rPr>
          <w:color w:val="auto"/>
          <w:spacing w:val="-2"/>
          <w:w w:val="95"/>
        </w:rPr>
        <w:t xml:space="preserve">台湾航空公司，是指取得中国民用航空局颁发的“经营 </w:t>
      </w:r>
      <w:r>
        <w:rPr>
          <w:color w:val="auto"/>
          <w:spacing w:val="-4"/>
          <w:w w:val="95"/>
        </w:rPr>
        <w:t>许可”或者依据《海峡两岸空运协议》和《海峡两岸空运补 充协议》规定，批准经营两岸旅客、货物和邮件不定期</w:t>
      </w:r>
      <w:r>
        <w:rPr>
          <w:color w:val="auto"/>
          <w:w w:val="95"/>
        </w:rPr>
        <w:t xml:space="preserve">（包 </w:t>
      </w:r>
      <w:r>
        <w:rPr>
          <w:color w:val="auto"/>
        </w:rPr>
        <w:t>机）运输业务，且公司登记地址在台湾的航空公司。</w:t>
      </w:r>
    </w:p>
    <w:p>
      <w:pPr>
        <w:keepNext w:val="0"/>
        <w:keepLines w:val="0"/>
        <w:pageBreakBefore w:val="0"/>
        <w:widowControl w:val="0"/>
        <w:kinsoku/>
        <w:wordWrap/>
        <w:overflowPunct/>
        <w:topLinePunct w:val="0"/>
        <w:autoSpaceDE w:val="0"/>
        <w:autoSpaceDN w:val="0"/>
        <w:bidi w:val="0"/>
        <w:adjustRightInd/>
        <w:snapToGrid/>
        <w:spacing w:before="3"/>
        <w:ind w:left="320" w:right="0" w:firstLine="0"/>
        <w:jc w:val="both"/>
        <w:textAlignment w:val="auto"/>
        <w:rPr>
          <w:rFonts w:hint="eastAsia" w:ascii="宋体" w:eastAsia="宋体"/>
          <w:b/>
          <w:color w:val="auto"/>
          <w:sz w:val="32"/>
        </w:rPr>
      </w:pPr>
      <w:r>
        <w:rPr>
          <w:rFonts w:hint="eastAsia" w:ascii="宋体" w:eastAsia="宋体"/>
          <w:b/>
          <w:color w:val="auto"/>
          <w:sz w:val="32"/>
        </w:rPr>
        <w:t>【政策依据】</w:t>
      </w:r>
    </w:p>
    <w:p>
      <w:pPr>
        <w:pStyle w:val="4"/>
        <w:keepNext w:val="0"/>
        <w:keepLines w:val="0"/>
        <w:pageBreakBefore w:val="0"/>
        <w:widowControl w:val="0"/>
        <w:kinsoku/>
        <w:wordWrap/>
        <w:overflowPunct/>
        <w:topLinePunct w:val="0"/>
        <w:autoSpaceDE w:val="0"/>
        <w:autoSpaceDN w:val="0"/>
        <w:bidi w:val="0"/>
        <w:adjustRightInd/>
        <w:snapToGrid/>
        <w:spacing w:before="234" w:line="328" w:lineRule="auto"/>
        <w:ind w:right="535"/>
        <w:jc w:val="both"/>
        <w:textAlignment w:val="auto"/>
        <w:rPr>
          <w:rFonts w:hint="eastAsia" w:ascii="黑体" w:eastAsia="黑体"/>
          <w:color w:val="auto"/>
        </w:rPr>
      </w:pPr>
      <w:r>
        <w:rPr>
          <w:rFonts w:hint="eastAsia" w:ascii="黑体" w:eastAsia="黑体"/>
          <w:color w:val="auto"/>
          <w:spacing w:val="1"/>
        </w:rPr>
        <w:t>《财政部 国家税务总局关于全面推开营业税改征增值</w:t>
      </w:r>
      <w:r>
        <w:rPr>
          <w:rFonts w:hint="eastAsia" w:ascii="黑体" w:eastAsia="黑体"/>
          <w:color w:val="auto"/>
        </w:rPr>
        <w:t>税试点的通知》（财税〔2016</w:t>
      </w:r>
      <w:r>
        <w:rPr>
          <w:rFonts w:hint="eastAsia" w:ascii="黑体" w:eastAsia="黑体"/>
          <w:color w:val="auto"/>
          <w:spacing w:val="-3"/>
        </w:rPr>
        <w:t>〕</w:t>
      </w:r>
      <w:r>
        <w:rPr>
          <w:rFonts w:hint="eastAsia" w:ascii="黑体" w:eastAsia="黑体"/>
          <w:color w:val="auto"/>
        </w:rPr>
        <w:t>36</w:t>
      </w:r>
      <w:r>
        <w:rPr>
          <w:rFonts w:hint="eastAsia" w:ascii="黑体" w:eastAsia="黑体"/>
          <w:color w:val="auto"/>
          <w:spacing w:val="-44"/>
        </w:rPr>
        <w:t xml:space="preserve"> 号</w:t>
      </w:r>
      <w:r>
        <w:rPr>
          <w:rFonts w:hint="eastAsia" w:ascii="黑体" w:eastAsia="黑体"/>
          <w:color w:val="auto"/>
          <w:spacing w:val="-3"/>
        </w:rPr>
        <w:t>）</w:t>
      </w:r>
      <w:r>
        <w:rPr>
          <w:rFonts w:hint="eastAsia" w:ascii="黑体" w:eastAsia="黑体"/>
          <w:color w:val="auto"/>
          <w:spacing w:val="-29"/>
        </w:rPr>
        <w:t xml:space="preserve">附件 </w:t>
      </w:r>
      <w:r>
        <w:rPr>
          <w:rFonts w:hint="eastAsia" w:ascii="黑体" w:eastAsia="黑体"/>
          <w:color w:val="auto"/>
        </w:rPr>
        <w:t>3《营业税改征增值税试点过渡政策的规定》第一条第（十七）项</w:t>
      </w:r>
    </w:p>
    <w:p>
      <w:pPr>
        <w:pStyle w:val="4"/>
        <w:keepNext w:val="0"/>
        <w:keepLines w:val="0"/>
        <w:pageBreakBefore w:val="0"/>
        <w:widowControl w:val="0"/>
        <w:kinsoku/>
        <w:wordWrap/>
        <w:overflowPunct/>
        <w:topLinePunct w:val="0"/>
        <w:autoSpaceDE w:val="0"/>
        <w:autoSpaceDN w:val="0"/>
        <w:bidi w:val="0"/>
        <w:adjustRightInd/>
        <w:snapToGrid/>
        <w:spacing w:before="9"/>
        <w:ind w:left="0" w:firstLine="0"/>
        <w:jc w:val="both"/>
        <w:textAlignment w:val="auto"/>
        <w:rPr>
          <w:rFonts w:ascii="黑体"/>
          <w:color w:val="auto"/>
          <w:sz w:val="41"/>
        </w:rPr>
      </w:pPr>
    </w:p>
    <w:p>
      <w:pPr>
        <w:pStyle w:val="12"/>
        <w:keepNext w:val="0"/>
        <w:keepLines w:val="0"/>
        <w:pageBreakBefore w:val="0"/>
        <w:widowControl w:val="0"/>
        <w:numPr>
          <w:ilvl w:val="0"/>
          <w:numId w:val="48"/>
        </w:numPr>
        <w:tabs>
          <w:tab w:val="left" w:pos="805"/>
        </w:tabs>
        <w:kinsoku/>
        <w:wordWrap/>
        <w:overflowPunct/>
        <w:topLinePunct w:val="0"/>
        <w:autoSpaceDE w:val="0"/>
        <w:autoSpaceDN w:val="0"/>
        <w:bidi w:val="0"/>
        <w:adjustRightInd/>
        <w:snapToGrid/>
        <w:spacing w:before="0" w:after="0" w:line="364" w:lineRule="auto"/>
        <w:ind w:left="320" w:right="535" w:firstLine="0"/>
        <w:jc w:val="both"/>
        <w:textAlignment w:val="auto"/>
        <w:rPr>
          <w:rFonts w:hint="eastAsia" w:ascii="宋体" w:eastAsia="宋体"/>
          <w:b/>
          <w:color w:val="auto"/>
          <w:sz w:val="32"/>
        </w:rPr>
      </w:pPr>
      <w:bookmarkStart w:id="31" w:name="_TOC_250018"/>
      <w:r>
        <w:rPr>
          <w:rFonts w:hint="eastAsia" w:ascii="宋体" w:eastAsia="宋体"/>
          <w:b/>
          <w:color w:val="auto"/>
          <w:spacing w:val="6"/>
          <w:w w:val="95"/>
          <w:sz w:val="32"/>
        </w:rPr>
        <w:t xml:space="preserve">台湾航空公司从事海峡两岸空中直航业务免征企业所得 </w:t>
      </w:r>
      <w:bookmarkEnd w:id="31"/>
      <w:r>
        <w:rPr>
          <w:rFonts w:hint="eastAsia" w:ascii="宋体" w:eastAsia="宋体"/>
          <w:b/>
          <w:color w:val="auto"/>
          <w:spacing w:val="6"/>
          <w:sz w:val="32"/>
        </w:rPr>
        <w:t>税</w:t>
      </w:r>
    </w:p>
    <w:p>
      <w:pPr>
        <w:keepNext w:val="0"/>
        <w:keepLines w:val="0"/>
        <w:pageBreakBefore w:val="0"/>
        <w:widowControl w:val="0"/>
        <w:kinsoku/>
        <w:wordWrap/>
        <w:overflowPunct/>
        <w:topLinePunct w:val="0"/>
        <w:autoSpaceDE w:val="0"/>
        <w:autoSpaceDN w:val="0"/>
        <w:bidi w:val="0"/>
        <w:adjustRightInd/>
        <w:snapToGrid/>
        <w:spacing w:before="2"/>
        <w:ind w:left="320" w:right="0" w:firstLine="0"/>
        <w:jc w:val="both"/>
        <w:textAlignment w:val="auto"/>
        <w:rPr>
          <w:rFonts w:hint="eastAsia" w:ascii="宋体" w:eastAsia="宋体"/>
          <w:b/>
          <w:color w:val="auto"/>
          <w:sz w:val="32"/>
        </w:rPr>
      </w:pPr>
      <w:r>
        <w:rPr>
          <w:rFonts w:hint="eastAsia" w:ascii="宋体" w:eastAsia="宋体"/>
          <w:b/>
          <w:color w:val="auto"/>
          <w:sz w:val="32"/>
        </w:rPr>
        <w:t>【适用主体】</w:t>
      </w:r>
    </w:p>
    <w:p>
      <w:pPr>
        <w:pStyle w:val="4"/>
        <w:keepNext w:val="0"/>
        <w:keepLines w:val="0"/>
        <w:pageBreakBefore w:val="0"/>
        <w:widowControl w:val="0"/>
        <w:kinsoku/>
        <w:wordWrap/>
        <w:overflowPunct/>
        <w:topLinePunct w:val="0"/>
        <w:autoSpaceDE w:val="0"/>
        <w:autoSpaceDN w:val="0"/>
        <w:bidi w:val="0"/>
        <w:adjustRightInd/>
        <w:snapToGrid/>
        <w:ind w:left="960" w:firstLine="0"/>
        <w:jc w:val="both"/>
        <w:textAlignment w:val="auto"/>
        <w:rPr>
          <w:color w:val="auto"/>
        </w:rPr>
      </w:pPr>
      <w:r>
        <w:rPr>
          <w:color w:val="auto"/>
        </w:rPr>
        <w:t>台湾航空公司</w:t>
      </w:r>
    </w:p>
    <w:p>
      <w:pPr>
        <w:keepNext w:val="0"/>
        <w:keepLines w:val="0"/>
        <w:pageBreakBefore w:val="0"/>
        <w:widowControl w:val="0"/>
        <w:kinsoku/>
        <w:wordWrap/>
        <w:overflowPunct/>
        <w:topLinePunct w:val="0"/>
        <w:autoSpaceDE w:val="0"/>
        <w:autoSpaceDN w:val="0"/>
        <w:bidi w:val="0"/>
        <w:adjustRightInd/>
        <w:snapToGrid/>
        <w:spacing w:before="214"/>
        <w:ind w:left="320" w:right="0" w:firstLine="0"/>
        <w:jc w:val="both"/>
        <w:textAlignment w:val="auto"/>
        <w:rPr>
          <w:rFonts w:hint="eastAsia" w:ascii="宋体" w:eastAsia="宋体"/>
          <w:b/>
          <w:color w:val="auto"/>
          <w:sz w:val="32"/>
        </w:rPr>
      </w:pPr>
      <w:r>
        <w:rPr>
          <w:rFonts w:hint="eastAsia" w:ascii="宋体" w:eastAsia="宋体"/>
          <w:b/>
          <w:color w:val="auto"/>
          <w:sz w:val="32"/>
        </w:rPr>
        <w:t>【政策内容】</w:t>
      </w:r>
    </w:p>
    <w:p>
      <w:pPr>
        <w:pStyle w:val="4"/>
        <w:keepNext w:val="0"/>
        <w:keepLines w:val="0"/>
        <w:pageBreakBefore w:val="0"/>
        <w:widowControl w:val="0"/>
        <w:kinsoku/>
        <w:wordWrap/>
        <w:overflowPunct/>
        <w:topLinePunct w:val="0"/>
        <w:autoSpaceDE w:val="0"/>
        <w:autoSpaceDN w:val="0"/>
        <w:bidi w:val="0"/>
        <w:adjustRightInd/>
        <w:snapToGrid/>
        <w:spacing w:before="30" w:line="364" w:lineRule="auto"/>
        <w:ind w:right="525"/>
        <w:jc w:val="both"/>
        <w:textAlignment w:val="auto"/>
        <w:rPr>
          <w:color w:val="auto"/>
        </w:rPr>
      </w:pPr>
      <w:r>
        <w:rPr>
          <w:color w:val="auto"/>
          <w:spacing w:val="-42"/>
        </w:rPr>
        <w:t xml:space="preserve">自 </w:t>
      </w:r>
      <w:r>
        <w:rPr>
          <w:color w:val="auto"/>
        </w:rPr>
        <w:t>2009</w:t>
      </w:r>
      <w:r>
        <w:rPr>
          <w:color w:val="auto"/>
          <w:spacing w:val="-55"/>
        </w:rPr>
        <w:t xml:space="preserve"> 年 </w:t>
      </w:r>
      <w:r>
        <w:rPr>
          <w:color w:val="auto"/>
        </w:rPr>
        <w:t>6</w:t>
      </w:r>
      <w:r>
        <w:rPr>
          <w:color w:val="auto"/>
          <w:spacing w:val="-54"/>
        </w:rPr>
        <w:t xml:space="preserve"> 月 </w:t>
      </w:r>
      <w:r>
        <w:rPr>
          <w:color w:val="auto"/>
        </w:rPr>
        <w:t>25</w:t>
      </w:r>
      <w:r>
        <w:rPr>
          <w:color w:val="auto"/>
          <w:spacing w:val="-11"/>
        </w:rPr>
        <w:t xml:space="preserve"> 日起，对台湾航空公司从事海峡两岸空中直航业务取得的来源于大陆的所得，免征企业所得税。</w:t>
      </w:r>
    </w:p>
    <w:p>
      <w:pPr>
        <w:keepNext w:val="0"/>
        <w:keepLines w:val="0"/>
        <w:pageBreakBefore w:val="0"/>
        <w:widowControl w:val="0"/>
        <w:kinsoku/>
        <w:wordWrap/>
        <w:overflowPunct/>
        <w:topLinePunct w:val="0"/>
        <w:autoSpaceDE w:val="0"/>
        <w:autoSpaceDN w:val="0"/>
        <w:bidi w:val="0"/>
        <w:adjustRightInd/>
        <w:snapToGrid/>
        <w:spacing w:before="1"/>
        <w:ind w:left="320" w:right="0" w:firstLine="0"/>
        <w:jc w:val="both"/>
        <w:textAlignment w:val="auto"/>
        <w:rPr>
          <w:rFonts w:hint="eastAsia" w:ascii="宋体" w:eastAsia="宋体"/>
          <w:b/>
          <w:color w:val="auto"/>
          <w:sz w:val="32"/>
        </w:rPr>
      </w:pPr>
      <w:r>
        <w:rPr>
          <w:rFonts w:hint="eastAsia" w:ascii="宋体" w:eastAsia="宋体"/>
          <w:b/>
          <w:color w:val="auto"/>
          <w:sz w:val="32"/>
        </w:rPr>
        <w:t>【适用条件】</w:t>
      </w:r>
    </w:p>
    <w:p>
      <w:pPr>
        <w:pStyle w:val="12"/>
        <w:keepNext w:val="0"/>
        <w:keepLines w:val="0"/>
        <w:pageBreakBefore w:val="0"/>
        <w:widowControl w:val="0"/>
        <w:numPr>
          <w:ilvl w:val="1"/>
          <w:numId w:val="48"/>
        </w:numPr>
        <w:tabs>
          <w:tab w:val="left" w:pos="1283"/>
        </w:tabs>
        <w:kinsoku/>
        <w:wordWrap/>
        <w:overflowPunct/>
        <w:topLinePunct w:val="0"/>
        <w:autoSpaceDE w:val="0"/>
        <w:autoSpaceDN w:val="0"/>
        <w:bidi w:val="0"/>
        <w:adjustRightInd/>
        <w:snapToGrid/>
        <w:spacing w:before="214" w:after="0" w:line="364" w:lineRule="auto"/>
        <w:ind w:left="320" w:right="537" w:firstLine="640"/>
        <w:jc w:val="both"/>
        <w:textAlignment w:val="auto"/>
        <w:rPr>
          <w:color w:val="auto"/>
          <w:sz w:val="30"/>
        </w:rPr>
      </w:pPr>
      <w:r>
        <w:rPr>
          <w:color w:val="auto"/>
          <w:spacing w:val="-3"/>
          <w:sz w:val="32"/>
        </w:rPr>
        <w:t>台湾航空公司，是指取得中国民用航空局颁发的“经</w:t>
      </w:r>
      <w:r>
        <w:rPr>
          <w:color w:val="auto"/>
          <w:spacing w:val="-3"/>
          <w:w w:val="95"/>
          <w:sz w:val="32"/>
        </w:rPr>
        <w:t>营许可”或依据《海峡两岸空运协议》和《海峡两岸空运补 充协议》规定，批准经营两岸旅客、货物和邮件不定期</w:t>
      </w:r>
      <w:r>
        <w:rPr>
          <w:color w:val="auto"/>
          <w:w w:val="95"/>
          <w:sz w:val="32"/>
        </w:rPr>
        <w:t xml:space="preserve">（包 </w:t>
      </w:r>
      <w:r>
        <w:rPr>
          <w:color w:val="auto"/>
          <w:sz w:val="32"/>
        </w:rPr>
        <w:t>机）运输业务，且公司登记地址在台湾的航空公司。</w:t>
      </w:r>
    </w:p>
    <w:p>
      <w:pPr>
        <w:pStyle w:val="12"/>
        <w:keepNext w:val="0"/>
        <w:keepLines w:val="0"/>
        <w:pageBreakBefore w:val="0"/>
        <w:widowControl w:val="0"/>
        <w:numPr>
          <w:ilvl w:val="1"/>
          <w:numId w:val="48"/>
        </w:numPr>
        <w:tabs>
          <w:tab w:val="left" w:pos="1292"/>
        </w:tabs>
        <w:kinsoku/>
        <w:wordWrap/>
        <w:overflowPunct/>
        <w:topLinePunct w:val="0"/>
        <w:autoSpaceDE w:val="0"/>
        <w:autoSpaceDN w:val="0"/>
        <w:bidi w:val="0"/>
        <w:adjustRightInd/>
        <w:snapToGrid/>
        <w:spacing w:before="4" w:after="0" w:line="364" w:lineRule="auto"/>
        <w:ind w:left="320" w:right="540" w:firstLine="640"/>
        <w:jc w:val="both"/>
        <w:textAlignment w:val="auto"/>
        <w:rPr>
          <w:color w:val="auto"/>
          <w:sz w:val="30"/>
        </w:rPr>
      </w:pPr>
      <w:r>
        <w:rPr>
          <w:color w:val="auto"/>
          <w:spacing w:val="13"/>
          <w:w w:val="95"/>
          <w:sz w:val="32"/>
        </w:rPr>
        <w:t xml:space="preserve">享受政策的台湾航空公司应当按照企业所得税法实 </w:t>
      </w:r>
      <w:r>
        <w:rPr>
          <w:color w:val="auto"/>
          <w:sz w:val="32"/>
        </w:rPr>
        <w:t>施条例的有关规定，单独核算其从事上述业务在大陆取得的</w:t>
      </w:r>
      <w:r>
        <w:rPr>
          <w:color w:val="auto"/>
          <w:spacing w:val="-3"/>
          <w:sz w:val="32"/>
        </w:rPr>
        <w:t>收入和发生的成本、费用；未单独核算的，不得享受免征企业所得税政策。</w:t>
      </w:r>
    </w:p>
    <w:p>
      <w:pPr>
        <w:keepNext w:val="0"/>
        <w:keepLines w:val="0"/>
        <w:pageBreakBefore w:val="0"/>
        <w:widowControl w:val="0"/>
        <w:kinsoku/>
        <w:wordWrap/>
        <w:overflowPunct/>
        <w:topLinePunct w:val="0"/>
        <w:autoSpaceDE w:val="0"/>
        <w:autoSpaceDN w:val="0"/>
        <w:bidi w:val="0"/>
        <w:adjustRightInd/>
        <w:snapToGrid/>
        <w:spacing w:before="3"/>
        <w:ind w:left="320" w:right="0" w:firstLine="0"/>
        <w:jc w:val="both"/>
        <w:textAlignment w:val="auto"/>
        <w:rPr>
          <w:rFonts w:hint="eastAsia" w:ascii="宋体" w:eastAsia="宋体"/>
          <w:b/>
          <w:color w:val="auto"/>
          <w:sz w:val="32"/>
        </w:rPr>
      </w:pPr>
      <w:r>
        <w:rPr>
          <w:rFonts w:hint="eastAsia" w:ascii="宋体" w:eastAsia="宋体"/>
          <w:b/>
          <w:color w:val="auto"/>
          <w:sz w:val="32"/>
        </w:rPr>
        <w:t>【政策依据】</w:t>
      </w:r>
    </w:p>
    <w:p>
      <w:pPr>
        <w:pStyle w:val="4"/>
        <w:keepNext w:val="0"/>
        <w:keepLines w:val="0"/>
        <w:pageBreakBefore w:val="0"/>
        <w:widowControl w:val="0"/>
        <w:kinsoku/>
        <w:wordWrap/>
        <w:overflowPunct/>
        <w:topLinePunct w:val="0"/>
        <w:autoSpaceDE w:val="0"/>
        <w:autoSpaceDN w:val="0"/>
        <w:bidi w:val="0"/>
        <w:adjustRightInd/>
        <w:snapToGrid/>
        <w:spacing w:line="364" w:lineRule="auto"/>
        <w:ind w:right="444"/>
        <w:jc w:val="both"/>
        <w:textAlignment w:val="auto"/>
        <w:rPr>
          <w:rFonts w:hint="eastAsia" w:ascii="黑体" w:eastAsia="黑体"/>
          <w:color w:val="auto"/>
        </w:rPr>
      </w:pPr>
      <w:r>
        <w:rPr>
          <w:rFonts w:hint="eastAsia" w:ascii="黑体" w:eastAsia="黑体"/>
          <w:color w:val="auto"/>
          <w:spacing w:val="-1"/>
        </w:rPr>
        <w:t>《财政部 国家税务总局关于海峡两岸空中直航营业税和企业所得税政策的通知》（财税〔2010〕63</w:t>
      </w:r>
      <w:r>
        <w:rPr>
          <w:rFonts w:hint="eastAsia" w:ascii="黑体" w:eastAsia="黑体"/>
          <w:color w:val="auto"/>
          <w:spacing w:val="-45"/>
        </w:rPr>
        <w:t xml:space="preserve"> 号</w:t>
      </w:r>
      <w:r>
        <w:rPr>
          <w:rFonts w:hint="eastAsia" w:ascii="黑体" w:eastAsia="黑体"/>
          <w:color w:val="auto"/>
        </w:rPr>
        <w:t>）第二条、第三条</w:t>
      </w:r>
    </w:p>
    <w:p>
      <w:pPr>
        <w:pStyle w:val="4"/>
        <w:keepNext w:val="0"/>
        <w:keepLines w:val="0"/>
        <w:pageBreakBefore w:val="0"/>
        <w:widowControl w:val="0"/>
        <w:kinsoku/>
        <w:wordWrap/>
        <w:overflowPunct/>
        <w:topLinePunct w:val="0"/>
        <w:autoSpaceDE w:val="0"/>
        <w:autoSpaceDN w:val="0"/>
        <w:bidi w:val="0"/>
        <w:adjustRightInd/>
        <w:snapToGrid/>
        <w:spacing w:before="9"/>
        <w:ind w:left="0" w:firstLine="0"/>
        <w:jc w:val="both"/>
        <w:textAlignment w:val="auto"/>
        <w:rPr>
          <w:rFonts w:ascii="黑体"/>
          <w:color w:val="auto"/>
          <w:sz w:val="46"/>
        </w:rPr>
      </w:pPr>
    </w:p>
    <w:p>
      <w:pPr>
        <w:keepNext w:val="0"/>
        <w:keepLines w:val="0"/>
        <w:pageBreakBefore w:val="0"/>
        <w:widowControl w:val="0"/>
        <w:kinsoku/>
        <w:wordWrap/>
        <w:overflowPunct/>
        <w:topLinePunct w:val="0"/>
        <w:autoSpaceDE w:val="0"/>
        <w:autoSpaceDN w:val="0"/>
        <w:bidi w:val="0"/>
        <w:adjustRightInd/>
        <w:snapToGrid/>
        <w:spacing w:before="0"/>
        <w:ind w:left="320" w:right="0" w:firstLine="0"/>
        <w:jc w:val="both"/>
        <w:textAlignment w:val="auto"/>
        <w:rPr>
          <w:rFonts w:hint="eastAsia" w:ascii="楷体_GB2312" w:eastAsia="楷体_GB2312"/>
          <w:b/>
          <w:color w:val="auto"/>
          <w:sz w:val="36"/>
        </w:rPr>
      </w:pPr>
      <w:bookmarkStart w:id="32" w:name="_TOC_250017"/>
      <w:bookmarkEnd w:id="32"/>
      <w:r>
        <w:rPr>
          <w:rFonts w:hint="eastAsia" w:ascii="楷体_GB2312" w:eastAsia="楷体_GB2312"/>
          <w:b/>
          <w:color w:val="auto"/>
          <w:sz w:val="36"/>
        </w:rPr>
        <w:t>（二）支持金融市场对外开放税收政策</w:t>
      </w:r>
    </w:p>
    <w:p>
      <w:pPr>
        <w:pStyle w:val="3"/>
        <w:keepNext w:val="0"/>
        <w:keepLines w:val="0"/>
        <w:pageBreakBefore w:val="0"/>
        <w:widowControl w:val="0"/>
        <w:numPr>
          <w:ilvl w:val="0"/>
          <w:numId w:val="48"/>
        </w:numPr>
        <w:tabs>
          <w:tab w:val="left" w:pos="805"/>
        </w:tabs>
        <w:kinsoku/>
        <w:wordWrap/>
        <w:overflowPunct/>
        <w:topLinePunct w:val="0"/>
        <w:autoSpaceDE w:val="0"/>
        <w:autoSpaceDN w:val="0"/>
        <w:bidi w:val="0"/>
        <w:adjustRightInd/>
        <w:snapToGrid/>
        <w:spacing w:before="191" w:after="0" w:line="364" w:lineRule="auto"/>
        <w:ind w:left="320" w:right="533" w:firstLine="0"/>
        <w:jc w:val="both"/>
        <w:textAlignment w:val="auto"/>
        <w:rPr>
          <w:color w:val="auto"/>
        </w:rPr>
      </w:pPr>
      <w:bookmarkStart w:id="33" w:name="_TOC_250016"/>
      <w:r>
        <w:rPr>
          <w:rFonts w:hint="eastAsia" w:ascii="仿宋" w:eastAsia="仿宋"/>
          <w:color w:val="auto"/>
        </w:rPr>
        <w:t>QFII</w:t>
      </w:r>
      <w:r>
        <w:rPr>
          <w:rFonts w:hint="eastAsia" w:ascii="仿宋" w:eastAsia="仿宋"/>
          <w:color w:val="auto"/>
          <w:spacing w:val="-90"/>
        </w:rPr>
        <w:t xml:space="preserve"> </w:t>
      </w:r>
      <w:r>
        <w:rPr>
          <w:color w:val="auto"/>
          <w:spacing w:val="-45"/>
        </w:rPr>
        <w:t xml:space="preserve">和 </w:t>
      </w:r>
      <w:r>
        <w:rPr>
          <w:rFonts w:hint="eastAsia" w:ascii="仿宋" w:eastAsia="仿宋"/>
          <w:color w:val="auto"/>
        </w:rPr>
        <w:t>RQFII</w:t>
      </w:r>
      <w:r>
        <w:rPr>
          <w:rFonts w:hint="eastAsia" w:ascii="仿宋" w:eastAsia="仿宋"/>
          <w:color w:val="auto"/>
          <w:spacing w:val="-89"/>
        </w:rPr>
        <w:t xml:space="preserve"> </w:t>
      </w:r>
      <w:bookmarkEnd w:id="33"/>
      <w:r>
        <w:rPr>
          <w:color w:val="auto"/>
        </w:rPr>
        <w:t>委托境内公司在我国从事证券买卖业务免征增值税</w:t>
      </w:r>
    </w:p>
    <w:p>
      <w:pPr>
        <w:keepNext w:val="0"/>
        <w:keepLines w:val="0"/>
        <w:pageBreakBefore w:val="0"/>
        <w:widowControl w:val="0"/>
        <w:kinsoku/>
        <w:wordWrap/>
        <w:overflowPunct/>
        <w:topLinePunct w:val="0"/>
        <w:autoSpaceDE w:val="0"/>
        <w:autoSpaceDN w:val="0"/>
        <w:bidi w:val="0"/>
        <w:adjustRightInd/>
        <w:snapToGrid/>
        <w:spacing w:before="1"/>
        <w:ind w:left="320" w:right="0" w:firstLine="0"/>
        <w:jc w:val="both"/>
        <w:textAlignment w:val="auto"/>
        <w:rPr>
          <w:rFonts w:hint="eastAsia" w:ascii="宋体" w:eastAsia="宋体"/>
          <w:b/>
          <w:color w:val="auto"/>
          <w:sz w:val="32"/>
        </w:rPr>
      </w:pPr>
      <w:r>
        <w:rPr>
          <w:rFonts w:hint="eastAsia" w:ascii="宋体" w:eastAsia="宋体"/>
          <w:b/>
          <w:color w:val="auto"/>
          <w:sz w:val="32"/>
        </w:rPr>
        <w:t>【适用主体】</w:t>
      </w:r>
    </w:p>
    <w:p>
      <w:pPr>
        <w:pStyle w:val="4"/>
        <w:keepNext w:val="0"/>
        <w:keepLines w:val="0"/>
        <w:pageBreakBefore w:val="0"/>
        <w:widowControl w:val="0"/>
        <w:kinsoku/>
        <w:wordWrap/>
        <w:overflowPunct/>
        <w:topLinePunct w:val="0"/>
        <w:autoSpaceDE w:val="0"/>
        <w:autoSpaceDN w:val="0"/>
        <w:bidi w:val="0"/>
        <w:adjustRightInd/>
        <w:snapToGrid/>
        <w:spacing w:line="364" w:lineRule="auto"/>
        <w:ind w:right="537"/>
        <w:jc w:val="both"/>
        <w:textAlignment w:val="auto"/>
        <w:rPr>
          <w:color w:val="auto"/>
        </w:rPr>
      </w:pPr>
      <w:r>
        <w:rPr>
          <w:color w:val="auto"/>
          <w:spacing w:val="-7"/>
        </w:rPr>
        <w:t xml:space="preserve">合格境外机构投资者(简称 </w:t>
      </w:r>
      <w:r>
        <w:rPr>
          <w:color w:val="auto"/>
        </w:rPr>
        <w:t>QFII)</w:t>
      </w:r>
      <w:r>
        <w:rPr>
          <w:color w:val="auto"/>
          <w:spacing w:val="-12"/>
        </w:rPr>
        <w:t>、人民币合格境外机构</w:t>
      </w:r>
      <w:r>
        <w:rPr>
          <w:color w:val="auto"/>
          <w:spacing w:val="-22"/>
        </w:rPr>
        <w:t xml:space="preserve">投资者(简称 </w:t>
      </w:r>
      <w:r>
        <w:rPr>
          <w:color w:val="auto"/>
        </w:rPr>
        <w:t>RQFII)</w:t>
      </w:r>
    </w:p>
    <w:p>
      <w:pPr>
        <w:keepNext w:val="0"/>
        <w:keepLines w:val="0"/>
        <w:pageBreakBefore w:val="0"/>
        <w:widowControl w:val="0"/>
        <w:kinsoku/>
        <w:wordWrap/>
        <w:overflowPunct/>
        <w:topLinePunct w:val="0"/>
        <w:autoSpaceDE w:val="0"/>
        <w:autoSpaceDN w:val="0"/>
        <w:bidi w:val="0"/>
        <w:adjustRightInd/>
        <w:snapToGrid/>
        <w:spacing w:before="30"/>
        <w:ind w:left="320" w:right="0" w:firstLine="0"/>
        <w:jc w:val="both"/>
        <w:textAlignment w:val="auto"/>
        <w:rPr>
          <w:rFonts w:hint="eastAsia" w:ascii="宋体" w:eastAsia="宋体"/>
          <w:b/>
          <w:color w:val="auto"/>
          <w:sz w:val="32"/>
        </w:rPr>
      </w:pPr>
      <w:r>
        <w:rPr>
          <w:rFonts w:hint="eastAsia" w:ascii="宋体" w:eastAsia="宋体"/>
          <w:b/>
          <w:color w:val="auto"/>
          <w:w w:val="95"/>
          <w:sz w:val="32"/>
        </w:rPr>
        <w:t>【政策内容】</w:t>
      </w:r>
    </w:p>
    <w:p>
      <w:pPr>
        <w:pStyle w:val="4"/>
        <w:keepNext w:val="0"/>
        <w:keepLines w:val="0"/>
        <w:pageBreakBefore w:val="0"/>
        <w:widowControl w:val="0"/>
        <w:kinsoku/>
        <w:wordWrap/>
        <w:overflowPunct/>
        <w:topLinePunct w:val="0"/>
        <w:autoSpaceDE w:val="0"/>
        <w:autoSpaceDN w:val="0"/>
        <w:bidi w:val="0"/>
        <w:adjustRightInd/>
        <w:snapToGrid/>
        <w:spacing w:line="364" w:lineRule="auto"/>
        <w:ind w:right="444"/>
        <w:jc w:val="both"/>
        <w:textAlignment w:val="auto"/>
        <w:rPr>
          <w:color w:val="auto"/>
        </w:rPr>
      </w:pPr>
      <w:r>
        <w:rPr>
          <w:color w:val="auto"/>
        </w:rPr>
        <w:t>QFII</w:t>
      </w:r>
      <w:r>
        <w:rPr>
          <w:color w:val="auto"/>
          <w:spacing w:val="-3"/>
        </w:rPr>
        <w:t xml:space="preserve"> 及</w:t>
      </w:r>
      <w:r>
        <w:rPr>
          <w:color w:val="auto"/>
        </w:rPr>
        <w:t>RQFII</w:t>
      </w:r>
      <w:r>
        <w:rPr>
          <w:color w:val="auto"/>
          <w:spacing w:val="-10"/>
        </w:rPr>
        <w:t xml:space="preserve"> 委托境内公司在我国从事证券买卖业务， 免征增值税。</w:t>
      </w:r>
    </w:p>
    <w:p>
      <w:pPr>
        <w:keepNext w:val="0"/>
        <w:keepLines w:val="0"/>
        <w:pageBreakBefore w:val="0"/>
        <w:widowControl w:val="0"/>
        <w:kinsoku/>
        <w:wordWrap/>
        <w:overflowPunct/>
        <w:topLinePunct w:val="0"/>
        <w:autoSpaceDE w:val="0"/>
        <w:autoSpaceDN w:val="0"/>
        <w:bidi w:val="0"/>
        <w:adjustRightInd/>
        <w:snapToGrid/>
        <w:spacing w:before="1"/>
        <w:ind w:left="320" w:right="0" w:firstLine="0"/>
        <w:jc w:val="both"/>
        <w:textAlignment w:val="auto"/>
        <w:rPr>
          <w:rFonts w:hint="eastAsia" w:ascii="宋体" w:eastAsia="宋体"/>
          <w:b/>
          <w:color w:val="auto"/>
          <w:sz w:val="32"/>
        </w:rPr>
      </w:pPr>
      <w:r>
        <w:rPr>
          <w:rFonts w:hint="eastAsia" w:ascii="宋体" w:eastAsia="宋体"/>
          <w:b/>
          <w:color w:val="auto"/>
          <w:w w:val="95"/>
          <w:sz w:val="32"/>
        </w:rPr>
        <w:t>【适用条件】</w:t>
      </w:r>
    </w:p>
    <w:p>
      <w:pPr>
        <w:pStyle w:val="4"/>
        <w:keepNext w:val="0"/>
        <w:keepLines w:val="0"/>
        <w:pageBreakBefore w:val="0"/>
        <w:widowControl w:val="0"/>
        <w:kinsoku/>
        <w:wordWrap/>
        <w:overflowPunct/>
        <w:topLinePunct w:val="0"/>
        <w:autoSpaceDE w:val="0"/>
        <w:autoSpaceDN w:val="0"/>
        <w:bidi w:val="0"/>
        <w:adjustRightInd/>
        <w:snapToGrid/>
        <w:ind w:left="960" w:firstLine="0"/>
        <w:jc w:val="both"/>
        <w:textAlignment w:val="auto"/>
        <w:rPr>
          <w:color w:val="auto"/>
        </w:rPr>
      </w:pPr>
      <w:r>
        <w:rPr>
          <w:color w:val="auto"/>
        </w:rPr>
        <w:t>QFII 及RQFII 委托境内公司在我国从事证券买卖业务。</w:t>
      </w:r>
    </w:p>
    <w:p>
      <w:pPr>
        <w:keepNext w:val="0"/>
        <w:keepLines w:val="0"/>
        <w:pageBreakBefore w:val="0"/>
        <w:widowControl w:val="0"/>
        <w:kinsoku/>
        <w:wordWrap/>
        <w:overflowPunct/>
        <w:topLinePunct w:val="0"/>
        <w:autoSpaceDE w:val="0"/>
        <w:autoSpaceDN w:val="0"/>
        <w:bidi w:val="0"/>
        <w:adjustRightInd/>
        <w:snapToGrid/>
        <w:spacing w:before="214"/>
        <w:ind w:left="320" w:right="0" w:firstLine="0"/>
        <w:jc w:val="both"/>
        <w:textAlignment w:val="auto"/>
        <w:rPr>
          <w:rFonts w:hint="eastAsia" w:ascii="宋体" w:eastAsia="宋体"/>
          <w:b/>
          <w:color w:val="auto"/>
          <w:sz w:val="32"/>
        </w:rPr>
      </w:pPr>
      <w:r>
        <w:rPr>
          <w:rFonts w:hint="eastAsia" w:ascii="宋体" w:eastAsia="宋体"/>
          <w:b/>
          <w:color w:val="auto"/>
          <w:sz w:val="32"/>
        </w:rPr>
        <w:t>【政策依据】</w:t>
      </w:r>
    </w:p>
    <w:p>
      <w:pPr>
        <w:pStyle w:val="12"/>
        <w:keepNext w:val="0"/>
        <w:keepLines w:val="0"/>
        <w:pageBreakBefore w:val="0"/>
        <w:widowControl w:val="0"/>
        <w:numPr>
          <w:ilvl w:val="1"/>
          <w:numId w:val="48"/>
        </w:numPr>
        <w:tabs>
          <w:tab w:val="left" w:pos="1283"/>
        </w:tabs>
        <w:kinsoku/>
        <w:wordWrap/>
        <w:overflowPunct/>
        <w:topLinePunct w:val="0"/>
        <w:autoSpaceDE w:val="0"/>
        <w:autoSpaceDN w:val="0"/>
        <w:bidi w:val="0"/>
        <w:adjustRightInd/>
        <w:snapToGrid/>
        <w:spacing w:before="236" w:after="0" w:line="326" w:lineRule="auto"/>
        <w:ind w:left="320" w:right="535" w:firstLine="640"/>
        <w:jc w:val="both"/>
        <w:textAlignment w:val="auto"/>
        <w:rPr>
          <w:rFonts w:hint="eastAsia" w:ascii="黑体" w:eastAsia="黑体"/>
          <w:color w:val="auto"/>
          <w:sz w:val="30"/>
        </w:rPr>
      </w:pPr>
      <w:r>
        <w:rPr>
          <w:rFonts w:hint="eastAsia" w:ascii="黑体" w:eastAsia="黑体"/>
          <w:color w:val="auto"/>
          <w:spacing w:val="1"/>
          <w:sz w:val="32"/>
        </w:rPr>
        <w:t>《财政部 国家税务总局关于全面推开营业税改征增</w:t>
      </w:r>
      <w:r>
        <w:rPr>
          <w:rFonts w:hint="eastAsia" w:ascii="黑体" w:eastAsia="黑体"/>
          <w:color w:val="auto"/>
          <w:sz w:val="32"/>
        </w:rPr>
        <w:t>值税试点的通知》（财税〔2016</w:t>
      </w:r>
      <w:r>
        <w:rPr>
          <w:rFonts w:hint="eastAsia" w:ascii="黑体" w:eastAsia="黑体"/>
          <w:color w:val="auto"/>
          <w:spacing w:val="-3"/>
          <w:sz w:val="32"/>
        </w:rPr>
        <w:t>〕</w:t>
      </w:r>
      <w:r>
        <w:rPr>
          <w:rFonts w:hint="eastAsia" w:ascii="黑体" w:eastAsia="黑体"/>
          <w:color w:val="auto"/>
          <w:sz w:val="32"/>
        </w:rPr>
        <w:t>36</w:t>
      </w:r>
      <w:r>
        <w:rPr>
          <w:rFonts w:hint="eastAsia" w:ascii="黑体" w:eastAsia="黑体"/>
          <w:color w:val="auto"/>
          <w:spacing w:val="-43"/>
          <w:sz w:val="32"/>
        </w:rPr>
        <w:t xml:space="preserve"> 号</w:t>
      </w:r>
      <w:r>
        <w:rPr>
          <w:rFonts w:hint="eastAsia" w:ascii="黑体" w:eastAsia="黑体"/>
          <w:color w:val="auto"/>
          <w:sz w:val="32"/>
        </w:rPr>
        <w:t>）</w:t>
      </w:r>
      <w:r>
        <w:rPr>
          <w:rFonts w:hint="eastAsia" w:ascii="黑体" w:eastAsia="黑体"/>
          <w:color w:val="auto"/>
          <w:spacing w:val="-28"/>
          <w:sz w:val="32"/>
        </w:rPr>
        <w:t xml:space="preserve">附件 </w:t>
      </w:r>
      <w:r>
        <w:rPr>
          <w:rFonts w:hint="eastAsia" w:ascii="黑体" w:eastAsia="黑体"/>
          <w:color w:val="auto"/>
          <w:spacing w:val="-4"/>
          <w:sz w:val="32"/>
        </w:rPr>
        <w:t>3</w:t>
      </w:r>
      <w:r>
        <w:rPr>
          <w:rFonts w:hint="eastAsia" w:ascii="黑体" w:eastAsia="黑体"/>
          <w:color w:val="auto"/>
          <w:sz w:val="32"/>
        </w:rPr>
        <w:t>《营业税改征增值税试点过渡政策的规定》第一条第（二十二）项</w:t>
      </w:r>
    </w:p>
    <w:p>
      <w:pPr>
        <w:pStyle w:val="12"/>
        <w:keepNext w:val="0"/>
        <w:keepLines w:val="0"/>
        <w:pageBreakBefore w:val="0"/>
        <w:widowControl w:val="0"/>
        <w:numPr>
          <w:ilvl w:val="1"/>
          <w:numId w:val="48"/>
        </w:numPr>
        <w:tabs>
          <w:tab w:val="left" w:pos="1283"/>
        </w:tabs>
        <w:kinsoku/>
        <w:wordWrap/>
        <w:overflowPunct/>
        <w:topLinePunct w:val="0"/>
        <w:autoSpaceDE w:val="0"/>
        <w:autoSpaceDN w:val="0"/>
        <w:bidi w:val="0"/>
        <w:adjustRightInd/>
        <w:snapToGrid/>
        <w:spacing w:before="7" w:after="0" w:line="326" w:lineRule="auto"/>
        <w:ind w:left="320" w:right="537" w:firstLine="640"/>
        <w:jc w:val="both"/>
        <w:textAlignment w:val="auto"/>
        <w:rPr>
          <w:rFonts w:hint="eastAsia" w:ascii="黑体" w:eastAsia="黑体"/>
          <w:color w:val="auto"/>
          <w:sz w:val="30"/>
        </w:rPr>
      </w:pPr>
      <w:r>
        <w:rPr>
          <w:rFonts w:hint="eastAsia" w:ascii="黑体" w:eastAsia="黑体"/>
          <w:color w:val="auto"/>
          <w:spacing w:val="1"/>
          <w:sz w:val="32"/>
        </w:rPr>
        <w:t>《财政部 国家税务总局关于金融机构同业往来等增值税政策的补充通知》（财税〔2016〕70</w:t>
      </w:r>
      <w:r>
        <w:rPr>
          <w:rFonts w:hint="eastAsia" w:ascii="黑体" w:eastAsia="黑体"/>
          <w:color w:val="auto"/>
          <w:spacing w:val="-42"/>
          <w:sz w:val="32"/>
        </w:rPr>
        <w:t xml:space="preserve"> 号</w:t>
      </w:r>
      <w:r>
        <w:rPr>
          <w:rFonts w:hint="eastAsia" w:ascii="黑体" w:eastAsia="黑体"/>
          <w:color w:val="auto"/>
          <w:sz w:val="32"/>
        </w:rPr>
        <w:t>）第四条</w:t>
      </w:r>
    </w:p>
    <w:p>
      <w:pPr>
        <w:pStyle w:val="4"/>
        <w:keepNext w:val="0"/>
        <w:keepLines w:val="0"/>
        <w:pageBreakBefore w:val="0"/>
        <w:widowControl w:val="0"/>
        <w:kinsoku/>
        <w:wordWrap/>
        <w:overflowPunct/>
        <w:topLinePunct w:val="0"/>
        <w:autoSpaceDE w:val="0"/>
        <w:autoSpaceDN w:val="0"/>
        <w:bidi w:val="0"/>
        <w:adjustRightInd/>
        <w:snapToGrid/>
        <w:spacing w:before="5"/>
        <w:ind w:left="0" w:firstLine="0"/>
        <w:jc w:val="both"/>
        <w:textAlignment w:val="auto"/>
        <w:rPr>
          <w:rFonts w:ascii="黑体"/>
          <w:color w:val="auto"/>
          <w:sz w:val="42"/>
        </w:rPr>
      </w:pPr>
    </w:p>
    <w:p>
      <w:pPr>
        <w:pStyle w:val="3"/>
        <w:keepNext w:val="0"/>
        <w:keepLines w:val="0"/>
        <w:pageBreakBefore w:val="0"/>
        <w:widowControl w:val="0"/>
        <w:numPr>
          <w:ilvl w:val="0"/>
          <w:numId w:val="48"/>
        </w:numPr>
        <w:tabs>
          <w:tab w:val="left" w:pos="805"/>
        </w:tabs>
        <w:kinsoku/>
        <w:wordWrap/>
        <w:overflowPunct/>
        <w:topLinePunct w:val="0"/>
        <w:autoSpaceDE w:val="0"/>
        <w:autoSpaceDN w:val="0"/>
        <w:bidi w:val="0"/>
        <w:adjustRightInd/>
        <w:snapToGrid/>
        <w:spacing w:before="0" w:after="0" w:line="364" w:lineRule="auto"/>
        <w:ind w:left="320" w:right="533" w:firstLine="0"/>
        <w:jc w:val="both"/>
        <w:textAlignment w:val="auto"/>
        <w:rPr>
          <w:color w:val="auto"/>
        </w:rPr>
      </w:pPr>
      <w:bookmarkStart w:id="34" w:name="_TOC_250015"/>
      <w:r>
        <w:rPr>
          <w:rFonts w:hint="eastAsia" w:ascii="仿宋" w:eastAsia="仿宋"/>
          <w:color w:val="auto"/>
        </w:rPr>
        <w:t>QFII</w:t>
      </w:r>
      <w:r>
        <w:rPr>
          <w:rFonts w:hint="eastAsia" w:ascii="仿宋" w:eastAsia="仿宋"/>
          <w:color w:val="auto"/>
          <w:spacing w:val="-90"/>
        </w:rPr>
        <w:t xml:space="preserve"> </w:t>
      </w:r>
      <w:r>
        <w:rPr>
          <w:color w:val="auto"/>
          <w:spacing w:val="-45"/>
        </w:rPr>
        <w:t xml:space="preserve">和 </w:t>
      </w:r>
      <w:r>
        <w:rPr>
          <w:rFonts w:hint="eastAsia" w:ascii="仿宋" w:eastAsia="仿宋"/>
          <w:color w:val="auto"/>
        </w:rPr>
        <w:t>RQFII</w:t>
      </w:r>
      <w:r>
        <w:rPr>
          <w:rFonts w:hint="eastAsia" w:ascii="仿宋" w:eastAsia="仿宋"/>
          <w:color w:val="auto"/>
          <w:spacing w:val="-89"/>
        </w:rPr>
        <w:t xml:space="preserve"> </w:t>
      </w:r>
      <w:bookmarkEnd w:id="34"/>
      <w:r>
        <w:rPr>
          <w:color w:val="auto"/>
        </w:rPr>
        <w:t>取得中国境内的股票等权益性投资资产转让所得暂免征收企业所得税</w:t>
      </w:r>
    </w:p>
    <w:p>
      <w:pPr>
        <w:keepNext w:val="0"/>
        <w:keepLines w:val="0"/>
        <w:pageBreakBefore w:val="0"/>
        <w:widowControl w:val="0"/>
        <w:kinsoku/>
        <w:wordWrap/>
        <w:overflowPunct/>
        <w:topLinePunct w:val="0"/>
        <w:autoSpaceDE w:val="0"/>
        <w:autoSpaceDN w:val="0"/>
        <w:bidi w:val="0"/>
        <w:adjustRightInd/>
        <w:snapToGrid/>
        <w:spacing w:before="2"/>
        <w:ind w:left="320" w:right="0" w:firstLine="0"/>
        <w:jc w:val="both"/>
        <w:textAlignment w:val="auto"/>
        <w:rPr>
          <w:rFonts w:hint="eastAsia" w:ascii="宋体" w:eastAsia="宋体"/>
          <w:b/>
          <w:color w:val="auto"/>
          <w:sz w:val="32"/>
        </w:rPr>
      </w:pPr>
      <w:r>
        <w:rPr>
          <w:rFonts w:hint="eastAsia" w:ascii="宋体" w:eastAsia="宋体"/>
          <w:b/>
          <w:color w:val="auto"/>
          <w:sz w:val="32"/>
        </w:rPr>
        <w:t>【适用主体】</w:t>
      </w:r>
    </w:p>
    <w:p>
      <w:pPr>
        <w:pStyle w:val="4"/>
        <w:keepNext w:val="0"/>
        <w:keepLines w:val="0"/>
        <w:pageBreakBefore w:val="0"/>
        <w:widowControl w:val="0"/>
        <w:kinsoku/>
        <w:wordWrap/>
        <w:overflowPunct/>
        <w:topLinePunct w:val="0"/>
        <w:autoSpaceDE w:val="0"/>
        <w:autoSpaceDN w:val="0"/>
        <w:bidi w:val="0"/>
        <w:adjustRightInd/>
        <w:snapToGrid/>
        <w:spacing w:line="364" w:lineRule="auto"/>
        <w:ind w:right="535"/>
        <w:jc w:val="both"/>
        <w:textAlignment w:val="auto"/>
        <w:rPr>
          <w:color w:val="auto"/>
        </w:rPr>
      </w:pPr>
      <w:r>
        <w:rPr>
          <w:color w:val="auto"/>
          <w:spacing w:val="-4"/>
        </w:rPr>
        <w:t>合格境外机构投资者</w:t>
      </w:r>
      <w:r>
        <w:rPr>
          <w:color w:val="auto"/>
        </w:rPr>
        <w:t>（</w:t>
      </w:r>
      <w:r>
        <w:rPr>
          <w:color w:val="auto"/>
          <w:spacing w:val="-30"/>
        </w:rPr>
        <w:t xml:space="preserve">简称 </w:t>
      </w:r>
      <w:r>
        <w:rPr>
          <w:color w:val="auto"/>
          <w:spacing w:val="-6"/>
        </w:rPr>
        <w:t>QFII）、人民币合格境外机构投资者（</w:t>
      </w:r>
      <w:r>
        <w:rPr>
          <w:color w:val="auto"/>
          <w:spacing w:val="-31"/>
        </w:rPr>
        <w:t xml:space="preserve">简称 </w:t>
      </w:r>
      <w:r>
        <w:rPr>
          <w:color w:val="auto"/>
        </w:rPr>
        <w:t>RQFII）</w:t>
      </w:r>
    </w:p>
    <w:p>
      <w:pPr>
        <w:keepNext w:val="0"/>
        <w:keepLines w:val="0"/>
        <w:pageBreakBefore w:val="0"/>
        <w:widowControl w:val="0"/>
        <w:kinsoku/>
        <w:wordWrap/>
        <w:overflowPunct/>
        <w:topLinePunct w:val="0"/>
        <w:autoSpaceDE w:val="0"/>
        <w:autoSpaceDN w:val="0"/>
        <w:bidi w:val="0"/>
        <w:adjustRightInd/>
        <w:snapToGrid/>
        <w:spacing w:before="2"/>
        <w:ind w:left="320" w:right="0" w:firstLine="0"/>
        <w:jc w:val="both"/>
        <w:textAlignment w:val="auto"/>
        <w:rPr>
          <w:rFonts w:hint="eastAsia" w:ascii="宋体" w:eastAsia="宋体"/>
          <w:b/>
          <w:color w:val="auto"/>
          <w:sz w:val="32"/>
        </w:rPr>
      </w:pPr>
      <w:r>
        <w:rPr>
          <w:rFonts w:hint="eastAsia" w:ascii="宋体" w:eastAsia="宋体"/>
          <w:b/>
          <w:color w:val="auto"/>
          <w:sz w:val="32"/>
        </w:rPr>
        <w:t>【政策内容】</w:t>
      </w:r>
    </w:p>
    <w:p>
      <w:pPr>
        <w:pStyle w:val="4"/>
        <w:keepNext w:val="0"/>
        <w:keepLines w:val="0"/>
        <w:pageBreakBefore w:val="0"/>
        <w:widowControl w:val="0"/>
        <w:kinsoku/>
        <w:wordWrap/>
        <w:overflowPunct/>
        <w:topLinePunct w:val="0"/>
        <w:autoSpaceDE w:val="0"/>
        <w:autoSpaceDN w:val="0"/>
        <w:bidi w:val="0"/>
        <w:adjustRightInd/>
        <w:snapToGrid/>
        <w:spacing w:line="364" w:lineRule="auto"/>
        <w:ind w:right="537"/>
        <w:jc w:val="both"/>
        <w:textAlignment w:val="auto"/>
        <w:rPr>
          <w:color w:val="auto"/>
        </w:rPr>
      </w:pPr>
      <w:r>
        <w:rPr>
          <w:color w:val="auto"/>
          <w:spacing w:val="-37"/>
        </w:rPr>
        <w:t xml:space="preserve">从 </w:t>
      </w:r>
      <w:r>
        <w:rPr>
          <w:color w:val="auto"/>
        </w:rPr>
        <w:t>2014</w:t>
      </w:r>
      <w:r>
        <w:rPr>
          <w:color w:val="auto"/>
          <w:spacing w:val="-49"/>
        </w:rPr>
        <w:t xml:space="preserve"> 年 </w:t>
      </w:r>
      <w:r>
        <w:rPr>
          <w:color w:val="auto"/>
        </w:rPr>
        <w:t>11</w:t>
      </w:r>
      <w:r>
        <w:rPr>
          <w:color w:val="auto"/>
          <w:spacing w:val="-48"/>
        </w:rPr>
        <w:t xml:space="preserve"> 月 </w:t>
      </w:r>
      <w:r>
        <w:rPr>
          <w:color w:val="auto"/>
        </w:rPr>
        <w:t>17</w:t>
      </w:r>
      <w:r>
        <w:rPr>
          <w:color w:val="auto"/>
          <w:spacing w:val="-21"/>
        </w:rPr>
        <w:t xml:space="preserve"> 日起，对 </w:t>
      </w:r>
      <w:r>
        <w:rPr>
          <w:color w:val="auto"/>
        </w:rPr>
        <w:t>QFII</w:t>
      </w:r>
      <w:r>
        <w:rPr>
          <w:color w:val="auto"/>
          <w:spacing w:val="12"/>
        </w:rPr>
        <w:t>、</w:t>
      </w:r>
      <w:r>
        <w:rPr>
          <w:color w:val="auto"/>
        </w:rPr>
        <w:t>RQFII</w:t>
      </w:r>
      <w:r>
        <w:rPr>
          <w:color w:val="auto"/>
          <w:spacing w:val="-7"/>
        </w:rPr>
        <w:t xml:space="preserve"> 取得来源于</w:t>
      </w:r>
      <w:r>
        <w:rPr>
          <w:color w:val="auto"/>
          <w:spacing w:val="-8"/>
        </w:rPr>
        <w:t>中国境内的股票等权益性投资资产转让所得，暂免征收企业所得税。</w:t>
      </w:r>
    </w:p>
    <w:p>
      <w:pPr>
        <w:keepNext w:val="0"/>
        <w:keepLines w:val="0"/>
        <w:pageBreakBefore w:val="0"/>
        <w:widowControl w:val="0"/>
        <w:kinsoku/>
        <w:wordWrap/>
        <w:overflowPunct/>
        <w:topLinePunct w:val="0"/>
        <w:autoSpaceDE w:val="0"/>
        <w:autoSpaceDN w:val="0"/>
        <w:bidi w:val="0"/>
        <w:adjustRightInd/>
        <w:snapToGrid/>
        <w:spacing w:before="2"/>
        <w:ind w:left="320" w:right="0" w:firstLine="0"/>
        <w:jc w:val="both"/>
        <w:textAlignment w:val="auto"/>
        <w:rPr>
          <w:rFonts w:hint="eastAsia" w:ascii="宋体" w:eastAsia="宋体"/>
          <w:b/>
          <w:color w:val="auto"/>
          <w:sz w:val="32"/>
        </w:rPr>
      </w:pPr>
      <w:r>
        <w:rPr>
          <w:rFonts w:hint="eastAsia" w:ascii="宋体" w:eastAsia="宋体"/>
          <w:b/>
          <w:color w:val="auto"/>
          <w:sz w:val="32"/>
        </w:rPr>
        <w:t>【适用条件】</w:t>
      </w:r>
    </w:p>
    <w:p>
      <w:pPr>
        <w:pStyle w:val="4"/>
        <w:keepNext w:val="0"/>
        <w:keepLines w:val="0"/>
        <w:pageBreakBefore w:val="0"/>
        <w:widowControl w:val="0"/>
        <w:kinsoku/>
        <w:wordWrap/>
        <w:overflowPunct/>
        <w:topLinePunct w:val="0"/>
        <w:autoSpaceDE w:val="0"/>
        <w:autoSpaceDN w:val="0"/>
        <w:bidi w:val="0"/>
        <w:adjustRightInd/>
        <w:snapToGrid/>
        <w:ind w:left="960" w:firstLine="0"/>
        <w:jc w:val="both"/>
        <w:textAlignment w:val="auto"/>
        <w:rPr>
          <w:color w:val="auto"/>
        </w:rPr>
      </w:pPr>
      <w:r>
        <w:rPr>
          <w:color w:val="auto"/>
        </w:rPr>
        <w:t>上述政策适用于在中国境内未设立机构、场所，或者在</w:t>
      </w:r>
    </w:p>
    <w:p>
      <w:pPr>
        <w:pStyle w:val="4"/>
        <w:keepNext w:val="0"/>
        <w:keepLines w:val="0"/>
        <w:pageBreakBefore w:val="0"/>
        <w:widowControl w:val="0"/>
        <w:kinsoku/>
        <w:wordWrap/>
        <w:overflowPunct/>
        <w:topLinePunct w:val="0"/>
        <w:autoSpaceDE w:val="0"/>
        <w:autoSpaceDN w:val="0"/>
        <w:bidi w:val="0"/>
        <w:adjustRightInd/>
        <w:snapToGrid/>
        <w:spacing w:before="30" w:line="364" w:lineRule="auto"/>
        <w:ind w:right="495" w:firstLine="0"/>
        <w:jc w:val="both"/>
        <w:textAlignment w:val="auto"/>
        <w:rPr>
          <w:color w:val="auto"/>
        </w:rPr>
      </w:pPr>
      <w:r>
        <w:rPr>
          <w:color w:val="auto"/>
        </w:rPr>
        <w:t>中国境内虽设立机构、场所，但取得的上述所得与其所设机构、场所没有实际联系的 QFII、RQFII。</w:t>
      </w:r>
    </w:p>
    <w:p>
      <w:pPr>
        <w:keepNext w:val="0"/>
        <w:keepLines w:val="0"/>
        <w:pageBreakBefore w:val="0"/>
        <w:widowControl w:val="0"/>
        <w:kinsoku/>
        <w:wordWrap/>
        <w:overflowPunct/>
        <w:topLinePunct w:val="0"/>
        <w:autoSpaceDE w:val="0"/>
        <w:autoSpaceDN w:val="0"/>
        <w:bidi w:val="0"/>
        <w:adjustRightInd/>
        <w:snapToGrid/>
        <w:spacing w:before="1"/>
        <w:ind w:left="320" w:right="0" w:firstLine="0"/>
        <w:jc w:val="both"/>
        <w:textAlignment w:val="auto"/>
        <w:rPr>
          <w:rFonts w:hint="eastAsia" w:ascii="宋体" w:eastAsia="宋体"/>
          <w:b/>
          <w:color w:val="auto"/>
          <w:sz w:val="32"/>
        </w:rPr>
      </w:pPr>
      <w:r>
        <w:rPr>
          <w:rFonts w:hint="eastAsia" w:ascii="宋体" w:eastAsia="宋体"/>
          <w:b/>
          <w:color w:val="auto"/>
          <w:sz w:val="32"/>
        </w:rPr>
        <w:t>【政策依据】</w:t>
      </w:r>
    </w:p>
    <w:p>
      <w:pPr>
        <w:pStyle w:val="4"/>
        <w:keepNext w:val="0"/>
        <w:keepLines w:val="0"/>
        <w:pageBreakBefore w:val="0"/>
        <w:widowControl w:val="0"/>
        <w:kinsoku/>
        <w:wordWrap/>
        <w:overflowPunct/>
        <w:topLinePunct w:val="0"/>
        <w:autoSpaceDE w:val="0"/>
        <w:autoSpaceDN w:val="0"/>
        <w:bidi w:val="0"/>
        <w:adjustRightInd/>
        <w:snapToGrid/>
        <w:spacing w:before="236" w:line="326" w:lineRule="auto"/>
        <w:ind w:left="461" w:right="540"/>
        <w:jc w:val="both"/>
        <w:textAlignment w:val="auto"/>
        <w:rPr>
          <w:rFonts w:hint="eastAsia" w:ascii="黑体" w:eastAsia="黑体"/>
          <w:color w:val="auto"/>
        </w:rPr>
      </w:pPr>
      <w:r>
        <w:rPr>
          <w:rFonts w:hint="eastAsia" w:ascii="黑体" w:eastAsia="黑体"/>
          <w:color w:val="auto"/>
          <w:spacing w:val="-7"/>
        </w:rPr>
        <w:t xml:space="preserve">《财政部 国家税务总局 证监会关于 </w:t>
      </w:r>
      <w:r>
        <w:rPr>
          <w:rFonts w:hint="eastAsia" w:ascii="黑体" w:eastAsia="黑体"/>
          <w:color w:val="auto"/>
        </w:rPr>
        <w:t>QFII</w:t>
      </w:r>
      <w:r>
        <w:rPr>
          <w:rFonts w:hint="eastAsia" w:ascii="黑体" w:eastAsia="黑体"/>
          <w:color w:val="auto"/>
          <w:spacing w:val="-1"/>
        </w:rPr>
        <w:t xml:space="preserve"> 和</w:t>
      </w:r>
      <w:r>
        <w:rPr>
          <w:rFonts w:hint="eastAsia" w:ascii="黑体" w:eastAsia="黑体"/>
          <w:color w:val="auto"/>
        </w:rPr>
        <w:t>RQFII</w:t>
      </w:r>
      <w:r>
        <w:rPr>
          <w:rFonts w:hint="eastAsia" w:ascii="黑体" w:eastAsia="黑体"/>
          <w:color w:val="auto"/>
          <w:spacing w:val="-41"/>
        </w:rPr>
        <w:t xml:space="preserve"> 取</w:t>
      </w:r>
      <w:r>
        <w:rPr>
          <w:rFonts w:hint="eastAsia" w:ascii="黑体" w:eastAsia="黑体"/>
          <w:color w:val="auto"/>
          <w:spacing w:val="6"/>
          <w:w w:val="95"/>
        </w:rPr>
        <w:t xml:space="preserve">得中国境内的股票等权益性投资资产转让所得暂免征收企 </w:t>
      </w:r>
      <w:r>
        <w:rPr>
          <w:rFonts w:hint="eastAsia" w:ascii="黑体" w:eastAsia="黑体"/>
          <w:color w:val="auto"/>
          <w:spacing w:val="6"/>
        </w:rPr>
        <w:t>业所得税问题的通知》（财税〔2014〕79</w:t>
      </w:r>
      <w:r>
        <w:rPr>
          <w:rFonts w:hint="eastAsia" w:ascii="黑体" w:eastAsia="黑体"/>
          <w:color w:val="auto"/>
          <w:spacing w:val="-42"/>
        </w:rPr>
        <w:t xml:space="preserve"> 号</w:t>
      </w:r>
      <w:r>
        <w:rPr>
          <w:rFonts w:hint="eastAsia" w:ascii="黑体" w:eastAsia="黑体"/>
          <w:color w:val="auto"/>
        </w:rPr>
        <w:t>）</w:t>
      </w:r>
    </w:p>
    <w:p>
      <w:pPr>
        <w:pStyle w:val="4"/>
        <w:keepNext w:val="0"/>
        <w:keepLines w:val="0"/>
        <w:pageBreakBefore w:val="0"/>
        <w:widowControl w:val="0"/>
        <w:kinsoku/>
        <w:wordWrap/>
        <w:overflowPunct/>
        <w:topLinePunct w:val="0"/>
        <w:autoSpaceDE w:val="0"/>
        <w:autoSpaceDN w:val="0"/>
        <w:bidi w:val="0"/>
        <w:adjustRightInd/>
        <w:snapToGrid/>
        <w:spacing w:before="7"/>
        <w:ind w:left="0" w:firstLine="0"/>
        <w:jc w:val="both"/>
        <w:textAlignment w:val="auto"/>
        <w:rPr>
          <w:rFonts w:ascii="黑体"/>
          <w:color w:val="auto"/>
          <w:sz w:val="42"/>
        </w:rPr>
      </w:pPr>
    </w:p>
    <w:p>
      <w:pPr>
        <w:pStyle w:val="3"/>
        <w:keepNext w:val="0"/>
        <w:keepLines w:val="0"/>
        <w:pageBreakBefore w:val="0"/>
        <w:widowControl w:val="0"/>
        <w:numPr>
          <w:ilvl w:val="0"/>
          <w:numId w:val="48"/>
        </w:numPr>
        <w:tabs>
          <w:tab w:val="left" w:pos="805"/>
        </w:tabs>
        <w:kinsoku/>
        <w:wordWrap/>
        <w:overflowPunct/>
        <w:topLinePunct w:val="0"/>
        <w:autoSpaceDE w:val="0"/>
        <w:autoSpaceDN w:val="0"/>
        <w:bidi w:val="0"/>
        <w:adjustRightInd/>
        <w:snapToGrid/>
        <w:spacing w:before="0" w:after="0" w:line="364" w:lineRule="auto"/>
        <w:ind w:left="320" w:right="535" w:firstLine="0"/>
        <w:jc w:val="both"/>
        <w:textAlignment w:val="auto"/>
        <w:rPr>
          <w:color w:val="auto"/>
        </w:rPr>
      </w:pPr>
      <w:bookmarkStart w:id="35" w:name="_TOC_250014"/>
      <w:r>
        <w:rPr>
          <w:rFonts w:hint="eastAsia" w:ascii="仿宋" w:eastAsia="仿宋"/>
          <w:color w:val="auto"/>
        </w:rPr>
        <w:t>QFII</w:t>
      </w:r>
      <w:r>
        <w:rPr>
          <w:rFonts w:hint="eastAsia" w:ascii="仿宋" w:eastAsia="仿宋"/>
          <w:color w:val="auto"/>
          <w:spacing w:val="-86"/>
        </w:rPr>
        <w:t xml:space="preserve"> </w:t>
      </w:r>
      <w:r>
        <w:rPr>
          <w:color w:val="auto"/>
          <w:spacing w:val="-42"/>
        </w:rPr>
        <w:t xml:space="preserve">和 </w:t>
      </w:r>
      <w:r>
        <w:rPr>
          <w:rFonts w:hint="eastAsia" w:ascii="仿宋" w:eastAsia="仿宋"/>
          <w:color w:val="auto"/>
        </w:rPr>
        <w:t>RQFII</w:t>
      </w:r>
      <w:r>
        <w:rPr>
          <w:rFonts w:hint="eastAsia" w:ascii="仿宋" w:eastAsia="仿宋"/>
          <w:color w:val="auto"/>
          <w:spacing w:val="-85"/>
        </w:rPr>
        <w:t xml:space="preserve"> </w:t>
      </w:r>
      <w:r>
        <w:rPr>
          <w:color w:val="auto"/>
          <w:spacing w:val="-12"/>
        </w:rPr>
        <w:t xml:space="preserve">取得创新企业 </w:t>
      </w:r>
      <w:r>
        <w:rPr>
          <w:rFonts w:hint="eastAsia" w:ascii="仿宋" w:eastAsia="仿宋"/>
          <w:color w:val="auto"/>
        </w:rPr>
        <w:t>CDR</w:t>
      </w:r>
      <w:r>
        <w:rPr>
          <w:rFonts w:hint="eastAsia" w:ascii="仿宋" w:eastAsia="仿宋"/>
          <w:color w:val="auto"/>
          <w:spacing w:val="-88"/>
        </w:rPr>
        <w:t xml:space="preserve"> </w:t>
      </w:r>
      <w:bookmarkEnd w:id="35"/>
      <w:r>
        <w:rPr>
          <w:color w:val="auto"/>
        </w:rPr>
        <w:t>转让差价收入暂免征收增值税</w:t>
      </w:r>
    </w:p>
    <w:p>
      <w:pPr>
        <w:keepNext w:val="0"/>
        <w:keepLines w:val="0"/>
        <w:pageBreakBefore w:val="0"/>
        <w:widowControl w:val="0"/>
        <w:kinsoku/>
        <w:wordWrap/>
        <w:overflowPunct/>
        <w:topLinePunct w:val="0"/>
        <w:autoSpaceDE w:val="0"/>
        <w:autoSpaceDN w:val="0"/>
        <w:bidi w:val="0"/>
        <w:adjustRightInd/>
        <w:snapToGrid/>
        <w:spacing w:before="1"/>
        <w:ind w:left="320" w:right="0" w:firstLine="0"/>
        <w:jc w:val="both"/>
        <w:textAlignment w:val="auto"/>
        <w:rPr>
          <w:rFonts w:hint="eastAsia" w:ascii="宋体" w:eastAsia="宋体"/>
          <w:b/>
          <w:color w:val="auto"/>
          <w:sz w:val="32"/>
        </w:rPr>
      </w:pPr>
      <w:r>
        <w:rPr>
          <w:rFonts w:hint="eastAsia" w:ascii="宋体" w:eastAsia="宋体"/>
          <w:b/>
          <w:color w:val="auto"/>
          <w:sz w:val="32"/>
        </w:rPr>
        <w:t>【适用主体】</w:t>
      </w:r>
    </w:p>
    <w:p>
      <w:pPr>
        <w:pStyle w:val="4"/>
        <w:keepNext w:val="0"/>
        <w:keepLines w:val="0"/>
        <w:pageBreakBefore w:val="0"/>
        <w:widowControl w:val="0"/>
        <w:kinsoku/>
        <w:wordWrap/>
        <w:overflowPunct/>
        <w:topLinePunct w:val="0"/>
        <w:autoSpaceDE w:val="0"/>
        <w:autoSpaceDN w:val="0"/>
        <w:bidi w:val="0"/>
        <w:adjustRightInd/>
        <w:snapToGrid/>
        <w:spacing w:line="364" w:lineRule="auto"/>
        <w:ind w:right="535"/>
        <w:jc w:val="both"/>
        <w:textAlignment w:val="auto"/>
        <w:rPr>
          <w:color w:val="auto"/>
        </w:rPr>
      </w:pPr>
      <w:r>
        <w:rPr>
          <w:color w:val="auto"/>
          <w:spacing w:val="-4"/>
        </w:rPr>
        <w:t>合格境外机构投资者</w:t>
      </w:r>
      <w:r>
        <w:rPr>
          <w:color w:val="auto"/>
        </w:rPr>
        <w:t>（</w:t>
      </w:r>
      <w:r>
        <w:rPr>
          <w:color w:val="auto"/>
          <w:spacing w:val="-30"/>
        </w:rPr>
        <w:t xml:space="preserve">简称 </w:t>
      </w:r>
      <w:r>
        <w:rPr>
          <w:color w:val="auto"/>
          <w:spacing w:val="-6"/>
        </w:rPr>
        <w:t>QFII）、人民币合格境外机构投资者（</w:t>
      </w:r>
      <w:r>
        <w:rPr>
          <w:color w:val="auto"/>
          <w:spacing w:val="-31"/>
        </w:rPr>
        <w:t xml:space="preserve">简称 </w:t>
      </w:r>
      <w:r>
        <w:rPr>
          <w:color w:val="auto"/>
        </w:rPr>
        <w:t>RQFII）</w:t>
      </w:r>
    </w:p>
    <w:p>
      <w:pPr>
        <w:keepNext w:val="0"/>
        <w:keepLines w:val="0"/>
        <w:pageBreakBefore w:val="0"/>
        <w:widowControl w:val="0"/>
        <w:kinsoku/>
        <w:wordWrap/>
        <w:overflowPunct/>
        <w:topLinePunct w:val="0"/>
        <w:autoSpaceDE w:val="0"/>
        <w:autoSpaceDN w:val="0"/>
        <w:bidi w:val="0"/>
        <w:adjustRightInd/>
        <w:snapToGrid/>
        <w:spacing w:before="2"/>
        <w:ind w:left="320" w:right="0" w:firstLine="0"/>
        <w:jc w:val="both"/>
        <w:textAlignment w:val="auto"/>
        <w:rPr>
          <w:rFonts w:hint="eastAsia" w:ascii="宋体" w:eastAsia="宋体"/>
          <w:b/>
          <w:color w:val="auto"/>
          <w:sz w:val="32"/>
        </w:rPr>
      </w:pPr>
      <w:r>
        <w:rPr>
          <w:rFonts w:hint="eastAsia" w:ascii="宋体" w:eastAsia="宋体"/>
          <w:b/>
          <w:color w:val="auto"/>
          <w:sz w:val="32"/>
        </w:rPr>
        <w:t>【政策内容】</w:t>
      </w:r>
    </w:p>
    <w:p>
      <w:pPr>
        <w:pStyle w:val="4"/>
        <w:keepNext w:val="0"/>
        <w:keepLines w:val="0"/>
        <w:pageBreakBefore w:val="0"/>
        <w:widowControl w:val="0"/>
        <w:kinsoku/>
        <w:wordWrap/>
        <w:overflowPunct/>
        <w:topLinePunct w:val="0"/>
        <w:autoSpaceDE w:val="0"/>
        <w:autoSpaceDN w:val="0"/>
        <w:bidi w:val="0"/>
        <w:adjustRightInd/>
        <w:snapToGrid/>
        <w:spacing w:line="364" w:lineRule="auto"/>
        <w:ind w:right="540"/>
        <w:jc w:val="both"/>
        <w:textAlignment w:val="auto"/>
        <w:rPr>
          <w:color w:val="auto"/>
        </w:rPr>
      </w:pPr>
      <w:r>
        <w:rPr>
          <w:color w:val="auto"/>
          <w:spacing w:val="-38"/>
        </w:rPr>
        <w:t xml:space="preserve">对 </w:t>
      </w:r>
      <w:r>
        <w:rPr>
          <w:color w:val="auto"/>
        </w:rPr>
        <w:t>QFII</w:t>
      </w:r>
      <w:r>
        <w:rPr>
          <w:color w:val="auto"/>
          <w:spacing w:val="-50"/>
        </w:rPr>
        <w:t xml:space="preserve"> 及 </w:t>
      </w:r>
      <w:r>
        <w:rPr>
          <w:color w:val="auto"/>
        </w:rPr>
        <w:t>RQFII</w:t>
      </w:r>
      <w:r>
        <w:rPr>
          <w:color w:val="auto"/>
          <w:spacing w:val="-7"/>
        </w:rPr>
        <w:t xml:space="preserve"> 委托境内公司转让创新企业 </w:t>
      </w:r>
      <w:r>
        <w:rPr>
          <w:color w:val="auto"/>
        </w:rPr>
        <w:t>CDR</w:t>
      </w:r>
      <w:r>
        <w:rPr>
          <w:color w:val="auto"/>
          <w:spacing w:val="-24"/>
        </w:rPr>
        <w:t xml:space="preserve"> 取得的差价收入，暂免征收增值税。</w:t>
      </w:r>
    </w:p>
    <w:p>
      <w:pPr>
        <w:keepNext w:val="0"/>
        <w:keepLines w:val="0"/>
        <w:pageBreakBefore w:val="0"/>
        <w:widowControl w:val="0"/>
        <w:kinsoku/>
        <w:wordWrap/>
        <w:overflowPunct/>
        <w:topLinePunct w:val="0"/>
        <w:autoSpaceDE w:val="0"/>
        <w:autoSpaceDN w:val="0"/>
        <w:bidi w:val="0"/>
        <w:adjustRightInd/>
        <w:snapToGrid/>
        <w:spacing w:before="2"/>
        <w:ind w:left="320" w:right="0" w:firstLine="0"/>
        <w:jc w:val="both"/>
        <w:textAlignment w:val="auto"/>
        <w:rPr>
          <w:rFonts w:hint="eastAsia" w:ascii="宋体" w:eastAsia="宋体"/>
          <w:b/>
          <w:color w:val="auto"/>
          <w:sz w:val="32"/>
        </w:rPr>
      </w:pPr>
      <w:r>
        <w:rPr>
          <w:rFonts w:hint="eastAsia" w:ascii="宋体" w:eastAsia="宋体"/>
          <w:b/>
          <w:color w:val="auto"/>
          <w:sz w:val="32"/>
        </w:rPr>
        <w:t>【适用条件】</w:t>
      </w:r>
    </w:p>
    <w:p>
      <w:pPr>
        <w:pStyle w:val="4"/>
        <w:keepNext w:val="0"/>
        <w:keepLines w:val="0"/>
        <w:pageBreakBefore w:val="0"/>
        <w:widowControl w:val="0"/>
        <w:kinsoku/>
        <w:wordWrap/>
        <w:overflowPunct/>
        <w:topLinePunct w:val="0"/>
        <w:autoSpaceDE w:val="0"/>
        <w:autoSpaceDN w:val="0"/>
        <w:bidi w:val="0"/>
        <w:adjustRightInd/>
        <w:snapToGrid/>
        <w:spacing w:line="364" w:lineRule="auto"/>
        <w:ind w:right="537"/>
        <w:jc w:val="both"/>
        <w:textAlignment w:val="auto"/>
        <w:rPr>
          <w:color w:val="auto"/>
        </w:rPr>
      </w:pPr>
      <w:r>
        <w:rPr>
          <w:color w:val="auto"/>
          <w:spacing w:val="-16"/>
        </w:rPr>
        <w:t xml:space="preserve">创新企业 </w:t>
      </w:r>
      <w:r>
        <w:rPr>
          <w:color w:val="auto"/>
          <w:spacing w:val="2"/>
        </w:rPr>
        <w:t>CDR</w:t>
      </w:r>
      <w:r>
        <w:rPr>
          <w:color w:val="auto"/>
        </w:rPr>
        <w:t>，是指符合《国务院办公厅转发证监会关</w:t>
      </w:r>
      <w:r>
        <w:rPr>
          <w:color w:val="auto"/>
          <w:spacing w:val="11"/>
          <w:w w:val="95"/>
        </w:rPr>
        <w:t xml:space="preserve">于开展创新企业境内发行股票或存托凭证试点若干意见的 </w:t>
      </w:r>
      <w:r>
        <w:rPr>
          <w:color w:val="auto"/>
          <w:spacing w:val="-3"/>
        </w:rPr>
        <w:t>通知》</w:t>
      </w:r>
      <w:r>
        <w:rPr>
          <w:color w:val="auto"/>
        </w:rPr>
        <w:t>（</w:t>
      </w:r>
      <w:r>
        <w:rPr>
          <w:color w:val="auto"/>
          <w:spacing w:val="-4"/>
        </w:rPr>
        <w:t>国办发〔</w:t>
      </w:r>
      <w:r>
        <w:rPr>
          <w:color w:val="auto"/>
        </w:rPr>
        <w:t>2018</w:t>
      </w:r>
      <w:r>
        <w:rPr>
          <w:color w:val="auto"/>
          <w:spacing w:val="-15"/>
        </w:rPr>
        <w:t>〕</w:t>
      </w:r>
      <w:r>
        <w:rPr>
          <w:color w:val="auto"/>
        </w:rPr>
        <w:t>21</w:t>
      </w:r>
      <w:r>
        <w:rPr>
          <w:color w:val="auto"/>
          <w:spacing w:val="-46"/>
        </w:rPr>
        <w:t xml:space="preserve"> 号</w:t>
      </w:r>
      <w:r>
        <w:rPr>
          <w:color w:val="auto"/>
          <w:spacing w:val="-17"/>
        </w:rPr>
        <w:t>）</w:t>
      </w:r>
      <w:r>
        <w:rPr>
          <w:color w:val="auto"/>
          <w:spacing w:val="-2"/>
        </w:rPr>
        <w:t>规定的试点企业，以境外股</w:t>
      </w:r>
      <w:r>
        <w:rPr>
          <w:color w:val="auto"/>
          <w:spacing w:val="-4"/>
        </w:rPr>
        <w:t>票为基础证券，由存托人签发并在中国境内发行，代表境外基础证券权益的证券。</w:t>
      </w:r>
    </w:p>
    <w:p>
      <w:pPr>
        <w:keepNext w:val="0"/>
        <w:keepLines w:val="0"/>
        <w:pageBreakBefore w:val="0"/>
        <w:widowControl w:val="0"/>
        <w:kinsoku/>
        <w:wordWrap/>
        <w:overflowPunct/>
        <w:topLinePunct w:val="0"/>
        <w:autoSpaceDE w:val="0"/>
        <w:autoSpaceDN w:val="0"/>
        <w:bidi w:val="0"/>
        <w:adjustRightInd/>
        <w:snapToGrid/>
        <w:spacing w:before="4"/>
        <w:ind w:left="320" w:right="0" w:firstLine="0"/>
        <w:jc w:val="both"/>
        <w:textAlignment w:val="auto"/>
        <w:rPr>
          <w:rFonts w:hint="eastAsia" w:ascii="宋体" w:eastAsia="宋体"/>
          <w:b/>
          <w:color w:val="auto"/>
          <w:sz w:val="32"/>
        </w:rPr>
      </w:pPr>
      <w:r>
        <w:rPr>
          <w:rFonts w:hint="eastAsia" w:ascii="宋体" w:eastAsia="宋体"/>
          <w:b/>
          <w:color w:val="auto"/>
          <w:sz w:val="32"/>
        </w:rPr>
        <w:t>【政策依据】</w:t>
      </w:r>
    </w:p>
    <w:p>
      <w:pPr>
        <w:pStyle w:val="4"/>
        <w:keepNext w:val="0"/>
        <w:keepLines w:val="0"/>
        <w:pageBreakBefore w:val="0"/>
        <w:widowControl w:val="0"/>
        <w:kinsoku/>
        <w:wordWrap/>
        <w:overflowPunct/>
        <w:topLinePunct w:val="0"/>
        <w:autoSpaceDE w:val="0"/>
        <w:autoSpaceDN w:val="0"/>
        <w:bidi w:val="0"/>
        <w:adjustRightInd/>
        <w:snapToGrid/>
        <w:spacing w:before="32" w:line="326" w:lineRule="auto"/>
        <w:ind w:left="461" w:right="463"/>
        <w:jc w:val="both"/>
        <w:textAlignment w:val="auto"/>
        <w:rPr>
          <w:rFonts w:hint="eastAsia" w:ascii="黑体" w:eastAsia="黑体"/>
          <w:color w:val="auto"/>
        </w:rPr>
      </w:pPr>
      <w:r>
        <w:rPr>
          <w:rFonts w:hint="eastAsia" w:ascii="黑体" w:eastAsia="黑体"/>
          <w:color w:val="auto"/>
        </w:rPr>
        <w:t>《财政部 税务总局 证监会关于创新企业境内发行存托凭证试点阶段有关税收政策的公告》（2019 年第 52 号） 第三条第 4 项</w:t>
      </w:r>
    </w:p>
    <w:p>
      <w:pPr>
        <w:pStyle w:val="4"/>
        <w:keepNext w:val="0"/>
        <w:keepLines w:val="0"/>
        <w:pageBreakBefore w:val="0"/>
        <w:widowControl w:val="0"/>
        <w:kinsoku/>
        <w:wordWrap/>
        <w:overflowPunct/>
        <w:topLinePunct w:val="0"/>
        <w:autoSpaceDE w:val="0"/>
        <w:autoSpaceDN w:val="0"/>
        <w:bidi w:val="0"/>
        <w:adjustRightInd/>
        <w:snapToGrid/>
        <w:spacing w:before="6"/>
        <w:ind w:left="0" w:firstLine="0"/>
        <w:jc w:val="both"/>
        <w:textAlignment w:val="auto"/>
        <w:rPr>
          <w:rFonts w:ascii="黑体"/>
          <w:color w:val="auto"/>
          <w:sz w:val="42"/>
        </w:rPr>
      </w:pPr>
    </w:p>
    <w:p>
      <w:pPr>
        <w:pStyle w:val="3"/>
        <w:keepNext w:val="0"/>
        <w:keepLines w:val="0"/>
        <w:pageBreakBefore w:val="0"/>
        <w:widowControl w:val="0"/>
        <w:numPr>
          <w:ilvl w:val="0"/>
          <w:numId w:val="48"/>
        </w:numPr>
        <w:tabs>
          <w:tab w:val="left" w:pos="805"/>
        </w:tabs>
        <w:kinsoku/>
        <w:wordWrap/>
        <w:overflowPunct/>
        <w:topLinePunct w:val="0"/>
        <w:autoSpaceDE w:val="0"/>
        <w:autoSpaceDN w:val="0"/>
        <w:bidi w:val="0"/>
        <w:adjustRightInd/>
        <w:snapToGrid/>
        <w:spacing w:before="0" w:after="0" w:line="364" w:lineRule="auto"/>
        <w:ind w:left="320" w:right="535" w:firstLine="0"/>
        <w:jc w:val="both"/>
        <w:textAlignment w:val="auto"/>
        <w:rPr>
          <w:color w:val="auto"/>
        </w:rPr>
      </w:pPr>
      <w:bookmarkStart w:id="36" w:name="_TOC_250013"/>
      <w:r>
        <w:rPr>
          <w:rFonts w:hint="eastAsia" w:ascii="仿宋" w:eastAsia="仿宋"/>
          <w:color w:val="auto"/>
        </w:rPr>
        <w:t>QFII</w:t>
      </w:r>
      <w:r>
        <w:rPr>
          <w:rFonts w:hint="eastAsia" w:ascii="仿宋" w:eastAsia="仿宋"/>
          <w:color w:val="auto"/>
          <w:spacing w:val="-86"/>
        </w:rPr>
        <w:t xml:space="preserve"> </w:t>
      </w:r>
      <w:r>
        <w:rPr>
          <w:color w:val="auto"/>
          <w:spacing w:val="-42"/>
        </w:rPr>
        <w:t xml:space="preserve">和 </w:t>
      </w:r>
      <w:r>
        <w:rPr>
          <w:rFonts w:hint="eastAsia" w:ascii="仿宋" w:eastAsia="仿宋"/>
          <w:color w:val="auto"/>
        </w:rPr>
        <w:t>RQFII</w:t>
      </w:r>
      <w:r>
        <w:rPr>
          <w:rFonts w:hint="eastAsia" w:ascii="仿宋" w:eastAsia="仿宋"/>
          <w:color w:val="auto"/>
          <w:spacing w:val="-85"/>
        </w:rPr>
        <w:t xml:space="preserve"> </w:t>
      </w:r>
      <w:r>
        <w:rPr>
          <w:color w:val="auto"/>
          <w:spacing w:val="-12"/>
        </w:rPr>
        <w:t xml:space="preserve">取得创新企业 </w:t>
      </w:r>
      <w:r>
        <w:rPr>
          <w:rFonts w:hint="eastAsia" w:ascii="仿宋" w:eastAsia="仿宋"/>
          <w:color w:val="auto"/>
        </w:rPr>
        <w:t>CDR</w:t>
      </w:r>
      <w:r>
        <w:rPr>
          <w:rFonts w:hint="eastAsia" w:ascii="仿宋" w:eastAsia="仿宋"/>
          <w:color w:val="auto"/>
          <w:spacing w:val="-88"/>
        </w:rPr>
        <w:t xml:space="preserve"> </w:t>
      </w:r>
      <w:bookmarkEnd w:id="36"/>
      <w:r>
        <w:rPr>
          <w:color w:val="auto"/>
        </w:rPr>
        <w:t>转让差价所得和股息红利所得征免企业所得税规定</w:t>
      </w:r>
    </w:p>
    <w:p>
      <w:pPr>
        <w:keepNext w:val="0"/>
        <w:keepLines w:val="0"/>
        <w:pageBreakBefore w:val="0"/>
        <w:widowControl w:val="0"/>
        <w:kinsoku/>
        <w:wordWrap/>
        <w:overflowPunct/>
        <w:topLinePunct w:val="0"/>
        <w:autoSpaceDE w:val="0"/>
        <w:autoSpaceDN w:val="0"/>
        <w:bidi w:val="0"/>
        <w:adjustRightInd/>
        <w:snapToGrid/>
        <w:spacing w:before="2"/>
        <w:ind w:left="320" w:right="0" w:firstLine="0"/>
        <w:jc w:val="both"/>
        <w:textAlignment w:val="auto"/>
        <w:rPr>
          <w:rFonts w:hint="eastAsia" w:ascii="宋体" w:eastAsia="宋体"/>
          <w:b/>
          <w:color w:val="auto"/>
          <w:sz w:val="32"/>
        </w:rPr>
      </w:pPr>
      <w:r>
        <w:rPr>
          <w:rFonts w:hint="eastAsia" w:ascii="宋体" w:eastAsia="宋体"/>
          <w:b/>
          <w:color w:val="auto"/>
          <w:sz w:val="32"/>
        </w:rPr>
        <w:t>【适用主体】</w:t>
      </w:r>
    </w:p>
    <w:p>
      <w:pPr>
        <w:pStyle w:val="4"/>
        <w:keepNext w:val="0"/>
        <w:keepLines w:val="0"/>
        <w:pageBreakBefore w:val="0"/>
        <w:widowControl w:val="0"/>
        <w:kinsoku/>
        <w:wordWrap/>
        <w:overflowPunct/>
        <w:topLinePunct w:val="0"/>
        <w:autoSpaceDE w:val="0"/>
        <w:autoSpaceDN w:val="0"/>
        <w:bidi w:val="0"/>
        <w:adjustRightInd/>
        <w:snapToGrid/>
        <w:spacing w:line="364" w:lineRule="auto"/>
        <w:ind w:right="535"/>
        <w:jc w:val="both"/>
        <w:textAlignment w:val="auto"/>
        <w:rPr>
          <w:color w:val="auto"/>
        </w:rPr>
      </w:pPr>
      <w:r>
        <w:rPr>
          <w:color w:val="auto"/>
          <w:spacing w:val="-4"/>
        </w:rPr>
        <w:t>合格境外机构投资者</w:t>
      </w:r>
      <w:r>
        <w:rPr>
          <w:color w:val="auto"/>
        </w:rPr>
        <w:t>（</w:t>
      </w:r>
      <w:r>
        <w:rPr>
          <w:color w:val="auto"/>
          <w:spacing w:val="-30"/>
        </w:rPr>
        <w:t xml:space="preserve">简称 </w:t>
      </w:r>
      <w:r>
        <w:rPr>
          <w:color w:val="auto"/>
          <w:spacing w:val="-6"/>
        </w:rPr>
        <w:t>QFII）、人民币合格境外机构投资者（</w:t>
      </w:r>
      <w:r>
        <w:rPr>
          <w:color w:val="auto"/>
          <w:spacing w:val="-31"/>
        </w:rPr>
        <w:t xml:space="preserve">简称 </w:t>
      </w:r>
      <w:r>
        <w:rPr>
          <w:color w:val="auto"/>
        </w:rPr>
        <w:t>RQFII）</w:t>
      </w:r>
    </w:p>
    <w:p>
      <w:pPr>
        <w:keepNext w:val="0"/>
        <w:keepLines w:val="0"/>
        <w:pageBreakBefore w:val="0"/>
        <w:widowControl w:val="0"/>
        <w:kinsoku/>
        <w:wordWrap/>
        <w:overflowPunct/>
        <w:topLinePunct w:val="0"/>
        <w:autoSpaceDE w:val="0"/>
        <w:autoSpaceDN w:val="0"/>
        <w:bidi w:val="0"/>
        <w:adjustRightInd/>
        <w:snapToGrid/>
        <w:spacing w:before="1"/>
        <w:ind w:left="320" w:right="0" w:firstLine="0"/>
        <w:jc w:val="both"/>
        <w:textAlignment w:val="auto"/>
        <w:rPr>
          <w:rFonts w:hint="eastAsia" w:ascii="宋体" w:eastAsia="宋体"/>
          <w:b/>
          <w:color w:val="auto"/>
          <w:sz w:val="32"/>
        </w:rPr>
      </w:pPr>
      <w:r>
        <w:rPr>
          <w:rFonts w:hint="eastAsia" w:ascii="宋体" w:eastAsia="宋体"/>
          <w:b/>
          <w:color w:val="auto"/>
          <w:sz w:val="32"/>
        </w:rPr>
        <w:t>【政策内容】</w:t>
      </w:r>
    </w:p>
    <w:p>
      <w:pPr>
        <w:pStyle w:val="4"/>
        <w:keepNext w:val="0"/>
        <w:keepLines w:val="0"/>
        <w:pageBreakBefore w:val="0"/>
        <w:widowControl w:val="0"/>
        <w:kinsoku/>
        <w:wordWrap/>
        <w:overflowPunct/>
        <w:topLinePunct w:val="0"/>
        <w:autoSpaceDE w:val="0"/>
        <w:autoSpaceDN w:val="0"/>
        <w:bidi w:val="0"/>
        <w:adjustRightInd/>
        <w:snapToGrid/>
        <w:spacing w:line="364" w:lineRule="auto"/>
        <w:ind w:right="540"/>
        <w:jc w:val="both"/>
        <w:textAlignment w:val="auto"/>
        <w:rPr>
          <w:color w:val="auto"/>
        </w:rPr>
      </w:pPr>
      <w:r>
        <w:rPr>
          <w:color w:val="auto"/>
          <w:spacing w:val="-38"/>
        </w:rPr>
        <w:t xml:space="preserve">对 </w:t>
      </w:r>
      <w:r>
        <w:rPr>
          <w:color w:val="auto"/>
        </w:rPr>
        <w:t>QFII</w:t>
      </w:r>
      <w:r>
        <w:rPr>
          <w:color w:val="auto"/>
          <w:spacing w:val="-50"/>
        </w:rPr>
        <w:t xml:space="preserve"> 及 </w:t>
      </w:r>
      <w:r>
        <w:rPr>
          <w:color w:val="auto"/>
        </w:rPr>
        <w:t>RQFII</w:t>
      </w:r>
      <w:r>
        <w:rPr>
          <w:color w:val="auto"/>
          <w:spacing w:val="-15"/>
        </w:rPr>
        <w:t xml:space="preserve"> 转让创新企业 </w:t>
      </w:r>
      <w:r>
        <w:rPr>
          <w:color w:val="auto"/>
        </w:rPr>
        <w:t>CDR</w:t>
      </w:r>
      <w:r>
        <w:rPr>
          <w:color w:val="auto"/>
          <w:spacing w:val="-4"/>
        </w:rPr>
        <w:t xml:space="preserve"> 取得的差价所得和</w:t>
      </w:r>
      <w:r>
        <w:rPr>
          <w:color w:val="auto"/>
          <w:spacing w:val="9"/>
        </w:rPr>
        <w:t>持有创新企业</w:t>
      </w:r>
      <w:r>
        <w:rPr>
          <w:color w:val="auto"/>
        </w:rPr>
        <w:t>CDR</w:t>
      </w:r>
      <w:r>
        <w:rPr>
          <w:color w:val="auto"/>
          <w:spacing w:val="-11"/>
        </w:rPr>
        <w:t xml:space="preserve"> 取得的股息红利所得，视同转让或持有据</w:t>
      </w:r>
      <w:r>
        <w:rPr>
          <w:color w:val="auto"/>
          <w:spacing w:val="1"/>
        </w:rPr>
        <w:t>以发行创新企业</w:t>
      </w:r>
      <w:r>
        <w:rPr>
          <w:color w:val="auto"/>
        </w:rPr>
        <w:t>CDR</w:t>
      </w:r>
      <w:r>
        <w:rPr>
          <w:color w:val="auto"/>
          <w:spacing w:val="-11"/>
        </w:rPr>
        <w:t xml:space="preserve"> 的基础股票取得的权益性资产转让所得和股息红利所得征免企业所得税。</w:t>
      </w:r>
    </w:p>
    <w:p>
      <w:pPr>
        <w:keepNext w:val="0"/>
        <w:keepLines w:val="0"/>
        <w:pageBreakBefore w:val="0"/>
        <w:widowControl w:val="0"/>
        <w:kinsoku/>
        <w:wordWrap/>
        <w:overflowPunct/>
        <w:topLinePunct w:val="0"/>
        <w:autoSpaceDE w:val="0"/>
        <w:autoSpaceDN w:val="0"/>
        <w:bidi w:val="0"/>
        <w:adjustRightInd/>
        <w:snapToGrid/>
        <w:spacing w:before="4"/>
        <w:ind w:left="320" w:right="0" w:firstLine="0"/>
        <w:jc w:val="both"/>
        <w:textAlignment w:val="auto"/>
        <w:rPr>
          <w:rFonts w:hint="eastAsia" w:ascii="宋体" w:eastAsia="宋体"/>
          <w:b/>
          <w:color w:val="auto"/>
          <w:sz w:val="32"/>
        </w:rPr>
      </w:pPr>
      <w:r>
        <w:rPr>
          <w:rFonts w:hint="eastAsia" w:ascii="宋体" w:eastAsia="宋体"/>
          <w:b/>
          <w:color w:val="auto"/>
          <w:sz w:val="32"/>
        </w:rPr>
        <w:t>【适用条件】</w:t>
      </w:r>
    </w:p>
    <w:p>
      <w:pPr>
        <w:pStyle w:val="4"/>
        <w:keepNext w:val="0"/>
        <w:keepLines w:val="0"/>
        <w:pageBreakBefore w:val="0"/>
        <w:widowControl w:val="0"/>
        <w:kinsoku/>
        <w:wordWrap/>
        <w:overflowPunct/>
        <w:topLinePunct w:val="0"/>
        <w:autoSpaceDE w:val="0"/>
        <w:autoSpaceDN w:val="0"/>
        <w:bidi w:val="0"/>
        <w:adjustRightInd/>
        <w:snapToGrid/>
        <w:spacing w:line="364" w:lineRule="auto"/>
        <w:ind w:right="537"/>
        <w:jc w:val="both"/>
        <w:textAlignment w:val="auto"/>
        <w:rPr>
          <w:color w:val="auto"/>
        </w:rPr>
      </w:pPr>
      <w:r>
        <w:rPr>
          <w:color w:val="auto"/>
          <w:spacing w:val="-16"/>
        </w:rPr>
        <w:t xml:space="preserve">创新企业 </w:t>
      </w:r>
      <w:r>
        <w:rPr>
          <w:color w:val="auto"/>
          <w:spacing w:val="2"/>
        </w:rPr>
        <w:t>CDR</w:t>
      </w:r>
      <w:r>
        <w:rPr>
          <w:color w:val="auto"/>
        </w:rPr>
        <w:t>，是指符合《国务院办公厅转发证监会关</w:t>
      </w:r>
      <w:r>
        <w:rPr>
          <w:color w:val="auto"/>
          <w:spacing w:val="11"/>
          <w:w w:val="95"/>
        </w:rPr>
        <w:t xml:space="preserve">于开展创新企业境内发行股票或存托凭证试点若干意见的 </w:t>
      </w:r>
      <w:r>
        <w:rPr>
          <w:color w:val="auto"/>
          <w:spacing w:val="-3"/>
        </w:rPr>
        <w:t>通知》</w:t>
      </w:r>
      <w:r>
        <w:rPr>
          <w:color w:val="auto"/>
        </w:rPr>
        <w:t>（</w:t>
      </w:r>
      <w:r>
        <w:rPr>
          <w:color w:val="auto"/>
          <w:spacing w:val="-4"/>
        </w:rPr>
        <w:t>国办发〔</w:t>
      </w:r>
      <w:r>
        <w:rPr>
          <w:color w:val="auto"/>
        </w:rPr>
        <w:t>2018</w:t>
      </w:r>
      <w:r>
        <w:rPr>
          <w:color w:val="auto"/>
          <w:spacing w:val="-15"/>
        </w:rPr>
        <w:t>〕</w:t>
      </w:r>
      <w:r>
        <w:rPr>
          <w:color w:val="auto"/>
        </w:rPr>
        <w:t>21</w:t>
      </w:r>
      <w:r>
        <w:rPr>
          <w:color w:val="auto"/>
          <w:spacing w:val="-46"/>
        </w:rPr>
        <w:t xml:space="preserve"> 号</w:t>
      </w:r>
      <w:r>
        <w:rPr>
          <w:color w:val="auto"/>
          <w:spacing w:val="-17"/>
        </w:rPr>
        <w:t>）</w:t>
      </w:r>
      <w:r>
        <w:rPr>
          <w:color w:val="auto"/>
          <w:spacing w:val="-2"/>
        </w:rPr>
        <w:t>规定的试点企业，以境外股</w:t>
      </w:r>
      <w:r>
        <w:rPr>
          <w:color w:val="auto"/>
          <w:spacing w:val="-4"/>
        </w:rPr>
        <w:t>票为基础证券，由存托人签发并在中国境内发行，代表境外基础证券权益的证券。</w:t>
      </w:r>
    </w:p>
    <w:p>
      <w:pPr>
        <w:keepNext w:val="0"/>
        <w:keepLines w:val="0"/>
        <w:pageBreakBefore w:val="0"/>
        <w:widowControl w:val="0"/>
        <w:kinsoku/>
        <w:wordWrap/>
        <w:overflowPunct/>
        <w:topLinePunct w:val="0"/>
        <w:autoSpaceDE w:val="0"/>
        <w:autoSpaceDN w:val="0"/>
        <w:bidi w:val="0"/>
        <w:adjustRightInd/>
        <w:snapToGrid/>
        <w:spacing w:before="4"/>
        <w:ind w:left="320" w:right="0" w:firstLine="0"/>
        <w:jc w:val="both"/>
        <w:textAlignment w:val="auto"/>
        <w:rPr>
          <w:rFonts w:hint="eastAsia" w:ascii="宋体" w:eastAsia="宋体"/>
          <w:b/>
          <w:color w:val="auto"/>
          <w:sz w:val="32"/>
        </w:rPr>
      </w:pPr>
      <w:r>
        <w:rPr>
          <w:rFonts w:hint="eastAsia" w:ascii="宋体" w:eastAsia="宋体"/>
          <w:b/>
          <w:color w:val="auto"/>
          <w:sz w:val="32"/>
        </w:rPr>
        <w:t>【政策依据】</w:t>
      </w:r>
    </w:p>
    <w:p>
      <w:pPr>
        <w:pStyle w:val="4"/>
        <w:keepNext w:val="0"/>
        <w:keepLines w:val="0"/>
        <w:pageBreakBefore w:val="0"/>
        <w:widowControl w:val="0"/>
        <w:kinsoku/>
        <w:wordWrap/>
        <w:overflowPunct/>
        <w:topLinePunct w:val="0"/>
        <w:autoSpaceDE w:val="0"/>
        <w:autoSpaceDN w:val="0"/>
        <w:bidi w:val="0"/>
        <w:adjustRightInd/>
        <w:snapToGrid/>
        <w:spacing w:before="235"/>
        <w:ind w:left="960" w:firstLine="0"/>
        <w:jc w:val="both"/>
        <w:textAlignment w:val="auto"/>
        <w:rPr>
          <w:rFonts w:hint="eastAsia" w:ascii="黑体" w:eastAsia="黑体"/>
          <w:color w:val="auto"/>
        </w:rPr>
      </w:pPr>
      <w:r>
        <w:rPr>
          <w:rFonts w:hint="eastAsia" w:ascii="黑体" w:eastAsia="黑体"/>
          <w:color w:val="auto"/>
        </w:rPr>
        <w:t>《财政部 税务总局 证监会关于创新企业境内发行存</w:t>
      </w:r>
    </w:p>
    <w:p>
      <w:pPr>
        <w:pStyle w:val="4"/>
        <w:keepNext w:val="0"/>
        <w:keepLines w:val="0"/>
        <w:pageBreakBefore w:val="0"/>
        <w:widowControl w:val="0"/>
        <w:kinsoku/>
        <w:wordWrap/>
        <w:overflowPunct/>
        <w:topLinePunct w:val="0"/>
        <w:autoSpaceDE w:val="0"/>
        <w:autoSpaceDN w:val="0"/>
        <w:bidi w:val="0"/>
        <w:adjustRightInd/>
        <w:snapToGrid/>
        <w:spacing w:before="32" w:line="326" w:lineRule="auto"/>
        <w:ind w:right="537" w:firstLine="0"/>
        <w:jc w:val="both"/>
        <w:textAlignment w:val="auto"/>
        <w:rPr>
          <w:rFonts w:hint="eastAsia" w:ascii="黑体" w:eastAsia="黑体"/>
          <w:color w:val="auto"/>
        </w:rPr>
      </w:pPr>
      <w:r>
        <w:rPr>
          <w:rFonts w:hint="eastAsia" w:ascii="黑体" w:eastAsia="黑体"/>
          <w:color w:val="auto"/>
        </w:rPr>
        <w:t>托凭证试点阶段有关税收政策的公告》（2019</w:t>
      </w:r>
      <w:r>
        <w:rPr>
          <w:rFonts w:hint="eastAsia" w:ascii="黑体" w:eastAsia="黑体"/>
          <w:color w:val="auto"/>
          <w:spacing w:val="-39"/>
        </w:rPr>
        <w:t xml:space="preserve"> 年第 </w:t>
      </w:r>
      <w:r>
        <w:rPr>
          <w:rFonts w:hint="eastAsia" w:ascii="黑体" w:eastAsia="黑体"/>
          <w:color w:val="auto"/>
        </w:rPr>
        <w:t>52</w:t>
      </w:r>
      <w:r>
        <w:rPr>
          <w:rFonts w:hint="eastAsia" w:ascii="黑体" w:eastAsia="黑体"/>
          <w:color w:val="auto"/>
          <w:spacing w:val="-38"/>
        </w:rPr>
        <w:t xml:space="preserve"> 号</w:t>
      </w:r>
      <w:r>
        <w:rPr>
          <w:rFonts w:hint="eastAsia" w:ascii="黑体" w:eastAsia="黑体"/>
          <w:color w:val="auto"/>
        </w:rPr>
        <w:t xml:space="preserve">） </w:t>
      </w:r>
      <w:r>
        <w:rPr>
          <w:rFonts w:hint="eastAsia" w:ascii="黑体" w:eastAsia="黑体"/>
          <w:color w:val="auto"/>
          <w:spacing w:val="-16"/>
        </w:rPr>
        <w:t xml:space="preserve">第二条第 </w:t>
      </w:r>
      <w:r>
        <w:rPr>
          <w:rFonts w:hint="eastAsia" w:ascii="黑体" w:eastAsia="黑体"/>
          <w:color w:val="auto"/>
        </w:rPr>
        <w:t>3</w:t>
      </w:r>
      <w:r>
        <w:rPr>
          <w:rFonts w:hint="eastAsia" w:ascii="黑体" w:eastAsia="黑体"/>
          <w:color w:val="auto"/>
          <w:spacing w:val="-40"/>
        </w:rPr>
        <w:t xml:space="preserve"> 项</w:t>
      </w:r>
    </w:p>
    <w:p>
      <w:pPr>
        <w:pStyle w:val="4"/>
        <w:keepNext w:val="0"/>
        <w:keepLines w:val="0"/>
        <w:pageBreakBefore w:val="0"/>
        <w:widowControl w:val="0"/>
        <w:kinsoku/>
        <w:wordWrap/>
        <w:overflowPunct/>
        <w:topLinePunct w:val="0"/>
        <w:autoSpaceDE w:val="0"/>
        <w:autoSpaceDN w:val="0"/>
        <w:bidi w:val="0"/>
        <w:adjustRightInd/>
        <w:snapToGrid/>
        <w:spacing w:before="4"/>
        <w:ind w:left="0" w:firstLine="0"/>
        <w:jc w:val="both"/>
        <w:textAlignment w:val="auto"/>
        <w:rPr>
          <w:rFonts w:ascii="黑体"/>
          <w:color w:val="auto"/>
          <w:sz w:val="42"/>
        </w:rPr>
      </w:pPr>
    </w:p>
    <w:p>
      <w:pPr>
        <w:pStyle w:val="3"/>
        <w:keepNext w:val="0"/>
        <w:keepLines w:val="0"/>
        <w:pageBreakBefore w:val="0"/>
        <w:widowControl w:val="0"/>
        <w:numPr>
          <w:ilvl w:val="0"/>
          <w:numId w:val="48"/>
        </w:numPr>
        <w:tabs>
          <w:tab w:val="left" w:pos="805"/>
        </w:tabs>
        <w:kinsoku/>
        <w:wordWrap/>
        <w:overflowPunct/>
        <w:topLinePunct w:val="0"/>
        <w:autoSpaceDE w:val="0"/>
        <w:autoSpaceDN w:val="0"/>
        <w:bidi w:val="0"/>
        <w:adjustRightInd/>
        <w:snapToGrid/>
        <w:spacing w:before="1" w:after="0" w:line="364" w:lineRule="auto"/>
        <w:ind w:left="320" w:right="535" w:firstLine="0"/>
        <w:jc w:val="both"/>
        <w:textAlignment w:val="auto"/>
        <w:rPr>
          <w:color w:val="auto"/>
        </w:rPr>
      </w:pPr>
      <w:bookmarkStart w:id="37" w:name="_TOC_250012"/>
      <w:r>
        <w:rPr>
          <w:color w:val="auto"/>
          <w:spacing w:val="6"/>
          <w:w w:val="95"/>
        </w:rPr>
        <w:t xml:space="preserve">境外机构投资银行间本币市场取得的金融商品转让收入 </w:t>
      </w:r>
      <w:bookmarkEnd w:id="37"/>
      <w:r>
        <w:rPr>
          <w:color w:val="auto"/>
          <w:spacing w:val="6"/>
        </w:rPr>
        <w:t>免征增值税</w:t>
      </w:r>
    </w:p>
    <w:p>
      <w:pPr>
        <w:keepNext w:val="0"/>
        <w:keepLines w:val="0"/>
        <w:pageBreakBefore w:val="0"/>
        <w:widowControl w:val="0"/>
        <w:kinsoku/>
        <w:wordWrap/>
        <w:overflowPunct/>
        <w:topLinePunct w:val="0"/>
        <w:autoSpaceDE w:val="0"/>
        <w:autoSpaceDN w:val="0"/>
        <w:bidi w:val="0"/>
        <w:adjustRightInd/>
        <w:snapToGrid/>
        <w:spacing w:before="1"/>
        <w:ind w:left="320" w:right="0" w:firstLine="0"/>
        <w:jc w:val="both"/>
        <w:textAlignment w:val="auto"/>
        <w:rPr>
          <w:rFonts w:hint="eastAsia" w:ascii="宋体" w:eastAsia="宋体"/>
          <w:b/>
          <w:color w:val="auto"/>
          <w:sz w:val="32"/>
        </w:rPr>
      </w:pPr>
      <w:r>
        <w:rPr>
          <w:rFonts w:hint="eastAsia" w:ascii="宋体" w:eastAsia="宋体"/>
          <w:b/>
          <w:color w:val="auto"/>
          <w:sz w:val="32"/>
        </w:rPr>
        <w:t>【适用主体】</w:t>
      </w:r>
    </w:p>
    <w:p>
      <w:pPr>
        <w:pStyle w:val="4"/>
        <w:keepNext w:val="0"/>
        <w:keepLines w:val="0"/>
        <w:pageBreakBefore w:val="0"/>
        <w:widowControl w:val="0"/>
        <w:kinsoku/>
        <w:wordWrap/>
        <w:overflowPunct/>
        <w:topLinePunct w:val="0"/>
        <w:autoSpaceDE w:val="0"/>
        <w:autoSpaceDN w:val="0"/>
        <w:bidi w:val="0"/>
        <w:adjustRightInd/>
        <w:snapToGrid/>
        <w:ind w:left="960" w:firstLine="0"/>
        <w:jc w:val="both"/>
        <w:textAlignment w:val="auto"/>
        <w:rPr>
          <w:color w:val="auto"/>
        </w:rPr>
      </w:pPr>
      <w:r>
        <w:rPr>
          <w:color w:val="auto"/>
        </w:rPr>
        <w:t>经人民银行认可的境外机构</w:t>
      </w:r>
    </w:p>
    <w:p>
      <w:pPr>
        <w:keepNext w:val="0"/>
        <w:keepLines w:val="0"/>
        <w:pageBreakBefore w:val="0"/>
        <w:widowControl w:val="0"/>
        <w:kinsoku/>
        <w:wordWrap/>
        <w:overflowPunct/>
        <w:topLinePunct w:val="0"/>
        <w:autoSpaceDE w:val="0"/>
        <w:autoSpaceDN w:val="0"/>
        <w:bidi w:val="0"/>
        <w:adjustRightInd/>
        <w:snapToGrid/>
        <w:spacing w:before="214"/>
        <w:ind w:left="320" w:right="0" w:firstLine="0"/>
        <w:jc w:val="both"/>
        <w:textAlignment w:val="auto"/>
        <w:rPr>
          <w:rFonts w:hint="eastAsia" w:ascii="宋体" w:eastAsia="宋体"/>
          <w:b/>
          <w:color w:val="auto"/>
          <w:sz w:val="32"/>
        </w:rPr>
      </w:pPr>
      <w:r>
        <w:rPr>
          <w:rFonts w:hint="eastAsia" w:ascii="宋体" w:eastAsia="宋体"/>
          <w:b/>
          <w:color w:val="auto"/>
          <w:sz w:val="32"/>
        </w:rPr>
        <w:t>【政策内容】</w:t>
      </w:r>
    </w:p>
    <w:p>
      <w:pPr>
        <w:pStyle w:val="4"/>
        <w:keepNext w:val="0"/>
        <w:keepLines w:val="0"/>
        <w:pageBreakBefore w:val="0"/>
        <w:widowControl w:val="0"/>
        <w:kinsoku/>
        <w:wordWrap/>
        <w:overflowPunct/>
        <w:topLinePunct w:val="0"/>
        <w:autoSpaceDE w:val="0"/>
        <w:autoSpaceDN w:val="0"/>
        <w:bidi w:val="0"/>
        <w:adjustRightInd/>
        <w:snapToGrid/>
        <w:spacing w:line="364" w:lineRule="auto"/>
        <w:ind w:right="537"/>
        <w:jc w:val="both"/>
        <w:textAlignment w:val="auto"/>
        <w:rPr>
          <w:color w:val="auto"/>
        </w:rPr>
      </w:pPr>
      <w:r>
        <w:rPr>
          <w:color w:val="auto"/>
          <w:spacing w:val="13"/>
          <w:w w:val="95"/>
        </w:rPr>
        <w:t xml:space="preserve">经人民银行认可的境外机构投资银行间本币市场取得 </w:t>
      </w:r>
      <w:r>
        <w:rPr>
          <w:color w:val="auto"/>
          <w:spacing w:val="13"/>
        </w:rPr>
        <w:t>的金融商品转让收入，免征增值税。</w:t>
      </w:r>
    </w:p>
    <w:p>
      <w:pPr>
        <w:keepNext w:val="0"/>
        <w:keepLines w:val="0"/>
        <w:pageBreakBefore w:val="0"/>
        <w:widowControl w:val="0"/>
        <w:kinsoku/>
        <w:wordWrap/>
        <w:overflowPunct/>
        <w:topLinePunct w:val="0"/>
        <w:autoSpaceDE w:val="0"/>
        <w:autoSpaceDN w:val="0"/>
        <w:bidi w:val="0"/>
        <w:adjustRightInd/>
        <w:snapToGrid/>
        <w:spacing w:before="2"/>
        <w:ind w:left="320" w:right="0" w:firstLine="0"/>
        <w:jc w:val="both"/>
        <w:textAlignment w:val="auto"/>
        <w:rPr>
          <w:rFonts w:hint="eastAsia" w:ascii="宋体" w:eastAsia="宋体"/>
          <w:b/>
          <w:color w:val="auto"/>
          <w:sz w:val="32"/>
        </w:rPr>
      </w:pPr>
      <w:r>
        <w:rPr>
          <w:rFonts w:hint="eastAsia" w:ascii="宋体" w:eastAsia="宋体"/>
          <w:b/>
          <w:color w:val="auto"/>
          <w:sz w:val="32"/>
        </w:rPr>
        <w:t>【适用条件】</w:t>
      </w:r>
    </w:p>
    <w:p>
      <w:pPr>
        <w:pStyle w:val="4"/>
        <w:keepNext w:val="0"/>
        <w:keepLines w:val="0"/>
        <w:pageBreakBefore w:val="0"/>
        <w:widowControl w:val="0"/>
        <w:kinsoku/>
        <w:wordWrap/>
        <w:overflowPunct/>
        <w:topLinePunct w:val="0"/>
        <w:autoSpaceDE w:val="0"/>
        <w:autoSpaceDN w:val="0"/>
        <w:bidi w:val="0"/>
        <w:adjustRightInd/>
        <w:snapToGrid/>
        <w:ind w:left="960" w:firstLine="0"/>
        <w:jc w:val="both"/>
        <w:textAlignment w:val="auto"/>
        <w:rPr>
          <w:color w:val="auto"/>
        </w:rPr>
      </w:pPr>
      <w:r>
        <w:rPr>
          <w:color w:val="auto"/>
        </w:rPr>
        <w:t>银行间本币市场包括货币市场、债券市场以及衍生品市</w:t>
      </w:r>
    </w:p>
    <w:p>
      <w:pPr>
        <w:pStyle w:val="4"/>
        <w:keepNext w:val="0"/>
        <w:keepLines w:val="0"/>
        <w:pageBreakBefore w:val="0"/>
        <w:widowControl w:val="0"/>
        <w:kinsoku/>
        <w:wordWrap/>
        <w:overflowPunct/>
        <w:topLinePunct w:val="0"/>
        <w:autoSpaceDE w:val="0"/>
        <w:autoSpaceDN w:val="0"/>
        <w:bidi w:val="0"/>
        <w:adjustRightInd/>
        <w:snapToGrid/>
        <w:spacing w:before="6"/>
        <w:ind w:left="0" w:firstLine="0"/>
        <w:jc w:val="both"/>
        <w:textAlignment w:val="auto"/>
        <w:rPr>
          <w:color w:val="auto"/>
          <w:sz w:val="12"/>
        </w:rPr>
      </w:pPr>
    </w:p>
    <w:p>
      <w:pPr>
        <w:pStyle w:val="4"/>
        <w:keepNext w:val="0"/>
        <w:keepLines w:val="0"/>
        <w:pageBreakBefore w:val="0"/>
        <w:widowControl w:val="0"/>
        <w:kinsoku/>
        <w:wordWrap/>
        <w:overflowPunct/>
        <w:topLinePunct w:val="0"/>
        <w:autoSpaceDE w:val="0"/>
        <w:autoSpaceDN w:val="0"/>
        <w:bidi w:val="0"/>
        <w:adjustRightInd/>
        <w:snapToGrid/>
        <w:spacing w:before="54"/>
        <w:ind w:firstLine="0"/>
        <w:jc w:val="both"/>
        <w:textAlignment w:val="auto"/>
        <w:rPr>
          <w:color w:val="auto"/>
        </w:rPr>
      </w:pPr>
      <w:r>
        <w:rPr>
          <w:color w:val="auto"/>
        </w:rPr>
        <w:t>场。</w:t>
      </w:r>
    </w:p>
    <w:p>
      <w:pPr>
        <w:keepNext w:val="0"/>
        <w:keepLines w:val="0"/>
        <w:pageBreakBefore w:val="0"/>
        <w:widowControl w:val="0"/>
        <w:kinsoku/>
        <w:wordWrap/>
        <w:overflowPunct/>
        <w:topLinePunct w:val="0"/>
        <w:autoSpaceDE w:val="0"/>
        <w:autoSpaceDN w:val="0"/>
        <w:bidi w:val="0"/>
        <w:adjustRightInd/>
        <w:snapToGrid/>
        <w:spacing w:before="214"/>
        <w:ind w:left="320" w:right="0" w:firstLine="0"/>
        <w:jc w:val="both"/>
        <w:textAlignment w:val="auto"/>
        <w:rPr>
          <w:rFonts w:hint="eastAsia" w:ascii="宋体" w:eastAsia="宋体"/>
          <w:b/>
          <w:color w:val="auto"/>
          <w:sz w:val="32"/>
        </w:rPr>
      </w:pPr>
      <w:r>
        <w:rPr>
          <w:rFonts w:hint="eastAsia" w:ascii="宋体" w:eastAsia="宋体"/>
          <w:b/>
          <w:color w:val="auto"/>
          <w:sz w:val="32"/>
        </w:rPr>
        <w:t>【政策依据】</w:t>
      </w:r>
    </w:p>
    <w:p>
      <w:pPr>
        <w:pStyle w:val="4"/>
        <w:keepNext w:val="0"/>
        <w:keepLines w:val="0"/>
        <w:pageBreakBefore w:val="0"/>
        <w:widowControl w:val="0"/>
        <w:kinsoku/>
        <w:wordWrap/>
        <w:overflowPunct/>
        <w:topLinePunct w:val="0"/>
        <w:autoSpaceDE w:val="0"/>
        <w:autoSpaceDN w:val="0"/>
        <w:bidi w:val="0"/>
        <w:adjustRightInd/>
        <w:snapToGrid/>
        <w:spacing w:before="236" w:line="326" w:lineRule="auto"/>
        <w:ind w:right="537"/>
        <w:jc w:val="both"/>
        <w:textAlignment w:val="auto"/>
        <w:rPr>
          <w:rFonts w:hint="eastAsia" w:ascii="黑体" w:eastAsia="黑体"/>
          <w:color w:val="auto"/>
        </w:rPr>
      </w:pPr>
      <w:r>
        <w:rPr>
          <w:rFonts w:hint="eastAsia" w:ascii="黑体" w:eastAsia="黑体"/>
          <w:color w:val="auto"/>
        </w:rPr>
        <w:t>《财政部 国家税务总局关于金融机构同业往来等增值税政策的补充通知》（财税〔2016〕70 号）第四条</w:t>
      </w:r>
    </w:p>
    <w:p>
      <w:pPr>
        <w:pStyle w:val="4"/>
        <w:keepNext w:val="0"/>
        <w:keepLines w:val="0"/>
        <w:pageBreakBefore w:val="0"/>
        <w:widowControl w:val="0"/>
        <w:kinsoku/>
        <w:wordWrap/>
        <w:overflowPunct/>
        <w:topLinePunct w:val="0"/>
        <w:autoSpaceDE w:val="0"/>
        <w:autoSpaceDN w:val="0"/>
        <w:bidi w:val="0"/>
        <w:adjustRightInd/>
        <w:snapToGrid/>
        <w:spacing w:before="4"/>
        <w:ind w:left="0" w:firstLine="0"/>
        <w:jc w:val="both"/>
        <w:textAlignment w:val="auto"/>
        <w:rPr>
          <w:rFonts w:ascii="黑体"/>
          <w:color w:val="auto"/>
          <w:sz w:val="42"/>
        </w:rPr>
      </w:pPr>
    </w:p>
    <w:p>
      <w:pPr>
        <w:pStyle w:val="3"/>
        <w:keepNext w:val="0"/>
        <w:keepLines w:val="0"/>
        <w:pageBreakBefore w:val="0"/>
        <w:widowControl w:val="0"/>
        <w:numPr>
          <w:ilvl w:val="0"/>
          <w:numId w:val="48"/>
        </w:numPr>
        <w:tabs>
          <w:tab w:val="left" w:pos="805"/>
        </w:tabs>
        <w:kinsoku/>
        <w:wordWrap/>
        <w:overflowPunct/>
        <w:topLinePunct w:val="0"/>
        <w:autoSpaceDE w:val="0"/>
        <w:autoSpaceDN w:val="0"/>
        <w:bidi w:val="0"/>
        <w:adjustRightInd/>
        <w:snapToGrid/>
        <w:spacing w:before="1" w:after="0" w:line="240" w:lineRule="auto"/>
        <w:ind w:left="804" w:right="0" w:hanging="485"/>
        <w:jc w:val="both"/>
        <w:textAlignment w:val="auto"/>
        <w:rPr>
          <w:color w:val="auto"/>
        </w:rPr>
      </w:pPr>
      <w:bookmarkStart w:id="38" w:name="_TOC_250011"/>
      <w:bookmarkEnd w:id="38"/>
      <w:r>
        <w:rPr>
          <w:color w:val="auto"/>
        </w:rPr>
        <w:t>境外机构投资境内债券利息收入暂免征收增值税</w:t>
      </w:r>
    </w:p>
    <w:p>
      <w:pPr>
        <w:keepNext w:val="0"/>
        <w:keepLines w:val="0"/>
        <w:pageBreakBefore w:val="0"/>
        <w:widowControl w:val="0"/>
        <w:kinsoku/>
        <w:wordWrap/>
        <w:overflowPunct/>
        <w:topLinePunct w:val="0"/>
        <w:autoSpaceDE w:val="0"/>
        <w:autoSpaceDN w:val="0"/>
        <w:bidi w:val="0"/>
        <w:adjustRightInd/>
        <w:snapToGrid/>
        <w:spacing w:before="214"/>
        <w:ind w:left="320" w:right="0" w:firstLine="0"/>
        <w:jc w:val="both"/>
        <w:textAlignment w:val="auto"/>
        <w:rPr>
          <w:rFonts w:hint="eastAsia" w:ascii="宋体" w:eastAsia="宋体"/>
          <w:b/>
          <w:color w:val="auto"/>
          <w:sz w:val="32"/>
        </w:rPr>
      </w:pPr>
      <w:r>
        <w:rPr>
          <w:rFonts w:hint="eastAsia" w:ascii="宋体" w:eastAsia="宋体"/>
          <w:b/>
          <w:color w:val="auto"/>
          <w:sz w:val="32"/>
        </w:rPr>
        <w:t>【适用主体】</w:t>
      </w:r>
    </w:p>
    <w:p>
      <w:pPr>
        <w:pStyle w:val="4"/>
        <w:keepNext w:val="0"/>
        <w:keepLines w:val="0"/>
        <w:pageBreakBefore w:val="0"/>
        <w:widowControl w:val="0"/>
        <w:kinsoku/>
        <w:wordWrap/>
        <w:overflowPunct/>
        <w:topLinePunct w:val="0"/>
        <w:autoSpaceDE w:val="0"/>
        <w:autoSpaceDN w:val="0"/>
        <w:bidi w:val="0"/>
        <w:adjustRightInd/>
        <w:snapToGrid/>
        <w:ind w:left="960" w:firstLine="0"/>
        <w:jc w:val="both"/>
        <w:textAlignment w:val="auto"/>
        <w:rPr>
          <w:color w:val="auto"/>
        </w:rPr>
      </w:pPr>
      <w:r>
        <w:rPr>
          <w:color w:val="auto"/>
        </w:rPr>
        <w:t>投资境内债券市场的境外机构</w:t>
      </w:r>
    </w:p>
    <w:p>
      <w:pPr>
        <w:keepNext w:val="0"/>
        <w:keepLines w:val="0"/>
        <w:pageBreakBefore w:val="0"/>
        <w:widowControl w:val="0"/>
        <w:kinsoku/>
        <w:wordWrap/>
        <w:overflowPunct/>
        <w:topLinePunct w:val="0"/>
        <w:autoSpaceDE w:val="0"/>
        <w:autoSpaceDN w:val="0"/>
        <w:bidi w:val="0"/>
        <w:adjustRightInd/>
        <w:snapToGrid/>
        <w:spacing w:before="214"/>
        <w:ind w:left="320" w:right="0" w:firstLine="0"/>
        <w:jc w:val="both"/>
        <w:textAlignment w:val="auto"/>
        <w:rPr>
          <w:rFonts w:hint="eastAsia" w:ascii="宋体" w:eastAsia="宋体"/>
          <w:b/>
          <w:color w:val="auto"/>
          <w:sz w:val="32"/>
        </w:rPr>
      </w:pPr>
      <w:r>
        <w:rPr>
          <w:rFonts w:hint="eastAsia" w:ascii="宋体" w:eastAsia="宋体"/>
          <w:b/>
          <w:color w:val="auto"/>
          <w:sz w:val="32"/>
        </w:rPr>
        <w:t>【政策内容】</w:t>
      </w:r>
    </w:p>
    <w:p>
      <w:pPr>
        <w:pStyle w:val="4"/>
        <w:keepNext w:val="0"/>
        <w:keepLines w:val="0"/>
        <w:pageBreakBefore w:val="0"/>
        <w:widowControl w:val="0"/>
        <w:kinsoku/>
        <w:wordWrap/>
        <w:overflowPunct/>
        <w:topLinePunct w:val="0"/>
        <w:autoSpaceDE w:val="0"/>
        <w:autoSpaceDN w:val="0"/>
        <w:bidi w:val="0"/>
        <w:adjustRightInd/>
        <w:snapToGrid/>
        <w:spacing w:line="364" w:lineRule="auto"/>
        <w:ind w:right="537"/>
        <w:jc w:val="both"/>
        <w:textAlignment w:val="auto"/>
        <w:rPr>
          <w:color w:val="auto"/>
        </w:rPr>
      </w:pPr>
      <w:r>
        <w:rPr>
          <w:color w:val="auto"/>
        </w:rPr>
        <w:t>2018</w:t>
      </w:r>
      <w:r>
        <w:rPr>
          <w:color w:val="auto"/>
          <w:spacing w:val="-55"/>
        </w:rPr>
        <w:t xml:space="preserve"> 年 </w:t>
      </w:r>
      <w:r>
        <w:rPr>
          <w:color w:val="auto"/>
        </w:rPr>
        <w:t>11</w:t>
      </w:r>
      <w:r>
        <w:rPr>
          <w:color w:val="auto"/>
          <w:spacing w:val="-54"/>
        </w:rPr>
        <w:t xml:space="preserve"> 月 </w:t>
      </w:r>
      <w:r>
        <w:rPr>
          <w:color w:val="auto"/>
        </w:rPr>
        <w:t>7</w:t>
      </w:r>
      <w:r>
        <w:rPr>
          <w:color w:val="auto"/>
          <w:spacing w:val="-41"/>
        </w:rPr>
        <w:t xml:space="preserve"> 日至 </w:t>
      </w:r>
      <w:r>
        <w:rPr>
          <w:color w:val="auto"/>
        </w:rPr>
        <w:t>2025</w:t>
      </w:r>
      <w:r>
        <w:rPr>
          <w:color w:val="auto"/>
          <w:spacing w:val="-55"/>
        </w:rPr>
        <w:t xml:space="preserve"> 年 </w:t>
      </w:r>
      <w:r>
        <w:rPr>
          <w:color w:val="auto"/>
        </w:rPr>
        <w:t>12</w:t>
      </w:r>
      <w:r>
        <w:rPr>
          <w:color w:val="auto"/>
          <w:spacing w:val="-55"/>
        </w:rPr>
        <w:t xml:space="preserve"> 月 </w:t>
      </w:r>
      <w:r>
        <w:rPr>
          <w:color w:val="auto"/>
        </w:rPr>
        <w:t>31</w:t>
      </w:r>
      <w:r>
        <w:rPr>
          <w:color w:val="auto"/>
          <w:spacing w:val="-21"/>
        </w:rPr>
        <w:t xml:space="preserve"> 日，对境外机构投资境内债券市场取得的债券利息收入暂免征收增值税。</w:t>
      </w:r>
    </w:p>
    <w:p>
      <w:pPr>
        <w:keepNext w:val="0"/>
        <w:keepLines w:val="0"/>
        <w:pageBreakBefore w:val="0"/>
        <w:widowControl w:val="0"/>
        <w:kinsoku/>
        <w:wordWrap/>
        <w:overflowPunct/>
        <w:topLinePunct w:val="0"/>
        <w:autoSpaceDE w:val="0"/>
        <w:autoSpaceDN w:val="0"/>
        <w:bidi w:val="0"/>
        <w:adjustRightInd/>
        <w:snapToGrid/>
        <w:spacing w:before="30"/>
        <w:ind w:left="320" w:right="0" w:firstLine="0"/>
        <w:jc w:val="both"/>
        <w:textAlignment w:val="auto"/>
        <w:rPr>
          <w:rFonts w:hint="eastAsia" w:ascii="宋体" w:eastAsia="宋体"/>
          <w:b/>
          <w:color w:val="auto"/>
          <w:sz w:val="32"/>
        </w:rPr>
      </w:pPr>
      <w:r>
        <w:rPr>
          <w:rFonts w:hint="eastAsia" w:ascii="宋体" w:eastAsia="宋体"/>
          <w:b/>
          <w:color w:val="auto"/>
          <w:sz w:val="32"/>
        </w:rPr>
        <w:t>【适用条件】</w:t>
      </w:r>
    </w:p>
    <w:p>
      <w:pPr>
        <w:pStyle w:val="4"/>
        <w:keepNext w:val="0"/>
        <w:keepLines w:val="0"/>
        <w:pageBreakBefore w:val="0"/>
        <w:widowControl w:val="0"/>
        <w:kinsoku/>
        <w:wordWrap/>
        <w:overflowPunct/>
        <w:topLinePunct w:val="0"/>
        <w:autoSpaceDE w:val="0"/>
        <w:autoSpaceDN w:val="0"/>
        <w:bidi w:val="0"/>
        <w:adjustRightInd/>
        <w:snapToGrid/>
        <w:ind w:left="960" w:firstLine="0"/>
        <w:jc w:val="both"/>
        <w:textAlignment w:val="auto"/>
        <w:rPr>
          <w:color w:val="auto"/>
        </w:rPr>
      </w:pPr>
      <w:r>
        <w:rPr>
          <w:color w:val="auto"/>
        </w:rPr>
        <w:t>境外机构投资境内债券市场取得债券利息收入。</w:t>
      </w:r>
    </w:p>
    <w:p>
      <w:pPr>
        <w:keepNext w:val="0"/>
        <w:keepLines w:val="0"/>
        <w:pageBreakBefore w:val="0"/>
        <w:widowControl w:val="0"/>
        <w:kinsoku/>
        <w:wordWrap/>
        <w:overflowPunct/>
        <w:topLinePunct w:val="0"/>
        <w:autoSpaceDE w:val="0"/>
        <w:autoSpaceDN w:val="0"/>
        <w:bidi w:val="0"/>
        <w:adjustRightInd/>
        <w:snapToGrid/>
        <w:spacing w:before="214"/>
        <w:ind w:left="320" w:right="0" w:firstLine="0"/>
        <w:jc w:val="both"/>
        <w:textAlignment w:val="auto"/>
        <w:rPr>
          <w:rFonts w:hint="eastAsia" w:ascii="宋体" w:eastAsia="宋体"/>
          <w:b/>
          <w:color w:val="auto"/>
          <w:sz w:val="32"/>
        </w:rPr>
      </w:pPr>
      <w:r>
        <w:rPr>
          <w:rFonts w:hint="eastAsia" w:ascii="宋体" w:eastAsia="宋体"/>
          <w:b/>
          <w:color w:val="auto"/>
          <w:sz w:val="32"/>
        </w:rPr>
        <w:t>【政策依据】</w:t>
      </w:r>
    </w:p>
    <w:p>
      <w:pPr>
        <w:pStyle w:val="12"/>
        <w:keepNext w:val="0"/>
        <w:keepLines w:val="0"/>
        <w:pageBreakBefore w:val="0"/>
        <w:widowControl w:val="0"/>
        <w:numPr>
          <w:ilvl w:val="1"/>
          <w:numId w:val="48"/>
        </w:numPr>
        <w:tabs>
          <w:tab w:val="left" w:pos="1283"/>
        </w:tabs>
        <w:kinsoku/>
        <w:wordWrap/>
        <w:overflowPunct/>
        <w:topLinePunct w:val="0"/>
        <w:autoSpaceDE w:val="0"/>
        <w:autoSpaceDN w:val="0"/>
        <w:bidi w:val="0"/>
        <w:adjustRightInd/>
        <w:snapToGrid/>
        <w:spacing w:before="236" w:after="0" w:line="326" w:lineRule="auto"/>
        <w:ind w:left="320" w:right="537" w:firstLine="640"/>
        <w:jc w:val="both"/>
        <w:textAlignment w:val="auto"/>
        <w:rPr>
          <w:rFonts w:hint="eastAsia" w:ascii="黑体" w:eastAsia="黑体"/>
          <w:color w:val="auto"/>
          <w:sz w:val="30"/>
        </w:rPr>
      </w:pPr>
      <w:r>
        <w:rPr>
          <w:rFonts w:hint="eastAsia" w:ascii="黑体" w:eastAsia="黑体"/>
          <w:color w:val="auto"/>
          <w:spacing w:val="1"/>
          <w:sz w:val="32"/>
        </w:rPr>
        <w:t>《财政部 税务总局关于境外机构投资境内债券市场</w:t>
      </w:r>
      <w:r>
        <w:rPr>
          <w:rFonts w:hint="eastAsia" w:ascii="黑体" w:eastAsia="黑体"/>
          <w:color w:val="auto"/>
          <w:sz w:val="32"/>
        </w:rPr>
        <w:t>企业所得税 增值税政策的通知》（财税〔2018〕108</w:t>
      </w:r>
      <w:r>
        <w:rPr>
          <w:rFonts w:hint="eastAsia" w:ascii="黑体" w:eastAsia="黑体"/>
          <w:color w:val="auto"/>
          <w:spacing w:val="-41"/>
          <w:sz w:val="32"/>
        </w:rPr>
        <w:t xml:space="preserve"> 号</w:t>
      </w:r>
      <w:r>
        <w:rPr>
          <w:rFonts w:hint="eastAsia" w:ascii="黑体" w:eastAsia="黑体"/>
          <w:color w:val="auto"/>
          <w:sz w:val="32"/>
        </w:rPr>
        <w:t>）</w:t>
      </w:r>
    </w:p>
    <w:p>
      <w:pPr>
        <w:pStyle w:val="12"/>
        <w:keepNext w:val="0"/>
        <w:keepLines w:val="0"/>
        <w:pageBreakBefore w:val="0"/>
        <w:widowControl w:val="0"/>
        <w:numPr>
          <w:ilvl w:val="1"/>
          <w:numId w:val="48"/>
        </w:numPr>
        <w:tabs>
          <w:tab w:val="left" w:pos="1283"/>
        </w:tabs>
        <w:kinsoku/>
        <w:wordWrap/>
        <w:overflowPunct/>
        <w:topLinePunct w:val="0"/>
        <w:autoSpaceDE w:val="0"/>
        <w:autoSpaceDN w:val="0"/>
        <w:bidi w:val="0"/>
        <w:adjustRightInd/>
        <w:snapToGrid/>
        <w:spacing w:before="3" w:after="0" w:line="328" w:lineRule="auto"/>
        <w:ind w:left="320" w:right="537" w:firstLine="640"/>
        <w:jc w:val="both"/>
        <w:textAlignment w:val="auto"/>
        <w:rPr>
          <w:rFonts w:hint="eastAsia" w:ascii="黑体" w:eastAsia="黑体"/>
          <w:color w:val="auto"/>
          <w:sz w:val="30"/>
        </w:rPr>
      </w:pPr>
      <w:r>
        <w:rPr>
          <w:rFonts w:hint="eastAsia" w:ascii="黑体" w:eastAsia="黑体"/>
          <w:color w:val="auto"/>
          <w:spacing w:val="1"/>
          <w:sz w:val="32"/>
        </w:rPr>
        <w:t>《财政部 税务总局关于延续境外机构投资境内债券市场企业所得税、增值税政策的公告》（2021</w:t>
      </w:r>
      <w:r>
        <w:rPr>
          <w:rFonts w:hint="eastAsia" w:ascii="黑体" w:eastAsia="黑体"/>
          <w:color w:val="auto"/>
          <w:spacing w:val="-42"/>
          <w:sz w:val="32"/>
        </w:rPr>
        <w:t xml:space="preserve"> 年第 </w:t>
      </w:r>
      <w:r>
        <w:rPr>
          <w:rFonts w:hint="eastAsia" w:ascii="黑体" w:eastAsia="黑体"/>
          <w:color w:val="auto"/>
          <w:sz w:val="32"/>
        </w:rPr>
        <w:t>34</w:t>
      </w:r>
      <w:r>
        <w:rPr>
          <w:rFonts w:hint="eastAsia" w:ascii="黑体" w:eastAsia="黑体"/>
          <w:color w:val="auto"/>
          <w:spacing w:val="-42"/>
          <w:sz w:val="32"/>
        </w:rPr>
        <w:t xml:space="preserve"> 号</w:t>
      </w:r>
      <w:r>
        <w:rPr>
          <w:rFonts w:hint="eastAsia" w:ascii="黑体" w:eastAsia="黑体"/>
          <w:color w:val="auto"/>
          <w:sz w:val="32"/>
        </w:rPr>
        <w:t>）</w:t>
      </w:r>
    </w:p>
    <w:p>
      <w:pPr>
        <w:pStyle w:val="4"/>
        <w:keepNext w:val="0"/>
        <w:keepLines w:val="0"/>
        <w:pageBreakBefore w:val="0"/>
        <w:widowControl w:val="0"/>
        <w:kinsoku/>
        <w:wordWrap/>
        <w:overflowPunct/>
        <w:topLinePunct w:val="0"/>
        <w:autoSpaceDE w:val="0"/>
        <w:autoSpaceDN w:val="0"/>
        <w:bidi w:val="0"/>
        <w:adjustRightInd/>
        <w:snapToGrid/>
        <w:spacing w:before="12"/>
        <w:ind w:left="0" w:firstLine="0"/>
        <w:jc w:val="both"/>
        <w:textAlignment w:val="auto"/>
        <w:rPr>
          <w:rFonts w:ascii="黑体"/>
          <w:color w:val="auto"/>
          <w:sz w:val="41"/>
        </w:rPr>
      </w:pPr>
    </w:p>
    <w:p>
      <w:pPr>
        <w:pStyle w:val="3"/>
        <w:keepNext w:val="0"/>
        <w:keepLines w:val="0"/>
        <w:pageBreakBefore w:val="0"/>
        <w:widowControl w:val="0"/>
        <w:numPr>
          <w:ilvl w:val="0"/>
          <w:numId w:val="48"/>
        </w:numPr>
        <w:tabs>
          <w:tab w:val="left" w:pos="805"/>
        </w:tabs>
        <w:kinsoku/>
        <w:wordWrap/>
        <w:overflowPunct/>
        <w:topLinePunct w:val="0"/>
        <w:autoSpaceDE w:val="0"/>
        <w:autoSpaceDN w:val="0"/>
        <w:bidi w:val="0"/>
        <w:adjustRightInd/>
        <w:snapToGrid/>
        <w:spacing w:before="0" w:after="0" w:line="240" w:lineRule="auto"/>
        <w:ind w:left="804" w:right="0" w:hanging="485"/>
        <w:jc w:val="both"/>
        <w:textAlignment w:val="auto"/>
        <w:rPr>
          <w:color w:val="auto"/>
        </w:rPr>
      </w:pPr>
      <w:bookmarkStart w:id="39" w:name="_TOC_250010"/>
      <w:bookmarkEnd w:id="39"/>
      <w:r>
        <w:rPr>
          <w:color w:val="auto"/>
        </w:rPr>
        <w:t>境外机构投资境内债券利息收入暂免征收企业所得税</w:t>
      </w:r>
    </w:p>
    <w:p>
      <w:pPr>
        <w:keepNext w:val="0"/>
        <w:keepLines w:val="0"/>
        <w:pageBreakBefore w:val="0"/>
        <w:widowControl w:val="0"/>
        <w:kinsoku/>
        <w:wordWrap/>
        <w:overflowPunct/>
        <w:topLinePunct w:val="0"/>
        <w:autoSpaceDE w:val="0"/>
        <w:autoSpaceDN w:val="0"/>
        <w:bidi w:val="0"/>
        <w:adjustRightInd/>
        <w:snapToGrid/>
        <w:spacing w:before="214"/>
        <w:ind w:left="320" w:right="0" w:firstLine="0"/>
        <w:jc w:val="both"/>
        <w:textAlignment w:val="auto"/>
        <w:rPr>
          <w:rFonts w:hint="eastAsia" w:ascii="宋体" w:eastAsia="宋体"/>
          <w:b/>
          <w:color w:val="auto"/>
          <w:sz w:val="32"/>
        </w:rPr>
      </w:pPr>
      <w:r>
        <w:rPr>
          <w:rFonts w:hint="eastAsia" w:ascii="宋体" w:eastAsia="宋体"/>
          <w:b/>
          <w:color w:val="auto"/>
          <w:sz w:val="32"/>
        </w:rPr>
        <w:t>【适用主体】</w:t>
      </w:r>
    </w:p>
    <w:p>
      <w:pPr>
        <w:pStyle w:val="4"/>
        <w:keepNext w:val="0"/>
        <w:keepLines w:val="0"/>
        <w:pageBreakBefore w:val="0"/>
        <w:widowControl w:val="0"/>
        <w:kinsoku/>
        <w:wordWrap/>
        <w:overflowPunct/>
        <w:topLinePunct w:val="0"/>
        <w:autoSpaceDE w:val="0"/>
        <w:autoSpaceDN w:val="0"/>
        <w:bidi w:val="0"/>
        <w:adjustRightInd/>
        <w:snapToGrid/>
        <w:ind w:left="960" w:firstLine="0"/>
        <w:jc w:val="both"/>
        <w:textAlignment w:val="auto"/>
        <w:rPr>
          <w:color w:val="auto"/>
        </w:rPr>
      </w:pPr>
      <w:r>
        <w:rPr>
          <w:color w:val="auto"/>
        </w:rPr>
        <w:t>投资境内债券市场的境外机构</w:t>
      </w:r>
    </w:p>
    <w:p>
      <w:pPr>
        <w:keepNext w:val="0"/>
        <w:keepLines w:val="0"/>
        <w:pageBreakBefore w:val="0"/>
        <w:widowControl w:val="0"/>
        <w:kinsoku/>
        <w:wordWrap/>
        <w:overflowPunct/>
        <w:topLinePunct w:val="0"/>
        <w:autoSpaceDE w:val="0"/>
        <w:autoSpaceDN w:val="0"/>
        <w:bidi w:val="0"/>
        <w:adjustRightInd/>
        <w:snapToGrid/>
        <w:spacing w:before="214"/>
        <w:ind w:left="320" w:right="0" w:firstLine="0"/>
        <w:jc w:val="both"/>
        <w:textAlignment w:val="auto"/>
        <w:rPr>
          <w:rFonts w:hint="eastAsia" w:ascii="宋体" w:eastAsia="宋体"/>
          <w:b/>
          <w:color w:val="auto"/>
          <w:sz w:val="32"/>
        </w:rPr>
      </w:pPr>
      <w:r>
        <w:rPr>
          <w:rFonts w:hint="eastAsia" w:ascii="宋体" w:eastAsia="宋体"/>
          <w:b/>
          <w:color w:val="auto"/>
          <w:sz w:val="32"/>
        </w:rPr>
        <w:t>【政策内容】</w:t>
      </w:r>
    </w:p>
    <w:p>
      <w:pPr>
        <w:pStyle w:val="4"/>
        <w:keepNext w:val="0"/>
        <w:keepLines w:val="0"/>
        <w:pageBreakBefore w:val="0"/>
        <w:widowControl w:val="0"/>
        <w:kinsoku/>
        <w:wordWrap/>
        <w:overflowPunct/>
        <w:topLinePunct w:val="0"/>
        <w:autoSpaceDE w:val="0"/>
        <w:autoSpaceDN w:val="0"/>
        <w:bidi w:val="0"/>
        <w:adjustRightInd/>
        <w:snapToGrid/>
        <w:spacing w:line="364" w:lineRule="auto"/>
        <w:ind w:right="525"/>
        <w:jc w:val="both"/>
        <w:textAlignment w:val="auto"/>
        <w:rPr>
          <w:color w:val="auto"/>
        </w:rPr>
      </w:pPr>
      <w:r>
        <w:rPr>
          <w:color w:val="auto"/>
        </w:rPr>
        <w:t>2018</w:t>
      </w:r>
      <w:r>
        <w:rPr>
          <w:color w:val="auto"/>
          <w:spacing w:val="-55"/>
        </w:rPr>
        <w:t xml:space="preserve"> 年 </w:t>
      </w:r>
      <w:r>
        <w:rPr>
          <w:color w:val="auto"/>
        </w:rPr>
        <w:t>11</w:t>
      </w:r>
      <w:r>
        <w:rPr>
          <w:color w:val="auto"/>
          <w:spacing w:val="-54"/>
        </w:rPr>
        <w:t xml:space="preserve"> 月 </w:t>
      </w:r>
      <w:r>
        <w:rPr>
          <w:color w:val="auto"/>
        </w:rPr>
        <w:t>7</w:t>
      </w:r>
      <w:r>
        <w:rPr>
          <w:color w:val="auto"/>
          <w:spacing w:val="-41"/>
        </w:rPr>
        <w:t xml:space="preserve"> 日至 </w:t>
      </w:r>
      <w:r>
        <w:rPr>
          <w:color w:val="auto"/>
        </w:rPr>
        <w:t>2025</w:t>
      </w:r>
      <w:r>
        <w:rPr>
          <w:color w:val="auto"/>
          <w:spacing w:val="-55"/>
        </w:rPr>
        <w:t xml:space="preserve"> 年 </w:t>
      </w:r>
      <w:r>
        <w:rPr>
          <w:color w:val="auto"/>
        </w:rPr>
        <w:t>12</w:t>
      </w:r>
      <w:r>
        <w:rPr>
          <w:color w:val="auto"/>
          <w:spacing w:val="-54"/>
        </w:rPr>
        <w:t xml:space="preserve"> 月 </w:t>
      </w:r>
      <w:r>
        <w:rPr>
          <w:color w:val="auto"/>
        </w:rPr>
        <w:t>31</w:t>
      </w:r>
      <w:r>
        <w:rPr>
          <w:color w:val="auto"/>
          <w:spacing w:val="-21"/>
        </w:rPr>
        <w:t xml:space="preserve"> 日，对境外机构投资境内债券市场取得的债券利息收入暂免征收企业所得税。</w:t>
      </w:r>
    </w:p>
    <w:p>
      <w:pPr>
        <w:keepNext w:val="0"/>
        <w:keepLines w:val="0"/>
        <w:pageBreakBefore w:val="0"/>
        <w:widowControl w:val="0"/>
        <w:kinsoku/>
        <w:wordWrap/>
        <w:overflowPunct/>
        <w:topLinePunct w:val="0"/>
        <w:autoSpaceDE w:val="0"/>
        <w:autoSpaceDN w:val="0"/>
        <w:bidi w:val="0"/>
        <w:adjustRightInd/>
        <w:snapToGrid/>
        <w:spacing w:before="1"/>
        <w:ind w:left="320" w:right="0" w:firstLine="0"/>
        <w:jc w:val="both"/>
        <w:textAlignment w:val="auto"/>
        <w:rPr>
          <w:rFonts w:hint="eastAsia" w:ascii="宋体" w:eastAsia="宋体"/>
          <w:b/>
          <w:color w:val="auto"/>
          <w:sz w:val="32"/>
        </w:rPr>
      </w:pPr>
      <w:r>
        <w:rPr>
          <w:rFonts w:hint="eastAsia" w:ascii="宋体" w:eastAsia="宋体"/>
          <w:b/>
          <w:color w:val="auto"/>
          <w:sz w:val="32"/>
        </w:rPr>
        <w:t>【适用条件】</w:t>
      </w:r>
    </w:p>
    <w:p>
      <w:pPr>
        <w:pStyle w:val="4"/>
        <w:keepNext w:val="0"/>
        <w:keepLines w:val="0"/>
        <w:pageBreakBefore w:val="0"/>
        <w:widowControl w:val="0"/>
        <w:kinsoku/>
        <w:wordWrap/>
        <w:overflowPunct/>
        <w:topLinePunct w:val="0"/>
        <w:autoSpaceDE w:val="0"/>
        <w:autoSpaceDN w:val="0"/>
        <w:bidi w:val="0"/>
        <w:adjustRightInd/>
        <w:snapToGrid/>
        <w:spacing w:line="364" w:lineRule="auto"/>
        <w:ind w:right="537"/>
        <w:jc w:val="both"/>
        <w:textAlignment w:val="auto"/>
        <w:rPr>
          <w:color w:val="auto"/>
        </w:rPr>
      </w:pPr>
      <w:r>
        <w:rPr>
          <w:color w:val="auto"/>
          <w:spacing w:val="13"/>
          <w:w w:val="95"/>
        </w:rPr>
        <w:t xml:space="preserve">暂免征收企业所得税的范围不包括境外机构在境内设 </w:t>
      </w:r>
      <w:r>
        <w:rPr>
          <w:color w:val="auto"/>
          <w:spacing w:val="-1"/>
          <w:w w:val="95"/>
        </w:rPr>
        <w:t xml:space="preserve">立的机构、场所取得的与该机构、场所有实际联系的债券利 </w:t>
      </w:r>
      <w:r>
        <w:rPr>
          <w:color w:val="auto"/>
          <w:spacing w:val="-1"/>
        </w:rPr>
        <w:t>息。</w:t>
      </w:r>
    </w:p>
    <w:p>
      <w:pPr>
        <w:keepNext w:val="0"/>
        <w:keepLines w:val="0"/>
        <w:pageBreakBefore w:val="0"/>
        <w:widowControl w:val="0"/>
        <w:kinsoku/>
        <w:wordWrap/>
        <w:overflowPunct/>
        <w:topLinePunct w:val="0"/>
        <w:autoSpaceDE w:val="0"/>
        <w:autoSpaceDN w:val="0"/>
        <w:bidi w:val="0"/>
        <w:adjustRightInd/>
        <w:snapToGrid/>
        <w:spacing w:before="3"/>
        <w:ind w:left="320" w:right="0" w:firstLine="0"/>
        <w:jc w:val="both"/>
        <w:textAlignment w:val="auto"/>
        <w:rPr>
          <w:rFonts w:hint="eastAsia" w:ascii="宋体" w:eastAsia="宋体"/>
          <w:b/>
          <w:color w:val="auto"/>
          <w:sz w:val="32"/>
        </w:rPr>
      </w:pPr>
      <w:r>
        <w:rPr>
          <w:rFonts w:hint="eastAsia" w:ascii="宋体" w:eastAsia="宋体"/>
          <w:b/>
          <w:color w:val="auto"/>
          <w:sz w:val="32"/>
        </w:rPr>
        <w:t>【政策依据】</w:t>
      </w:r>
    </w:p>
    <w:p>
      <w:pPr>
        <w:pStyle w:val="12"/>
        <w:keepNext w:val="0"/>
        <w:keepLines w:val="0"/>
        <w:pageBreakBefore w:val="0"/>
        <w:widowControl w:val="0"/>
        <w:numPr>
          <w:ilvl w:val="1"/>
          <w:numId w:val="48"/>
        </w:numPr>
        <w:tabs>
          <w:tab w:val="left" w:pos="1285"/>
        </w:tabs>
        <w:kinsoku/>
        <w:wordWrap/>
        <w:overflowPunct/>
        <w:topLinePunct w:val="0"/>
        <w:autoSpaceDE w:val="0"/>
        <w:autoSpaceDN w:val="0"/>
        <w:bidi w:val="0"/>
        <w:adjustRightInd/>
        <w:snapToGrid/>
        <w:spacing w:before="233" w:after="0" w:line="328" w:lineRule="auto"/>
        <w:ind w:left="320" w:right="537" w:firstLine="640"/>
        <w:jc w:val="both"/>
        <w:textAlignment w:val="auto"/>
        <w:rPr>
          <w:rFonts w:hint="eastAsia" w:ascii="黑体" w:eastAsia="黑体"/>
          <w:color w:val="auto"/>
          <w:sz w:val="30"/>
        </w:rPr>
      </w:pPr>
      <w:r>
        <w:rPr>
          <w:rFonts w:hint="eastAsia" w:ascii="黑体" w:eastAsia="黑体"/>
          <w:color w:val="auto"/>
          <w:spacing w:val="1"/>
          <w:sz w:val="32"/>
        </w:rPr>
        <w:t>《财政部 税务总局关于境外机构投资境内债券市场</w:t>
      </w:r>
      <w:r>
        <w:rPr>
          <w:rFonts w:hint="eastAsia" w:ascii="黑体" w:eastAsia="黑体"/>
          <w:color w:val="auto"/>
          <w:sz w:val="32"/>
        </w:rPr>
        <w:t>企业所得税 增值税政策的通知》（财税〔2018〕108</w:t>
      </w:r>
      <w:r>
        <w:rPr>
          <w:rFonts w:hint="eastAsia" w:ascii="黑体" w:eastAsia="黑体"/>
          <w:color w:val="auto"/>
          <w:spacing w:val="-41"/>
          <w:sz w:val="32"/>
        </w:rPr>
        <w:t xml:space="preserve"> 号</w:t>
      </w:r>
      <w:r>
        <w:rPr>
          <w:rFonts w:hint="eastAsia" w:ascii="黑体" w:eastAsia="黑体"/>
          <w:color w:val="auto"/>
          <w:sz w:val="32"/>
        </w:rPr>
        <w:t>）</w:t>
      </w:r>
    </w:p>
    <w:p>
      <w:pPr>
        <w:pStyle w:val="12"/>
        <w:keepNext w:val="0"/>
        <w:keepLines w:val="0"/>
        <w:pageBreakBefore w:val="0"/>
        <w:widowControl w:val="0"/>
        <w:numPr>
          <w:ilvl w:val="1"/>
          <w:numId w:val="48"/>
        </w:numPr>
        <w:tabs>
          <w:tab w:val="left" w:pos="1285"/>
        </w:tabs>
        <w:kinsoku/>
        <w:wordWrap/>
        <w:overflowPunct/>
        <w:topLinePunct w:val="0"/>
        <w:autoSpaceDE w:val="0"/>
        <w:autoSpaceDN w:val="0"/>
        <w:bidi w:val="0"/>
        <w:adjustRightInd/>
        <w:snapToGrid/>
        <w:spacing w:before="0" w:after="0" w:line="326" w:lineRule="auto"/>
        <w:ind w:left="320" w:right="537" w:firstLine="640"/>
        <w:jc w:val="both"/>
        <w:textAlignment w:val="auto"/>
        <w:rPr>
          <w:rFonts w:hint="eastAsia" w:ascii="黑体" w:eastAsia="黑体"/>
          <w:color w:val="auto"/>
          <w:sz w:val="30"/>
        </w:rPr>
      </w:pPr>
      <w:r>
        <w:rPr>
          <w:rFonts w:hint="eastAsia" w:ascii="黑体" w:eastAsia="黑体"/>
          <w:color w:val="auto"/>
          <w:spacing w:val="1"/>
          <w:sz w:val="32"/>
        </w:rPr>
        <w:t>《财政部 税务总局关于延续境外机构投资境内债券市场企业所得税、增值税政策的公告》（2021</w:t>
      </w:r>
      <w:r>
        <w:rPr>
          <w:rFonts w:hint="eastAsia" w:ascii="黑体" w:eastAsia="黑体"/>
          <w:color w:val="auto"/>
          <w:spacing w:val="-42"/>
          <w:sz w:val="32"/>
        </w:rPr>
        <w:t xml:space="preserve"> 年第 </w:t>
      </w:r>
      <w:r>
        <w:rPr>
          <w:rFonts w:hint="eastAsia" w:ascii="黑体" w:eastAsia="黑体"/>
          <w:color w:val="auto"/>
          <w:sz w:val="32"/>
        </w:rPr>
        <w:t>34</w:t>
      </w:r>
      <w:r>
        <w:rPr>
          <w:rFonts w:hint="eastAsia" w:ascii="黑体" w:eastAsia="黑体"/>
          <w:color w:val="auto"/>
          <w:spacing w:val="-42"/>
          <w:sz w:val="32"/>
        </w:rPr>
        <w:t xml:space="preserve"> 号</w:t>
      </w:r>
      <w:r>
        <w:rPr>
          <w:rFonts w:hint="eastAsia" w:ascii="黑体" w:eastAsia="黑体"/>
          <w:color w:val="auto"/>
          <w:sz w:val="32"/>
        </w:rPr>
        <w:t>）</w:t>
      </w:r>
    </w:p>
    <w:p>
      <w:pPr>
        <w:pStyle w:val="4"/>
        <w:keepNext w:val="0"/>
        <w:keepLines w:val="0"/>
        <w:pageBreakBefore w:val="0"/>
        <w:widowControl w:val="0"/>
        <w:kinsoku/>
        <w:wordWrap/>
        <w:overflowPunct/>
        <w:topLinePunct w:val="0"/>
        <w:autoSpaceDE w:val="0"/>
        <w:autoSpaceDN w:val="0"/>
        <w:bidi w:val="0"/>
        <w:adjustRightInd/>
        <w:snapToGrid/>
        <w:spacing w:before="0"/>
        <w:ind w:left="0" w:firstLine="0"/>
        <w:jc w:val="both"/>
        <w:textAlignment w:val="auto"/>
        <w:rPr>
          <w:rFonts w:ascii="黑体"/>
          <w:color w:val="auto"/>
          <w:sz w:val="20"/>
        </w:rPr>
      </w:pPr>
    </w:p>
    <w:p>
      <w:pPr>
        <w:pStyle w:val="4"/>
        <w:keepNext w:val="0"/>
        <w:keepLines w:val="0"/>
        <w:pageBreakBefore w:val="0"/>
        <w:widowControl w:val="0"/>
        <w:kinsoku/>
        <w:wordWrap/>
        <w:overflowPunct/>
        <w:topLinePunct w:val="0"/>
        <w:autoSpaceDE w:val="0"/>
        <w:autoSpaceDN w:val="0"/>
        <w:bidi w:val="0"/>
        <w:adjustRightInd/>
        <w:snapToGrid/>
        <w:spacing w:before="6"/>
        <w:ind w:left="0" w:firstLine="0"/>
        <w:jc w:val="both"/>
        <w:textAlignment w:val="auto"/>
        <w:rPr>
          <w:rFonts w:ascii="黑体"/>
          <w:color w:val="auto"/>
          <w:sz w:val="15"/>
        </w:rPr>
      </w:pPr>
    </w:p>
    <w:p>
      <w:pPr>
        <w:pStyle w:val="3"/>
        <w:keepNext w:val="0"/>
        <w:keepLines w:val="0"/>
        <w:pageBreakBefore w:val="0"/>
        <w:widowControl w:val="0"/>
        <w:numPr>
          <w:ilvl w:val="0"/>
          <w:numId w:val="48"/>
        </w:numPr>
        <w:tabs>
          <w:tab w:val="left" w:pos="805"/>
        </w:tabs>
        <w:kinsoku/>
        <w:wordWrap/>
        <w:overflowPunct/>
        <w:topLinePunct w:val="0"/>
        <w:autoSpaceDE w:val="0"/>
        <w:autoSpaceDN w:val="0"/>
        <w:bidi w:val="0"/>
        <w:adjustRightInd/>
        <w:snapToGrid/>
        <w:spacing w:before="55" w:after="0" w:line="364" w:lineRule="auto"/>
        <w:ind w:left="320" w:right="535" w:firstLine="0"/>
        <w:jc w:val="both"/>
        <w:textAlignment w:val="auto"/>
        <w:rPr>
          <w:color w:val="auto"/>
        </w:rPr>
      </w:pPr>
      <w:bookmarkStart w:id="40" w:name="_TOC_250009"/>
      <w:r>
        <w:rPr>
          <w:color w:val="auto"/>
          <w:spacing w:val="-2"/>
        </w:rPr>
        <w:t xml:space="preserve">香港市场投资者投资上交所上市 </w:t>
      </w:r>
      <w:r>
        <w:rPr>
          <w:rFonts w:hint="eastAsia" w:ascii="仿宋" w:eastAsia="仿宋"/>
          <w:color w:val="auto"/>
        </w:rPr>
        <w:t>A</w:t>
      </w:r>
      <w:r>
        <w:rPr>
          <w:rFonts w:hint="eastAsia" w:ascii="仿宋" w:eastAsia="仿宋"/>
          <w:color w:val="auto"/>
          <w:spacing w:val="-99"/>
        </w:rPr>
        <w:t xml:space="preserve"> </w:t>
      </w:r>
      <w:bookmarkEnd w:id="40"/>
      <w:r>
        <w:rPr>
          <w:color w:val="auto"/>
          <w:spacing w:val="6"/>
        </w:rPr>
        <w:t>股取得的转让差价免征增值税</w:t>
      </w:r>
    </w:p>
    <w:p>
      <w:pPr>
        <w:keepNext w:val="0"/>
        <w:keepLines w:val="0"/>
        <w:pageBreakBefore w:val="0"/>
        <w:widowControl w:val="0"/>
        <w:kinsoku/>
        <w:wordWrap/>
        <w:overflowPunct/>
        <w:topLinePunct w:val="0"/>
        <w:autoSpaceDE w:val="0"/>
        <w:autoSpaceDN w:val="0"/>
        <w:bidi w:val="0"/>
        <w:adjustRightInd/>
        <w:snapToGrid/>
        <w:spacing w:before="1"/>
        <w:ind w:left="320" w:right="0" w:firstLine="0"/>
        <w:jc w:val="both"/>
        <w:textAlignment w:val="auto"/>
        <w:rPr>
          <w:rFonts w:hint="eastAsia" w:ascii="宋体" w:eastAsia="宋体"/>
          <w:b/>
          <w:color w:val="auto"/>
          <w:sz w:val="32"/>
        </w:rPr>
      </w:pPr>
      <w:r>
        <w:rPr>
          <w:rFonts w:hint="eastAsia" w:ascii="宋体" w:eastAsia="宋体"/>
          <w:b/>
          <w:color w:val="auto"/>
          <w:sz w:val="32"/>
        </w:rPr>
        <w:t>【适用主体】</w:t>
      </w:r>
    </w:p>
    <w:p>
      <w:pPr>
        <w:pStyle w:val="4"/>
        <w:keepNext w:val="0"/>
        <w:keepLines w:val="0"/>
        <w:pageBreakBefore w:val="0"/>
        <w:widowControl w:val="0"/>
        <w:kinsoku/>
        <w:wordWrap/>
        <w:overflowPunct/>
        <w:topLinePunct w:val="0"/>
        <w:autoSpaceDE w:val="0"/>
        <w:autoSpaceDN w:val="0"/>
        <w:bidi w:val="0"/>
        <w:adjustRightInd/>
        <w:snapToGrid/>
        <w:spacing w:line="364" w:lineRule="auto"/>
        <w:ind w:right="540"/>
        <w:jc w:val="both"/>
        <w:textAlignment w:val="auto"/>
        <w:rPr>
          <w:color w:val="auto"/>
        </w:rPr>
      </w:pPr>
      <w:r>
        <w:rPr>
          <w:color w:val="auto"/>
          <w:spacing w:val="6"/>
        </w:rPr>
        <w:t>通过沪港通投资上交所上市</w:t>
      </w:r>
      <w:r>
        <w:rPr>
          <w:color w:val="auto"/>
        </w:rPr>
        <w:t>A</w:t>
      </w:r>
      <w:r>
        <w:rPr>
          <w:color w:val="auto"/>
          <w:spacing w:val="-13"/>
        </w:rPr>
        <w:t xml:space="preserve"> 股的香港市场投资者</w:t>
      </w:r>
      <w:r>
        <w:rPr>
          <w:color w:val="auto"/>
        </w:rPr>
        <w:t>（包括单位和个人）</w:t>
      </w:r>
    </w:p>
    <w:p>
      <w:pPr>
        <w:keepNext w:val="0"/>
        <w:keepLines w:val="0"/>
        <w:pageBreakBefore w:val="0"/>
        <w:widowControl w:val="0"/>
        <w:kinsoku/>
        <w:wordWrap/>
        <w:overflowPunct/>
        <w:topLinePunct w:val="0"/>
        <w:autoSpaceDE w:val="0"/>
        <w:autoSpaceDN w:val="0"/>
        <w:bidi w:val="0"/>
        <w:adjustRightInd/>
        <w:snapToGrid/>
        <w:spacing w:before="2"/>
        <w:ind w:left="320" w:right="0" w:firstLine="0"/>
        <w:jc w:val="both"/>
        <w:textAlignment w:val="auto"/>
        <w:rPr>
          <w:rFonts w:hint="eastAsia" w:ascii="宋体" w:eastAsia="宋体"/>
          <w:b/>
          <w:color w:val="auto"/>
          <w:sz w:val="32"/>
        </w:rPr>
      </w:pPr>
      <w:r>
        <w:rPr>
          <w:rFonts w:hint="eastAsia" w:ascii="宋体" w:eastAsia="宋体"/>
          <w:b/>
          <w:color w:val="auto"/>
          <w:sz w:val="32"/>
        </w:rPr>
        <w:t>【政策内容】</w:t>
      </w:r>
    </w:p>
    <w:p>
      <w:pPr>
        <w:pStyle w:val="4"/>
        <w:keepNext w:val="0"/>
        <w:keepLines w:val="0"/>
        <w:pageBreakBefore w:val="0"/>
        <w:widowControl w:val="0"/>
        <w:kinsoku/>
        <w:wordWrap/>
        <w:overflowPunct/>
        <w:topLinePunct w:val="0"/>
        <w:autoSpaceDE w:val="0"/>
        <w:autoSpaceDN w:val="0"/>
        <w:bidi w:val="0"/>
        <w:adjustRightInd/>
        <w:snapToGrid/>
        <w:spacing w:line="364" w:lineRule="auto"/>
        <w:ind w:right="537"/>
        <w:jc w:val="both"/>
        <w:textAlignment w:val="auto"/>
        <w:rPr>
          <w:color w:val="auto"/>
        </w:rPr>
      </w:pPr>
      <w:r>
        <w:rPr>
          <w:color w:val="auto"/>
          <w:spacing w:val="-1"/>
        </w:rPr>
        <w:t>香港市场投资者</w:t>
      </w:r>
      <w:r>
        <w:rPr>
          <w:color w:val="auto"/>
        </w:rPr>
        <w:t>（包括单位和个人</w:t>
      </w:r>
      <w:r>
        <w:rPr>
          <w:color w:val="auto"/>
          <w:spacing w:val="-7"/>
        </w:rPr>
        <w:t>）</w:t>
      </w:r>
      <w:r>
        <w:rPr>
          <w:color w:val="auto"/>
        </w:rPr>
        <w:t>通过沪港通买卖上</w:t>
      </w:r>
      <w:r>
        <w:rPr>
          <w:color w:val="auto"/>
          <w:spacing w:val="-10"/>
        </w:rPr>
        <w:t xml:space="preserve">海证券交易所上市 </w:t>
      </w:r>
      <w:r>
        <w:rPr>
          <w:color w:val="auto"/>
        </w:rPr>
        <w:t>A</w:t>
      </w:r>
      <w:r>
        <w:rPr>
          <w:color w:val="auto"/>
          <w:spacing w:val="-11"/>
        </w:rPr>
        <w:t xml:space="preserve"> 股取得的转让差价收入，在营改增试点期间免征增值税。</w:t>
      </w:r>
    </w:p>
    <w:p>
      <w:pPr>
        <w:keepNext w:val="0"/>
        <w:keepLines w:val="0"/>
        <w:pageBreakBefore w:val="0"/>
        <w:widowControl w:val="0"/>
        <w:kinsoku/>
        <w:wordWrap/>
        <w:overflowPunct/>
        <w:topLinePunct w:val="0"/>
        <w:autoSpaceDE w:val="0"/>
        <w:autoSpaceDN w:val="0"/>
        <w:bidi w:val="0"/>
        <w:adjustRightInd/>
        <w:snapToGrid/>
        <w:spacing w:before="2"/>
        <w:ind w:left="320" w:right="0" w:firstLine="0"/>
        <w:jc w:val="both"/>
        <w:textAlignment w:val="auto"/>
        <w:rPr>
          <w:rFonts w:hint="eastAsia" w:ascii="宋体" w:eastAsia="宋体"/>
          <w:b/>
          <w:color w:val="auto"/>
          <w:sz w:val="32"/>
        </w:rPr>
      </w:pPr>
      <w:r>
        <w:rPr>
          <w:rFonts w:hint="eastAsia" w:ascii="宋体" w:eastAsia="宋体"/>
          <w:b/>
          <w:color w:val="auto"/>
          <w:sz w:val="32"/>
        </w:rPr>
        <w:t>【适用条件】</w:t>
      </w:r>
    </w:p>
    <w:p>
      <w:pPr>
        <w:pStyle w:val="4"/>
        <w:keepNext w:val="0"/>
        <w:keepLines w:val="0"/>
        <w:pageBreakBefore w:val="0"/>
        <w:widowControl w:val="0"/>
        <w:kinsoku/>
        <w:wordWrap/>
        <w:overflowPunct/>
        <w:topLinePunct w:val="0"/>
        <w:autoSpaceDE w:val="0"/>
        <w:autoSpaceDN w:val="0"/>
        <w:bidi w:val="0"/>
        <w:adjustRightInd/>
        <w:snapToGrid/>
        <w:ind w:left="960" w:firstLine="0"/>
        <w:jc w:val="both"/>
        <w:textAlignment w:val="auto"/>
        <w:rPr>
          <w:color w:val="auto"/>
        </w:rPr>
      </w:pPr>
      <w:r>
        <w:rPr>
          <w:color w:val="auto"/>
        </w:rPr>
        <w:t>香港市场投资者通过沪港通投资上海证券交易所上市 A</w:t>
      </w:r>
    </w:p>
    <w:p>
      <w:pPr>
        <w:pStyle w:val="4"/>
        <w:keepNext w:val="0"/>
        <w:keepLines w:val="0"/>
        <w:pageBreakBefore w:val="0"/>
        <w:widowControl w:val="0"/>
        <w:kinsoku/>
        <w:wordWrap/>
        <w:overflowPunct/>
        <w:topLinePunct w:val="0"/>
        <w:autoSpaceDE w:val="0"/>
        <w:autoSpaceDN w:val="0"/>
        <w:bidi w:val="0"/>
        <w:adjustRightInd/>
        <w:snapToGrid/>
        <w:spacing w:before="6"/>
        <w:ind w:left="0" w:firstLine="0"/>
        <w:jc w:val="both"/>
        <w:textAlignment w:val="auto"/>
        <w:rPr>
          <w:color w:val="auto"/>
          <w:sz w:val="12"/>
        </w:rPr>
      </w:pPr>
    </w:p>
    <w:p>
      <w:pPr>
        <w:pStyle w:val="4"/>
        <w:keepNext w:val="0"/>
        <w:keepLines w:val="0"/>
        <w:pageBreakBefore w:val="0"/>
        <w:widowControl w:val="0"/>
        <w:kinsoku/>
        <w:wordWrap/>
        <w:overflowPunct/>
        <w:topLinePunct w:val="0"/>
        <w:autoSpaceDE w:val="0"/>
        <w:autoSpaceDN w:val="0"/>
        <w:bidi w:val="0"/>
        <w:adjustRightInd/>
        <w:snapToGrid/>
        <w:spacing w:before="54"/>
        <w:ind w:firstLine="0"/>
        <w:jc w:val="both"/>
        <w:textAlignment w:val="auto"/>
        <w:rPr>
          <w:color w:val="auto"/>
        </w:rPr>
      </w:pPr>
      <w:r>
        <w:rPr>
          <w:color w:val="auto"/>
        </w:rPr>
        <w:t>股。</w:t>
      </w:r>
    </w:p>
    <w:p>
      <w:pPr>
        <w:keepNext w:val="0"/>
        <w:keepLines w:val="0"/>
        <w:pageBreakBefore w:val="0"/>
        <w:widowControl w:val="0"/>
        <w:kinsoku/>
        <w:wordWrap/>
        <w:overflowPunct/>
        <w:topLinePunct w:val="0"/>
        <w:autoSpaceDE w:val="0"/>
        <w:autoSpaceDN w:val="0"/>
        <w:bidi w:val="0"/>
        <w:adjustRightInd/>
        <w:snapToGrid/>
        <w:spacing w:before="215"/>
        <w:ind w:left="320" w:right="0" w:firstLine="0"/>
        <w:jc w:val="both"/>
        <w:textAlignment w:val="auto"/>
        <w:rPr>
          <w:rFonts w:hint="eastAsia" w:ascii="宋体" w:eastAsia="宋体"/>
          <w:b/>
          <w:color w:val="auto"/>
          <w:sz w:val="32"/>
        </w:rPr>
      </w:pPr>
      <w:r>
        <w:rPr>
          <w:rFonts w:hint="eastAsia" w:ascii="宋体" w:eastAsia="宋体"/>
          <w:b/>
          <w:color w:val="auto"/>
          <w:sz w:val="32"/>
        </w:rPr>
        <w:t>【政策依据】</w:t>
      </w:r>
    </w:p>
    <w:p>
      <w:pPr>
        <w:pStyle w:val="4"/>
        <w:keepNext w:val="0"/>
        <w:keepLines w:val="0"/>
        <w:pageBreakBefore w:val="0"/>
        <w:widowControl w:val="0"/>
        <w:kinsoku/>
        <w:wordWrap/>
        <w:overflowPunct/>
        <w:topLinePunct w:val="0"/>
        <w:autoSpaceDE w:val="0"/>
        <w:autoSpaceDN w:val="0"/>
        <w:bidi w:val="0"/>
        <w:adjustRightInd/>
        <w:snapToGrid/>
        <w:spacing w:before="235" w:line="328" w:lineRule="auto"/>
        <w:ind w:right="535"/>
        <w:jc w:val="both"/>
        <w:textAlignment w:val="auto"/>
        <w:rPr>
          <w:rFonts w:hint="eastAsia" w:ascii="黑体" w:eastAsia="黑体"/>
          <w:color w:val="auto"/>
        </w:rPr>
      </w:pPr>
      <w:r>
        <w:rPr>
          <w:rFonts w:hint="eastAsia" w:ascii="黑体" w:eastAsia="黑体"/>
          <w:color w:val="auto"/>
          <w:spacing w:val="1"/>
        </w:rPr>
        <w:t>《财政部 国家税务总局关于全面推开营业税改征增值</w:t>
      </w:r>
      <w:r>
        <w:rPr>
          <w:rFonts w:hint="eastAsia" w:ascii="黑体" w:eastAsia="黑体"/>
          <w:color w:val="auto"/>
        </w:rPr>
        <w:t>税试点的通知》（财税〔2016</w:t>
      </w:r>
      <w:r>
        <w:rPr>
          <w:rFonts w:hint="eastAsia" w:ascii="黑体" w:eastAsia="黑体"/>
          <w:color w:val="auto"/>
          <w:spacing w:val="-3"/>
        </w:rPr>
        <w:t>〕</w:t>
      </w:r>
      <w:r>
        <w:rPr>
          <w:rFonts w:hint="eastAsia" w:ascii="黑体" w:eastAsia="黑体"/>
          <w:color w:val="auto"/>
        </w:rPr>
        <w:t>36</w:t>
      </w:r>
      <w:r>
        <w:rPr>
          <w:rFonts w:hint="eastAsia" w:ascii="黑体" w:eastAsia="黑体"/>
          <w:color w:val="auto"/>
          <w:spacing w:val="-44"/>
        </w:rPr>
        <w:t xml:space="preserve"> 号</w:t>
      </w:r>
      <w:r>
        <w:rPr>
          <w:rFonts w:hint="eastAsia" w:ascii="黑体" w:eastAsia="黑体"/>
          <w:color w:val="auto"/>
          <w:spacing w:val="-3"/>
        </w:rPr>
        <w:t>）</w:t>
      </w:r>
      <w:r>
        <w:rPr>
          <w:rFonts w:hint="eastAsia" w:ascii="黑体" w:eastAsia="黑体"/>
          <w:color w:val="auto"/>
          <w:spacing w:val="-29"/>
        </w:rPr>
        <w:t xml:space="preserve">附件 </w:t>
      </w:r>
      <w:r>
        <w:rPr>
          <w:rFonts w:hint="eastAsia" w:ascii="黑体" w:eastAsia="黑体"/>
          <w:color w:val="auto"/>
        </w:rPr>
        <w:t>3《营业税改征增值税试点过渡政策的规定》第一条第（二十二）项</w:t>
      </w:r>
    </w:p>
    <w:p>
      <w:pPr>
        <w:pStyle w:val="4"/>
        <w:keepNext w:val="0"/>
        <w:keepLines w:val="0"/>
        <w:pageBreakBefore w:val="0"/>
        <w:widowControl w:val="0"/>
        <w:kinsoku/>
        <w:wordWrap/>
        <w:overflowPunct/>
        <w:topLinePunct w:val="0"/>
        <w:autoSpaceDE w:val="0"/>
        <w:autoSpaceDN w:val="0"/>
        <w:bidi w:val="0"/>
        <w:adjustRightInd/>
        <w:snapToGrid/>
        <w:spacing w:before="10"/>
        <w:ind w:left="0" w:firstLine="0"/>
        <w:jc w:val="both"/>
        <w:textAlignment w:val="auto"/>
        <w:rPr>
          <w:rFonts w:ascii="黑体"/>
          <w:color w:val="auto"/>
          <w:sz w:val="41"/>
        </w:rPr>
      </w:pPr>
    </w:p>
    <w:p>
      <w:pPr>
        <w:pStyle w:val="12"/>
        <w:keepNext w:val="0"/>
        <w:keepLines w:val="0"/>
        <w:pageBreakBefore w:val="0"/>
        <w:widowControl w:val="0"/>
        <w:numPr>
          <w:ilvl w:val="0"/>
          <w:numId w:val="48"/>
        </w:numPr>
        <w:tabs>
          <w:tab w:val="left" w:pos="805"/>
        </w:tabs>
        <w:kinsoku/>
        <w:wordWrap/>
        <w:overflowPunct/>
        <w:topLinePunct w:val="0"/>
        <w:autoSpaceDE w:val="0"/>
        <w:autoSpaceDN w:val="0"/>
        <w:bidi w:val="0"/>
        <w:adjustRightInd/>
        <w:snapToGrid/>
        <w:spacing w:before="0" w:after="0" w:line="364" w:lineRule="auto"/>
        <w:ind w:left="320" w:right="535" w:firstLine="0"/>
        <w:jc w:val="both"/>
        <w:textAlignment w:val="auto"/>
        <w:rPr>
          <w:rFonts w:hint="eastAsia" w:ascii="宋体" w:eastAsia="宋体"/>
          <w:b/>
          <w:color w:val="auto"/>
          <w:sz w:val="32"/>
        </w:rPr>
      </w:pPr>
      <w:r>
        <w:rPr>
          <w:rFonts w:hint="eastAsia" w:ascii="宋体" w:eastAsia="宋体"/>
          <w:b/>
          <w:color w:val="auto"/>
          <w:spacing w:val="-2"/>
          <w:sz w:val="32"/>
        </w:rPr>
        <w:t xml:space="preserve">香港市场投资者投资上交所上市 </w:t>
      </w:r>
      <w:r>
        <w:rPr>
          <w:rFonts w:hint="eastAsia" w:ascii="仿宋" w:eastAsia="仿宋"/>
          <w:b/>
          <w:color w:val="auto"/>
          <w:sz w:val="32"/>
        </w:rPr>
        <w:t>A</w:t>
      </w:r>
      <w:r>
        <w:rPr>
          <w:rFonts w:hint="eastAsia" w:ascii="仿宋" w:eastAsia="仿宋"/>
          <w:b/>
          <w:color w:val="auto"/>
          <w:spacing w:val="-99"/>
          <w:sz w:val="32"/>
        </w:rPr>
        <w:t xml:space="preserve"> </w:t>
      </w:r>
      <w:r>
        <w:rPr>
          <w:rFonts w:hint="eastAsia" w:ascii="宋体" w:eastAsia="宋体"/>
          <w:b/>
          <w:color w:val="auto"/>
          <w:spacing w:val="6"/>
          <w:sz w:val="32"/>
        </w:rPr>
        <w:t>股取得的转让差价所得暂免征收所得税</w:t>
      </w:r>
    </w:p>
    <w:p>
      <w:pPr>
        <w:keepNext w:val="0"/>
        <w:keepLines w:val="0"/>
        <w:pageBreakBefore w:val="0"/>
        <w:widowControl w:val="0"/>
        <w:kinsoku/>
        <w:wordWrap/>
        <w:overflowPunct/>
        <w:topLinePunct w:val="0"/>
        <w:autoSpaceDE w:val="0"/>
        <w:autoSpaceDN w:val="0"/>
        <w:bidi w:val="0"/>
        <w:adjustRightInd/>
        <w:snapToGrid/>
        <w:spacing w:before="1"/>
        <w:ind w:left="320" w:right="0" w:firstLine="0"/>
        <w:jc w:val="both"/>
        <w:textAlignment w:val="auto"/>
        <w:rPr>
          <w:rFonts w:hint="eastAsia" w:ascii="宋体" w:eastAsia="宋体"/>
          <w:b/>
          <w:color w:val="auto"/>
          <w:sz w:val="32"/>
        </w:rPr>
      </w:pPr>
      <w:r>
        <w:rPr>
          <w:rFonts w:hint="eastAsia" w:ascii="宋体" w:eastAsia="宋体"/>
          <w:b/>
          <w:color w:val="auto"/>
          <w:sz w:val="32"/>
        </w:rPr>
        <w:t>【适用主体】</w:t>
      </w:r>
    </w:p>
    <w:p>
      <w:pPr>
        <w:pStyle w:val="4"/>
        <w:keepNext w:val="0"/>
        <w:keepLines w:val="0"/>
        <w:pageBreakBefore w:val="0"/>
        <w:widowControl w:val="0"/>
        <w:kinsoku/>
        <w:wordWrap/>
        <w:overflowPunct/>
        <w:topLinePunct w:val="0"/>
        <w:autoSpaceDE w:val="0"/>
        <w:autoSpaceDN w:val="0"/>
        <w:bidi w:val="0"/>
        <w:adjustRightInd/>
        <w:snapToGrid/>
        <w:spacing w:line="364" w:lineRule="auto"/>
        <w:ind w:right="540"/>
        <w:jc w:val="both"/>
        <w:textAlignment w:val="auto"/>
        <w:rPr>
          <w:color w:val="auto"/>
        </w:rPr>
      </w:pPr>
      <w:r>
        <w:rPr>
          <w:color w:val="auto"/>
          <w:spacing w:val="6"/>
        </w:rPr>
        <w:t>通过沪港通投资上交所上市</w:t>
      </w:r>
      <w:r>
        <w:rPr>
          <w:color w:val="auto"/>
        </w:rPr>
        <w:t>A</w:t>
      </w:r>
      <w:r>
        <w:rPr>
          <w:color w:val="auto"/>
          <w:spacing w:val="-13"/>
        </w:rPr>
        <w:t xml:space="preserve"> 股的香港市场投资者</w:t>
      </w:r>
      <w:r>
        <w:rPr>
          <w:color w:val="auto"/>
        </w:rPr>
        <w:t>（包括企业和个人）</w:t>
      </w:r>
    </w:p>
    <w:p>
      <w:pPr>
        <w:keepNext w:val="0"/>
        <w:keepLines w:val="0"/>
        <w:pageBreakBefore w:val="0"/>
        <w:widowControl w:val="0"/>
        <w:kinsoku/>
        <w:wordWrap/>
        <w:overflowPunct/>
        <w:topLinePunct w:val="0"/>
        <w:autoSpaceDE w:val="0"/>
        <w:autoSpaceDN w:val="0"/>
        <w:bidi w:val="0"/>
        <w:adjustRightInd/>
        <w:snapToGrid/>
        <w:spacing w:before="30"/>
        <w:ind w:left="320" w:right="0" w:firstLine="0"/>
        <w:jc w:val="both"/>
        <w:textAlignment w:val="auto"/>
        <w:rPr>
          <w:rFonts w:hint="eastAsia" w:ascii="宋体" w:eastAsia="宋体"/>
          <w:b/>
          <w:color w:val="auto"/>
          <w:sz w:val="32"/>
        </w:rPr>
      </w:pPr>
      <w:r>
        <w:rPr>
          <w:rFonts w:hint="eastAsia" w:ascii="宋体" w:eastAsia="宋体"/>
          <w:b/>
          <w:color w:val="auto"/>
          <w:sz w:val="32"/>
        </w:rPr>
        <w:t>【政策内容】</w:t>
      </w:r>
    </w:p>
    <w:p>
      <w:pPr>
        <w:pStyle w:val="4"/>
        <w:keepNext w:val="0"/>
        <w:keepLines w:val="0"/>
        <w:pageBreakBefore w:val="0"/>
        <w:widowControl w:val="0"/>
        <w:kinsoku/>
        <w:wordWrap/>
        <w:overflowPunct/>
        <w:topLinePunct w:val="0"/>
        <w:autoSpaceDE w:val="0"/>
        <w:autoSpaceDN w:val="0"/>
        <w:bidi w:val="0"/>
        <w:adjustRightInd/>
        <w:snapToGrid/>
        <w:spacing w:line="364" w:lineRule="auto"/>
        <w:ind w:right="526"/>
        <w:jc w:val="both"/>
        <w:textAlignment w:val="auto"/>
        <w:rPr>
          <w:color w:val="auto"/>
        </w:rPr>
      </w:pPr>
      <w:r>
        <w:rPr>
          <w:color w:val="auto"/>
        </w:rPr>
        <w:t>香港市场投资者（包括企业和个人）投资上交所上市 A 股取得的转让差价所得，暂免征收所得税。</w:t>
      </w:r>
    </w:p>
    <w:p>
      <w:pPr>
        <w:keepNext w:val="0"/>
        <w:keepLines w:val="0"/>
        <w:pageBreakBefore w:val="0"/>
        <w:widowControl w:val="0"/>
        <w:kinsoku/>
        <w:wordWrap/>
        <w:overflowPunct/>
        <w:topLinePunct w:val="0"/>
        <w:autoSpaceDE w:val="0"/>
        <w:autoSpaceDN w:val="0"/>
        <w:bidi w:val="0"/>
        <w:adjustRightInd/>
        <w:snapToGrid/>
        <w:spacing w:before="1"/>
        <w:ind w:left="320" w:right="0" w:firstLine="0"/>
        <w:jc w:val="both"/>
        <w:textAlignment w:val="auto"/>
        <w:rPr>
          <w:rFonts w:hint="eastAsia" w:ascii="宋体" w:eastAsia="宋体"/>
          <w:b/>
          <w:color w:val="auto"/>
          <w:sz w:val="32"/>
        </w:rPr>
      </w:pPr>
      <w:r>
        <w:rPr>
          <w:rFonts w:hint="eastAsia" w:ascii="宋体" w:eastAsia="宋体"/>
          <w:b/>
          <w:color w:val="auto"/>
          <w:sz w:val="32"/>
        </w:rPr>
        <w:t>【适用条件】</w:t>
      </w:r>
    </w:p>
    <w:p>
      <w:pPr>
        <w:pStyle w:val="4"/>
        <w:keepNext w:val="0"/>
        <w:keepLines w:val="0"/>
        <w:pageBreakBefore w:val="0"/>
        <w:widowControl w:val="0"/>
        <w:kinsoku/>
        <w:wordWrap/>
        <w:overflowPunct/>
        <w:topLinePunct w:val="0"/>
        <w:autoSpaceDE w:val="0"/>
        <w:autoSpaceDN w:val="0"/>
        <w:bidi w:val="0"/>
        <w:adjustRightInd/>
        <w:snapToGrid/>
        <w:ind w:left="960" w:firstLine="0"/>
        <w:jc w:val="both"/>
        <w:textAlignment w:val="auto"/>
        <w:rPr>
          <w:color w:val="auto"/>
        </w:rPr>
      </w:pPr>
      <w:r>
        <w:rPr>
          <w:color w:val="auto"/>
        </w:rPr>
        <w:t>香港市场投资者通过沪港通投资上海证券交易所上市 A</w:t>
      </w:r>
    </w:p>
    <w:p>
      <w:pPr>
        <w:pStyle w:val="4"/>
        <w:keepNext w:val="0"/>
        <w:keepLines w:val="0"/>
        <w:pageBreakBefore w:val="0"/>
        <w:widowControl w:val="0"/>
        <w:kinsoku/>
        <w:wordWrap/>
        <w:overflowPunct/>
        <w:topLinePunct w:val="0"/>
        <w:autoSpaceDE w:val="0"/>
        <w:autoSpaceDN w:val="0"/>
        <w:bidi w:val="0"/>
        <w:adjustRightInd/>
        <w:snapToGrid/>
        <w:spacing w:before="6"/>
        <w:ind w:left="0" w:firstLine="0"/>
        <w:jc w:val="both"/>
        <w:textAlignment w:val="auto"/>
        <w:rPr>
          <w:color w:val="auto"/>
          <w:sz w:val="12"/>
        </w:rPr>
      </w:pPr>
    </w:p>
    <w:p>
      <w:pPr>
        <w:pStyle w:val="4"/>
        <w:keepNext w:val="0"/>
        <w:keepLines w:val="0"/>
        <w:pageBreakBefore w:val="0"/>
        <w:widowControl w:val="0"/>
        <w:kinsoku/>
        <w:wordWrap/>
        <w:overflowPunct/>
        <w:topLinePunct w:val="0"/>
        <w:autoSpaceDE w:val="0"/>
        <w:autoSpaceDN w:val="0"/>
        <w:bidi w:val="0"/>
        <w:adjustRightInd/>
        <w:snapToGrid/>
        <w:spacing w:before="55"/>
        <w:ind w:firstLine="0"/>
        <w:jc w:val="both"/>
        <w:textAlignment w:val="auto"/>
        <w:rPr>
          <w:color w:val="auto"/>
        </w:rPr>
      </w:pPr>
      <w:r>
        <w:rPr>
          <w:color w:val="auto"/>
        </w:rPr>
        <w:t>股。</w:t>
      </w:r>
    </w:p>
    <w:p>
      <w:pPr>
        <w:keepNext w:val="0"/>
        <w:keepLines w:val="0"/>
        <w:pageBreakBefore w:val="0"/>
        <w:widowControl w:val="0"/>
        <w:kinsoku/>
        <w:wordWrap/>
        <w:overflowPunct/>
        <w:topLinePunct w:val="0"/>
        <w:autoSpaceDE w:val="0"/>
        <w:autoSpaceDN w:val="0"/>
        <w:bidi w:val="0"/>
        <w:adjustRightInd/>
        <w:snapToGrid/>
        <w:spacing w:before="214"/>
        <w:ind w:left="320" w:right="0" w:firstLine="0"/>
        <w:jc w:val="both"/>
        <w:textAlignment w:val="auto"/>
        <w:rPr>
          <w:rFonts w:hint="eastAsia" w:ascii="宋体" w:eastAsia="宋体"/>
          <w:b/>
          <w:color w:val="auto"/>
          <w:sz w:val="32"/>
        </w:rPr>
      </w:pPr>
      <w:r>
        <w:rPr>
          <w:rFonts w:hint="eastAsia" w:ascii="宋体" w:eastAsia="宋体"/>
          <w:b/>
          <w:color w:val="auto"/>
          <w:sz w:val="32"/>
        </w:rPr>
        <w:t>【政策依据】</w:t>
      </w:r>
    </w:p>
    <w:p>
      <w:pPr>
        <w:pStyle w:val="4"/>
        <w:keepNext w:val="0"/>
        <w:keepLines w:val="0"/>
        <w:pageBreakBefore w:val="0"/>
        <w:widowControl w:val="0"/>
        <w:kinsoku/>
        <w:wordWrap/>
        <w:overflowPunct/>
        <w:topLinePunct w:val="0"/>
        <w:autoSpaceDE w:val="0"/>
        <w:autoSpaceDN w:val="0"/>
        <w:bidi w:val="0"/>
        <w:adjustRightInd/>
        <w:snapToGrid/>
        <w:spacing w:before="235" w:line="326" w:lineRule="auto"/>
        <w:ind w:right="525"/>
        <w:jc w:val="both"/>
        <w:textAlignment w:val="auto"/>
        <w:rPr>
          <w:rFonts w:hint="eastAsia" w:ascii="黑体" w:eastAsia="黑体"/>
          <w:color w:val="auto"/>
        </w:rPr>
      </w:pPr>
      <w:r>
        <w:rPr>
          <w:rFonts w:hint="eastAsia" w:ascii="黑体" w:eastAsia="黑体"/>
          <w:color w:val="auto"/>
        </w:rPr>
        <w:t>《财政部 国家税务总局 证监会关于沪港股票市场交</w:t>
      </w:r>
      <w:r>
        <w:rPr>
          <w:rFonts w:hint="eastAsia" w:ascii="黑体" w:eastAsia="黑体"/>
          <w:color w:val="auto"/>
          <w:w w:val="95"/>
        </w:rPr>
        <w:t xml:space="preserve">易互联互通机制试点有关税收政策的通知》（财税〔2014〕 </w:t>
      </w:r>
      <w:r>
        <w:rPr>
          <w:rFonts w:hint="eastAsia" w:ascii="黑体" w:eastAsia="黑体"/>
          <w:color w:val="auto"/>
        </w:rPr>
        <w:t>81 号）第二条第 1 项</w:t>
      </w:r>
    </w:p>
    <w:p>
      <w:pPr>
        <w:pStyle w:val="4"/>
        <w:keepNext w:val="0"/>
        <w:keepLines w:val="0"/>
        <w:pageBreakBefore w:val="0"/>
        <w:widowControl w:val="0"/>
        <w:kinsoku/>
        <w:wordWrap/>
        <w:overflowPunct/>
        <w:topLinePunct w:val="0"/>
        <w:autoSpaceDE w:val="0"/>
        <w:autoSpaceDN w:val="0"/>
        <w:bidi w:val="0"/>
        <w:adjustRightInd/>
        <w:snapToGrid/>
        <w:spacing w:before="7"/>
        <w:ind w:left="0" w:firstLine="0"/>
        <w:jc w:val="both"/>
        <w:textAlignment w:val="auto"/>
        <w:rPr>
          <w:rFonts w:ascii="黑体"/>
          <w:color w:val="auto"/>
          <w:sz w:val="42"/>
        </w:rPr>
      </w:pPr>
    </w:p>
    <w:p>
      <w:pPr>
        <w:pStyle w:val="3"/>
        <w:keepNext w:val="0"/>
        <w:keepLines w:val="0"/>
        <w:pageBreakBefore w:val="0"/>
        <w:widowControl w:val="0"/>
        <w:numPr>
          <w:ilvl w:val="0"/>
          <w:numId w:val="48"/>
        </w:numPr>
        <w:tabs>
          <w:tab w:val="left" w:pos="805"/>
        </w:tabs>
        <w:kinsoku/>
        <w:wordWrap/>
        <w:overflowPunct/>
        <w:topLinePunct w:val="0"/>
        <w:autoSpaceDE w:val="0"/>
        <w:autoSpaceDN w:val="0"/>
        <w:bidi w:val="0"/>
        <w:adjustRightInd/>
        <w:snapToGrid/>
        <w:spacing w:before="0" w:after="0" w:line="364" w:lineRule="auto"/>
        <w:ind w:left="320" w:right="535" w:firstLine="0"/>
        <w:jc w:val="both"/>
        <w:textAlignment w:val="auto"/>
        <w:rPr>
          <w:color w:val="auto"/>
        </w:rPr>
      </w:pPr>
      <w:bookmarkStart w:id="41" w:name="_TOC_250008"/>
      <w:r>
        <w:rPr>
          <w:color w:val="auto"/>
          <w:spacing w:val="-2"/>
        </w:rPr>
        <w:t xml:space="preserve">香港市场投资者投资上交所上市 </w:t>
      </w:r>
      <w:r>
        <w:rPr>
          <w:rFonts w:hint="eastAsia" w:ascii="仿宋" w:eastAsia="仿宋"/>
          <w:color w:val="auto"/>
        </w:rPr>
        <w:t>A</w:t>
      </w:r>
      <w:r>
        <w:rPr>
          <w:rFonts w:hint="eastAsia" w:ascii="仿宋" w:eastAsia="仿宋"/>
          <w:color w:val="auto"/>
          <w:spacing w:val="-99"/>
        </w:rPr>
        <w:t xml:space="preserve"> </w:t>
      </w:r>
      <w:bookmarkEnd w:id="41"/>
      <w:r>
        <w:rPr>
          <w:color w:val="auto"/>
          <w:spacing w:val="6"/>
        </w:rPr>
        <w:t>股取得的股息红利所得税政策</w:t>
      </w:r>
    </w:p>
    <w:p>
      <w:pPr>
        <w:keepNext w:val="0"/>
        <w:keepLines w:val="0"/>
        <w:pageBreakBefore w:val="0"/>
        <w:widowControl w:val="0"/>
        <w:kinsoku/>
        <w:wordWrap/>
        <w:overflowPunct/>
        <w:topLinePunct w:val="0"/>
        <w:autoSpaceDE w:val="0"/>
        <w:autoSpaceDN w:val="0"/>
        <w:bidi w:val="0"/>
        <w:adjustRightInd/>
        <w:snapToGrid/>
        <w:spacing w:before="2"/>
        <w:ind w:left="320" w:right="0" w:firstLine="0"/>
        <w:jc w:val="both"/>
        <w:textAlignment w:val="auto"/>
        <w:rPr>
          <w:rFonts w:hint="eastAsia" w:ascii="宋体" w:eastAsia="宋体"/>
          <w:b/>
          <w:color w:val="auto"/>
          <w:sz w:val="32"/>
        </w:rPr>
      </w:pPr>
      <w:r>
        <w:rPr>
          <w:rFonts w:hint="eastAsia" w:ascii="宋体" w:eastAsia="宋体"/>
          <w:b/>
          <w:color w:val="auto"/>
          <w:sz w:val="32"/>
        </w:rPr>
        <w:t>【适用主体】</w:t>
      </w:r>
    </w:p>
    <w:p>
      <w:pPr>
        <w:pStyle w:val="4"/>
        <w:keepNext w:val="0"/>
        <w:keepLines w:val="0"/>
        <w:pageBreakBefore w:val="0"/>
        <w:widowControl w:val="0"/>
        <w:kinsoku/>
        <w:wordWrap/>
        <w:overflowPunct/>
        <w:topLinePunct w:val="0"/>
        <w:autoSpaceDE w:val="0"/>
        <w:autoSpaceDN w:val="0"/>
        <w:bidi w:val="0"/>
        <w:adjustRightInd/>
        <w:snapToGrid/>
        <w:spacing w:line="364" w:lineRule="auto"/>
        <w:ind w:right="540"/>
        <w:jc w:val="both"/>
        <w:textAlignment w:val="auto"/>
        <w:rPr>
          <w:color w:val="auto"/>
        </w:rPr>
      </w:pPr>
      <w:r>
        <w:rPr>
          <w:color w:val="auto"/>
          <w:spacing w:val="6"/>
        </w:rPr>
        <w:t>通过沪港通投资上交所上市</w:t>
      </w:r>
      <w:r>
        <w:rPr>
          <w:color w:val="auto"/>
        </w:rPr>
        <w:t>A</w:t>
      </w:r>
      <w:r>
        <w:rPr>
          <w:color w:val="auto"/>
          <w:spacing w:val="-13"/>
        </w:rPr>
        <w:t xml:space="preserve"> 股的香港市场投资者</w:t>
      </w:r>
      <w:r>
        <w:rPr>
          <w:color w:val="auto"/>
        </w:rPr>
        <w:t>（包括企业和个人）</w:t>
      </w:r>
    </w:p>
    <w:p>
      <w:pPr>
        <w:keepNext w:val="0"/>
        <w:keepLines w:val="0"/>
        <w:pageBreakBefore w:val="0"/>
        <w:widowControl w:val="0"/>
        <w:kinsoku/>
        <w:wordWrap/>
        <w:overflowPunct/>
        <w:topLinePunct w:val="0"/>
        <w:autoSpaceDE w:val="0"/>
        <w:autoSpaceDN w:val="0"/>
        <w:bidi w:val="0"/>
        <w:adjustRightInd/>
        <w:snapToGrid/>
        <w:spacing w:before="1"/>
        <w:ind w:left="320" w:right="0" w:firstLine="0"/>
        <w:jc w:val="both"/>
        <w:textAlignment w:val="auto"/>
        <w:rPr>
          <w:rFonts w:hint="eastAsia" w:ascii="宋体" w:eastAsia="宋体"/>
          <w:b/>
          <w:color w:val="auto"/>
          <w:sz w:val="32"/>
        </w:rPr>
      </w:pPr>
      <w:r>
        <w:rPr>
          <w:rFonts w:hint="eastAsia" w:ascii="宋体" w:eastAsia="宋体"/>
          <w:b/>
          <w:color w:val="auto"/>
          <w:sz w:val="32"/>
        </w:rPr>
        <w:t>【政策内容】</w:t>
      </w:r>
    </w:p>
    <w:p>
      <w:pPr>
        <w:pStyle w:val="4"/>
        <w:keepNext w:val="0"/>
        <w:keepLines w:val="0"/>
        <w:pageBreakBefore w:val="0"/>
        <w:widowControl w:val="0"/>
        <w:kinsoku/>
        <w:wordWrap/>
        <w:overflowPunct/>
        <w:topLinePunct w:val="0"/>
        <w:autoSpaceDE w:val="0"/>
        <w:autoSpaceDN w:val="0"/>
        <w:bidi w:val="0"/>
        <w:adjustRightInd/>
        <w:snapToGrid/>
        <w:spacing w:line="364" w:lineRule="auto"/>
        <w:ind w:right="537"/>
        <w:jc w:val="both"/>
        <w:textAlignment w:val="auto"/>
        <w:rPr>
          <w:color w:val="auto"/>
        </w:rPr>
      </w:pPr>
      <w:r>
        <w:rPr>
          <w:color w:val="auto"/>
          <w:spacing w:val="-1"/>
        </w:rPr>
        <w:t>对香港市场投资者</w:t>
      </w:r>
      <w:r>
        <w:rPr>
          <w:color w:val="auto"/>
        </w:rPr>
        <w:t>（包括企业和个人</w:t>
      </w:r>
      <w:r>
        <w:rPr>
          <w:color w:val="auto"/>
          <w:spacing w:val="-7"/>
        </w:rPr>
        <w:t>）</w:t>
      </w:r>
      <w:r>
        <w:rPr>
          <w:color w:val="auto"/>
        </w:rPr>
        <w:t>投资上交所上市A</w:t>
      </w:r>
      <w:r>
        <w:rPr>
          <w:color w:val="auto"/>
          <w:spacing w:val="-6"/>
        </w:rPr>
        <w:t xml:space="preserve"> 股取得的股息红利所得，在香港中央结算有限公司不具备</w:t>
      </w:r>
      <w:r>
        <w:rPr>
          <w:color w:val="auto"/>
          <w:spacing w:val="11"/>
          <w:w w:val="95"/>
        </w:rPr>
        <w:t xml:space="preserve">向中国证券登记结算有限责任公司提供投资者的身份及持 </w:t>
      </w:r>
      <w:r>
        <w:rPr>
          <w:color w:val="auto"/>
        </w:rPr>
        <w:t>股时间等明细数据的条件之前，暂不执行按持股时间实行差别</w:t>
      </w:r>
      <w:r>
        <w:rPr>
          <w:color w:val="auto"/>
          <w:spacing w:val="5"/>
        </w:rPr>
        <w:t>化</w:t>
      </w:r>
      <w:r>
        <w:rPr>
          <w:color w:val="auto"/>
        </w:rPr>
        <w:t>征</w:t>
      </w:r>
      <w:r>
        <w:rPr>
          <w:color w:val="auto"/>
          <w:spacing w:val="5"/>
        </w:rPr>
        <w:t>税</w:t>
      </w:r>
      <w:r>
        <w:rPr>
          <w:color w:val="auto"/>
        </w:rPr>
        <w:t>政</w:t>
      </w:r>
      <w:r>
        <w:rPr>
          <w:color w:val="auto"/>
          <w:spacing w:val="5"/>
        </w:rPr>
        <w:t>策</w:t>
      </w:r>
      <w:r>
        <w:rPr>
          <w:color w:val="auto"/>
        </w:rPr>
        <w:t>，</w:t>
      </w:r>
      <w:r>
        <w:rPr>
          <w:color w:val="auto"/>
          <w:spacing w:val="5"/>
        </w:rPr>
        <w:t>由</w:t>
      </w:r>
      <w:r>
        <w:rPr>
          <w:color w:val="auto"/>
        </w:rPr>
        <w:t>上</w:t>
      </w:r>
      <w:r>
        <w:rPr>
          <w:color w:val="auto"/>
          <w:spacing w:val="5"/>
        </w:rPr>
        <w:t>市</w:t>
      </w:r>
      <w:r>
        <w:rPr>
          <w:color w:val="auto"/>
        </w:rPr>
        <w:t>公</w:t>
      </w:r>
      <w:r>
        <w:rPr>
          <w:color w:val="auto"/>
          <w:spacing w:val="5"/>
        </w:rPr>
        <w:t>司</w:t>
      </w:r>
      <w:r>
        <w:rPr>
          <w:color w:val="auto"/>
        </w:rPr>
        <w:t>按照</w:t>
      </w:r>
      <w:r>
        <w:rPr>
          <w:color w:val="auto"/>
          <w:spacing w:val="-77"/>
        </w:rPr>
        <w:t xml:space="preserve"> </w:t>
      </w:r>
      <w:r>
        <w:rPr>
          <w:color w:val="auto"/>
          <w:spacing w:val="6"/>
        </w:rPr>
        <w:t>10</w:t>
      </w:r>
      <w:r>
        <w:rPr>
          <w:color w:val="auto"/>
          <w:spacing w:val="11"/>
          <w:w w:val="99"/>
        </w:rPr>
        <w:drawing>
          <wp:inline distT="0" distB="0" distL="0" distR="0">
            <wp:extent cx="85090" cy="154940"/>
            <wp:effectExtent l="0" t="0" r="0" b="0"/>
            <wp:docPr id="3" name="image1.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image1.png"/>
                    <pic:cNvPicPr>
                      <a:picLocks noChangeAspect="true"/>
                    </pic:cNvPicPr>
                  </pic:nvPicPr>
                  <pic:blipFill>
                    <a:blip r:embed="rId13" cstate="print"/>
                    <a:stretch>
                      <a:fillRect/>
                    </a:stretch>
                  </pic:blipFill>
                  <pic:spPr>
                    <a:xfrm>
                      <a:off x="0" y="0"/>
                      <a:ext cx="85724" cy="155574"/>
                    </a:xfrm>
                    <a:prstGeom prst="rect">
                      <a:avLst/>
                    </a:prstGeom>
                  </pic:spPr>
                </pic:pic>
              </a:graphicData>
            </a:graphic>
          </wp:inline>
        </w:drawing>
      </w:r>
      <w:r>
        <w:rPr>
          <w:color w:val="auto"/>
        </w:rPr>
        <w:t>的</w:t>
      </w:r>
      <w:r>
        <w:rPr>
          <w:color w:val="auto"/>
          <w:spacing w:val="5"/>
        </w:rPr>
        <w:t>税</w:t>
      </w:r>
      <w:r>
        <w:rPr>
          <w:color w:val="auto"/>
        </w:rPr>
        <w:t>率</w:t>
      </w:r>
      <w:r>
        <w:rPr>
          <w:color w:val="auto"/>
          <w:spacing w:val="5"/>
        </w:rPr>
        <w:t>代</w:t>
      </w:r>
      <w:r>
        <w:rPr>
          <w:color w:val="auto"/>
        </w:rPr>
        <w:t>扣</w:t>
      </w:r>
      <w:r>
        <w:rPr>
          <w:color w:val="auto"/>
          <w:spacing w:val="5"/>
        </w:rPr>
        <w:t>所</w:t>
      </w:r>
      <w:r>
        <w:rPr>
          <w:color w:val="auto"/>
        </w:rPr>
        <w:t>得</w:t>
      </w:r>
      <w:r>
        <w:rPr>
          <w:color w:val="auto"/>
          <w:spacing w:val="5"/>
        </w:rPr>
        <w:t>税</w:t>
      </w:r>
      <w:r>
        <w:rPr>
          <w:color w:val="auto"/>
        </w:rPr>
        <w:t>，并</w:t>
      </w:r>
    </w:p>
    <w:p>
      <w:pPr>
        <w:pStyle w:val="4"/>
        <w:keepNext w:val="0"/>
        <w:keepLines w:val="0"/>
        <w:pageBreakBefore w:val="0"/>
        <w:widowControl w:val="0"/>
        <w:kinsoku/>
        <w:wordWrap/>
        <w:overflowPunct/>
        <w:topLinePunct w:val="0"/>
        <w:autoSpaceDE w:val="0"/>
        <w:autoSpaceDN w:val="0"/>
        <w:bidi w:val="0"/>
        <w:adjustRightInd/>
        <w:snapToGrid/>
        <w:spacing w:before="30"/>
        <w:ind w:firstLine="0"/>
        <w:jc w:val="both"/>
        <w:textAlignment w:val="auto"/>
        <w:rPr>
          <w:color w:val="auto"/>
        </w:rPr>
      </w:pPr>
      <w:r>
        <w:rPr>
          <w:color w:val="auto"/>
        </w:rPr>
        <w:t>向其主管税务机关办理扣缴申报。</w:t>
      </w:r>
    </w:p>
    <w:p>
      <w:pPr>
        <w:pStyle w:val="4"/>
        <w:keepNext w:val="0"/>
        <w:keepLines w:val="0"/>
        <w:pageBreakBefore w:val="0"/>
        <w:widowControl w:val="0"/>
        <w:kinsoku/>
        <w:wordWrap/>
        <w:overflowPunct/>
        <w:topLinePunct w:val="0"/>
        <w:autoSpaceDE w:val="0"/>
        <w:autoSpaceDN w:val="0"/>
        <w:bidi w:val="0"/>
        <w:adjustRightInd/>
        <w:snapToGrid/>
        <w:spacing w:line="364" w:lineRule="auto"/>
        <w:ind w:right="537"/>
        <w:jc w:val="both"/>
        <w:textAlignment w:val="auto"/>
        <w:rPr>
          <w:color w:val="auto"/>
        </w:rPr>
      </w:pPr>
      <w:r>
        <w:rPr>
          <w:color w:val="auto"/>
          <w:spacing w:val="13"/>
          <w:w w:val="95"/>
        </w:rPr>
        <w:t xml:space="preserve">对于香港投资者中属于其他国家税收居民且其所在国 </w:t>
      </w:r>
      <w:r>
        <w:rPr>
          <w:color w:val="auto"/>
          <w:spacing w:val="13"/>
          <w:position w:val="1"/>
        </w:rPr>
        <w:t>与</w:t>
      </w:r>
      <w:r>
        <w:rPr>
          <w:color w:val="auto"/>
          <w:spacing w:val="5"/>
          <w:position w:val="1"/>
        </w:rPr>
        <w:t>中</w:t>
      </w:r>
      <w:r>
        <w:rPr>
          <w:color w:val="auto"/>
          <w:position w:val="1"/>
        </w:rPr>
        <w:t>国</w:t>
      </w:r>
      <w:r>
        <w:rPr>
          <w:color w:val="auto"/>
          <w:spacing w:val="5"/>
          <w:position w:val="1"/>
        </w:rPr>
        <w:t>签</w:t>
      </w:r>
      <w:r>
        <w:rPr>
          <w:color w:val="auto"/>
          <w:position w:val="1"/>
        </w:rPr>
        <w:t>订</w:t>
      </w:r>
      <w:r>
        <w:rPr>
          <w:color w:val="auto"/>
          <w:spacing w:val="5"/>
          <w:position w:val="1"/>
        </w:rPr>
        <w:t>的</w:t>
      </w:r>
      <w:r>
        <w:rPr>
          <w:color w:val="auto"/>
          <w:position w:val="1"/>
        </w:rPr>
        <w:t>税</w:t>
      </w:r>
      <w:r>
        <w:rPr>
          <w:color w:val="auto"/>
          <w:spacing w:val="5"/>
          <w:position w:val="1"/>
        </w:rPr>
        <w:t>收</w:t>
      </w:r>
      <w:r>
        <w:rPr>
          <w:color w:val="auto"/>
          <w:position w:val="1"/>
        </w:rPr>
        <w:t>协</w:t>
      </w:r>
      <w:r>
        <w:rPr>
          <w:color w:val="auto"/>
          <w:spacing w:val="5"/>
          <w:position w:val="1"/>
        </w:rPr>
        <w:t>定</w:t>
      </w:r>
      <w:r>
        <w:rPr>
          <w:color w:val="auto"/>
          <w:position w:val="1"/>
        </w:rPr>
        <w:t>规</w:t>
      </w:r>
      <w:r>
        <w:rPr>
          <w:color w:val="auto"/>
          <w:spacing w:val="5"/>
          <w:position w:val="1"/>
        </w:rPr>
        <w:t>定</w:t>
      </w:r>
      <w:r>
        <w:rPr>
          <w:color w:val="auto"/>
          <w:position w:val="1"/>
        </w:rPr>
        <w:t>股</w:t>
      </w:r>
      <w:r>
        <w:rPr>
          <w:color w:val="auto"/>
          <w:spacing w:val="5"/>
          <w:position w:val="1"/>
        </w:rPr>
        <w:t>息</w:t>
      </w:r>
      <w:r>
        <w:rPr>
          <w:color w:val="auto"/>
          <w:position w:val="1"/>
        </w:rPr>
        <w:t>红</w:t>
      </w:r>
      <w:r>
        <w:rPr>
          <w:color w:val="auto"/>
          <w:spacing w:val="5"/>
          <w:position w:val="1"/>
        </w:rPr>
        <w:t>利</w:t>
      </w:r>
      <w:r>
        <w:rPr>
          <w:color w:val="auto"/>
          <w:position w:val="1"/>
        </w:rPr>
        <w:t>所</w:t>
      </w:r>
      <w:r>
        <w:rPr>
          <w:color w:val="auto"/>
          <w:spacing w:val="5"/>
          <w:position w:val="1"/>
        </w:rPr>
        <w:t>得</w:t>
      </w:r>
      <w:r>
        <w:rPr>
          <w:color w:val="auto"/>
          <w:position w:val="1"/>
        </w:rPr>
        <w:t>税</w:t>
      </w:r>
      <w:r>
        <w:rPr>
          <w:color w:val="auto"/>
          <w:spacing w:val="5"/>
          <w:position w:val="1"/>
        </w:rPr>
        <w:t>率</w:t>
      </w:r>
      <w:r>
        <w:rPr>
          <w:color w:val="auto"/>
          <w:position w:val="1"/>
        </w:rPr>
        <w:t>低于</w:t>
      </w:r>
      <w:r>
        <w:rPr>
          <w:color w:val="auto"/>
          <w:spacing w:val="-76"/>
          <w:position w:val="1"/>
        </w:rPr>
        <w:t xml:space="preserve"> </w:t>
      </w:r>
      <w:r>
        <w:rPr>
          <w:color w:val="auto"/>
          <w:spacing w:val="4"/>
          <w:position w:val="1"/>
        </w:rPr>
        <w:t>10</w:t>
      </w:r>
      <w:r>
        <w:rPr>
          <w:color w:val="auto"/>
          <w:spacing w:val="8"/>
          <w:w w:val="99"/>
        </w:rPr>
        <w:drawing>
          <wp:inline distT="0" distB="0" distL="0" distR="0">
            <wp:extent cx="85090" cy="154940"/>
            <wp:effectExtent l="0" t="0" r="0" b="0"/>
            <wp:docPr id="5" name="image1.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image1.png"/>
                    <pic:cNvPicPr>
                      <a:picLocks noChangeAspect="true"/>
                    </pic:cNvPicPr>
                  </pic:nvPicPr>
                  <pic:blipFill>
                    <a:blip r:embed="rId13" cstate="print"/>
                    <a:stretch>
                      <a:fillRect/>
                    </a:stretch>
                  </pic:blipFill>
                  <pic:spPr>
                    <a:xfrm>
                      <a:off x="0" y="0"/>
                      <a:ext cx="85724" cy="155574"/>
                    </a:xfrm>
                    <a:prstGeom prst="rect">
                      <a:avLst/>
                    </a:prstGeom>
                  </pic:spPr>
                </pic:pic>
              </a:graphicData>
            </a:graphic>
          </wp:inline>
        </w:drawing>
      </w:r>
      <w:r>
        <w:rPr>
          <w:color w:val="auto"/>
          <w:position w:val="1"/>
        </w:rPr>
        <w:t xml:space="preserve">的， </w:t>
      </w:r>
      <w:r>
        <w:rPr>
          <w:color w:val="auto"/>
          <w:spacing w:val="-1"/>
        </w:rPr>
        <w:t>企业或个人可以自行或委托代扣代缴义务人，向上市公司主</w:t>
      </w:r>
      <w:r>
        <w:rPr>
          <w:color w:val="auto"/>
          <w:spacing w:val="-2"/>
        </w:rPr>
        <w:t>管税务机关提出享受税收协定待遇的申请，主管税务机关审</w:t>
      </w:r>
      <w:r>
        <w:rPr>
          <w:color w:val="auto"/>
          <w:spacing w:val="-5"/>
        </w:rPr>
        <w:t>核后，应按已征税款和根据税收协定税率计算的应纳税款的差额予以退税。</w:t>
      </w:r>
    </w:p>
    <w:p>
      <w:pPr>
        <w:keepNext w:val="0"/>
        <w:keepLines w:val="0"/>
        <w:pageBreakBefore w:val="0"/>
        <w:widowControl w:val="0"/>
        <w:kinsoku/>
        <w:wordWrap/>
        <w:overflowPunct/>
        <w:topLinePunct w:val="0"/>
        <w:autoSpaceDE w:val="0"/>
        <w:autoSpaceDN w:val="0"/>
        <w:bidi w:val="0"/>
        <w:adjustRightInd/>
        <w:snapToGrid/>
        <w:spacing w:before="5"/>
        <w:ind w:left="320" w:right="0" w:firstLine="0"/>
        <w:jc w:val="both"/>
        <w:textAlignment w:val="auto"/>
        <w:rPr>
          <w:rFonts w:hint="eastAsia" w:ascii="宋体" w:eastAsia="宋体"/>
          <w:b/>
          <w:color w:val="auto"/>
          <w:sz w:val="32"/>
        </w:rPr>
      </w:pPr>
      <w:r>
        <w:rPr>
          <w:rFonts w:hint="eastAsia" w:ascii="宋体" w:eastAsia="宋体"/>
          <w:b/>
          <w:color w:val="auto"/>
          <w:sz w:val="32"/>
        </w:rPr>
        <w:t>【适用条件】</w:t>
      </w:r>
    </w:p>
    <w:p>
      <w:pPr>
        <w:pStyle w:val="4"/>
        <w:keepNext w:val="0"/>
        <w:keepLines w:val="0"/>
        <w:pageBreakBefore w:val="0"/>
        <w:widowControl w:val="0"/>
        <w:kinsoku/>
        <w:wordWrap/>
        <w:overflowPunct/>
        <w:topLinePunct w:val="0"/>
        <w:autoSpaceDE w:val="0"/>
        <w:autoSpaceDN w:val="0"/>
        <w:bidi w:val="0"/>
        <w:adjustRightInd/>
        <w:snapToGrid/>
        <w:ind w:left="960" w:firstLine="0"/>
        <w:jc w:val="both"/>
        <w:textAlignment w:val="auto"/>
        <w:rPr>
          <w:color w:val="auto"/>
        </w:rPr>
      </w:pPr>
      <w:r>
        <w:rPr>
          <w:color w:val="auto"/>
        </w:rPr>
        <w:t>香港市场投资者通过沪港通投资上海证券交易所上市 A</w:t>
      </w:r>
    </w:p>
    <w:p>
      <w:pPr>
        <w:pStyle w:val="4"/>
        <w:keepNext w:val="0"/>
        <w:keepLines w:val="0"/>
        <w:pageBreakBefore w:val="0"/>
        <w:widowControl w:val="0"/>
        <w:kinsoku/>
        <w:wordWrap/>
        <w:overflowPunct/>
        <w:topLinePunct w:val="0"/>
        <w:autoSpaceDE w:val="0"/>
        <w:autoSpaceDN w:val="0"/>
        <w:bidi w:val="0"/>
        <w:adjustRightInd/>
        <w:snapToGrid/>
        <w:spacing w:before="6"/>
        <w:ind w:left="0" w:firstLine="0"/>
        <w:jc w:val="both"/>
        <w:textAlignment w:val="auto"/>
        <w:rPr>
          <w:color w:val="auto"/>
          <w:sz w:val="12"/>
        </w:rPr>
      </w:pPr>
    </w:p>
    <w:p>
      <w:pPr>
        <w:pStyle w:val="4"/>
        <w:keepNext w:val="0"/>
        <w:keepLines w:val="0"/>
        <w:pageBreakBefore w:val="0"/>
        <w:widowControl w:val="0"/>
        <w:kinsoku/>
        <w:wordWrap/>
        <w:overflowPunct/>
        <w:topLinePunct w:val="0"/>
        <w:autoSpaceDE w:val="0"/>
        <w:autoSpaceDN w:val="0"/>
        <w:bidi w:val="0"/>
        <w:adjustRightInd/>
        <w:snapToGrid/>
        <w:spacing w:before="54"/>
        <w:ind w:firstLine="0"/>
        <w:jc w:val="both"/>
        <w:textAlignment w:val="auto"/>
        <w:rPr>
          <w:color w:val="auto"/>
        </w:rPr>
      </w:pPr>
      <w:r>
        <w:rPr>
          <w:color w:val="auto"/>
        </w:rPr>
        <w:t>股。</w:t>
      </w:r>
    </w:p>
    <w:p>
      <w:pPr>
        <w:keepNext w:val="0"/>
        <w:keepLines w:val="0"/>
        <w:pageBreakBefore w:val="0"/>
        <w:widowControl w:val="0"/>
        <w:kinsoku/>
        <w:wordWrap/>
        <w:overflowPunct/>
        <w:topLinePunct w:val="0"/>
        <w:autoSpaceDE w:val="0"/>
        <w:autoSpaceDN w:val="0"/>
        <w:bidi w:val="0"/>
        <w:adjustRightInd/>
        <w:snapToGrid/>
        <w:spacing w:before="214"/>
        <w:ind w:left="320" w:right="0" w:firstLine="0"/>
        <w:jc w:val="both"/>
        <w:textAlignment w:val="auto"/>
        <w:rPr>
          <w:rFonts w:hint="eastAsia" w:ascii="宋体" w:eastAsia="宋体"/>
          <w:b/>
          <w:color w:val="auto"/>
          <w:sz w:val="32"/>
        </w:rPr>
      </w:pPr>
      <w:r>
        <w:rPr>
          <w:rFonts w:hint="eastAsia" w:ascii="宋体" w:eastAsia="宋体"/>
          <w:b/>
          <w:color w:val="auto"/>
          <w:sz w:val="32"/>
        </w:rPr>
        <w:t>【政策依据】</w:t>
      </w:r>
    </w:p>
    <w:p>
      <w:pPr>
        <w:pStyle w:val="4"/>
        <w:keepNext w:val="0"/>
        <w:keepLines w:val="0"/>
        <w:pageBreakBefore w:val="0"/>
        <w:widowControl w:val="0"/>
        <w:kinsoku/>
        <w:wordWrap/>
        <w:overflowPunct/>
        <w:topLinePunct w:val="0"/>
        <w:autoSpaceDE w:val="0"/>
        <w:autoSpaceDN w:val="0"/>
        <w:bidi w:val="0"/>
        <w:adjustRightInd/>
        <w:snapToGrid/>
        <w:spacing w:before="236" w:line="326" w:lineRule="auto"/>
        <w:ind w:right="525"/>
        <w:jc w:val="both"/>
        <w:textAlignment w:val="auto"/>
        <w:rPr>
          <w:rFonts w:hint="eastAsia" w:ascii="黑体" w:eastAsia="黑体"/>
          <w:color w:val="auto"/>
        </w:rPr>
      </w:pPr>
      <w:r>
        <w:rPr>
          <w:rFonts w:hint="eastAsia" w:ascii="黑体" w:eastAsia="黑体"/>
          <w:color w:val="auto"/>
        </w:rPr>
        <w:t>《财政部 国家税务总局 证监会关于沪港股票市场交</w:t>
      </w:r>
      <w:r>
        <w:rPr>
          <w:rFonts w:hint="eastAsia" w:ascii="黑体" w:eastAsia="黑体"/>
          <w:color w:val="auto"/>
          <w:w w:val="95"/>
        </w:rPr>
        <w:t xml:space="preserve">易互联互通机制试点有关税收政策的通知》（财税〔2014〕 </w:t>
      </w:r>
      <w:r>
        <w:rPr>
          <w:rFonts w:hint="eastAsia" w:ascii="黑体" w:eastAsia="黑体"/>
          <w:color w:val="auto"/>
        </w:rPr>
        <w:t>81 号）第二条第 2 项</w:t>
      </w:r>
    </w:p>
    <w:p>
      <w:pPr>
        <w:pStyle w:val="4"/>
        <w:keepNext w:val="0"/>
        <w:keepLines w:val="0"/>
        <w:pageBreakBefore w:val="0"/>
        <w:widowControl w:val="0"/>
        <w:kinsoku/>
        <w:wordWrap/>
        <w:overflowPunct/>
        <w:topLinePunct w:val="0"/>
        <w:autoSpaceDE w:val="0"/>
        <w:autoSpaceDN w:val="0"/>
        <w:bidi w:val="0"/>
        <w:adjustRightInd/>
        <w:snapToGrid/>
        <w:spacing w:before="6"/>
        <w:ind w:left="0" w:firstLine="0"/>
        <w:jc w:val="both"/>
        <w:textAlignment w:val="auto"/>
        <w:rPr>
          <w:rFonts w:ascii="黑体"/>
          <w:color w:val="auto"/>
          <w:sz w:val="42"/>
        </w:rPr>
      </w:pPr>
    </w:p>
    <w:p>
      <w:pPr>
        <w:pStyle w:val="3"/>
        <w:keepNext w:val="0"/>
        <w:keepLines w:val="0"/>
        <w:pageBreakBefore w:val="0"/>
        <w:widowControl w:val="0"/>
        <w:numPr>
          <w:ilvl w:val="0"/>
          <w:numId w:val="48"/>
        </w:numPr>
        <w:tabs>
          <w:tab w:val="left" w:pos="805"/>
        </w:tabs>
        <w:kinsoku/>
        <w:wordWrap/>
        <w:overflowPunct/>
        <w:topLinePunct w:val="0"/>
        <w:autoSpaceDE w:val="0"/>
        <w:autoSpaceDN w:val="0"/>
        <w:bidi w:val="0"/>
        <w:adjustRightInd/>
        <w:snapToGrid/>
        <w:spacing w:before="0" w:after="0" w:line="364" w:lineRule="auto"/>
        <w:ind w:left="320" w:right="535" w:firstLine="0"/>
        <w:jc w:val="both"/>
        <w:textAlignment w:val="auto"/>
        <w:rPr>
          <w:color w:val="auto"/>
        </w:rPr>
      </w:pPr>
      <w:bookmarkStart w:id="42" w:name="_TOC_250007"/>
      <w:r>
        <w:rPr>
          <w:color w:val="auto"/>
          <w:spacing w:val="-2"/>
        </w:rPr>
        <w:t xml:space="preserve">香港市场投资者投资深交所上市 </w:t>
      </w:r>
      <w:r>
        <w:rPr>
          <w:rFonts w:hint="eastAsia" w:ascii="仿宋" w:eastAsia="仿宋"/>
          <w:color w:val="auto"/>
        </w:rPr>
        <w:t>A</w:t>
      </w:r>
      <w:r>
        <w:rPr>
          <w:rFonts w:hint="eastAsia" w:ascii="仿宋" w:eastAsia="仿宋"/>
          <w:color w:val="auto"/>
          <w:spacing w:val="-99"/>
        </w:rPr>
        <w:t xml:space="preserve"> </w:t>
      </w:r>
      <w:bookmarkEnd w:id="42"/>
      <w:r>
        <w:rPr>
          <w:color w:val="auto"/>
          <w:spacing w:val="6"/>
        </w:rPr>
        <w:t>股取得的转让差价免征增值税</w:t>
      </w:r>
    </w:p>
    <w:p>
      <w:pPr>
        <w:keepNext w:val="0"/>
        <w:keepLines w:val="0"/>
        <w:pageBreakBefore w:val="0"/>
        <w:widowControl w:val="0"/>
        <w:kinsoku/>
        <w:wordWrap/>
        <w:overflowPunct/>
        <w:topLinePunct w:val="0"/>
        <w:autoSpaceDE w:val="0"/>
        <w:autoSpaceDN w:val="0"/>
        <w:bidi w:val="0"/>
        <w:adjustRightInd/>
        <w:snapToGrid/>
        <w:spacing w:before="2"/>
        <w:ind w:left="320" w:right="0" w:firstLine="0"/>
        <w:jc w:val="both"/>
        <w:textAlignment w:val="auto"/>
        <w:rPr>
          <w:rFonts w:hint="eastAsia" w:ascii="宋体" w:eastAsia="宋体"/>
          <w:b/>
          <w:color w:val="auto"/>
          <w:sz w:val="32"/>
        </w:rPr>
      </w:pPr>
      <w:r>
        <w:rPr>
          <w:rFonts w:hint="eastAsia" w:ascii="宋体" w:eastAsia="宋体"/>
          <w:b/>
          <w:color w:val="auto"/>
          <w:sz w:val="32"/>
        </w:rPr>
        <w:t>【适用主体】</w:t>
      </w:r>
    </w:p>
    <w:p>
      <w:pPr>
        <w:pStyle w:val="4"/>
        <w:keepNext w:val="0"/>
        <w:keepLines w:val="0"/>
        <w:pageBreakBefore w:val="0"/>
        <w:widowControl w:val="0"/>
        <w:kinsoku/>
        <w:wordWrap/>
        <w:overflowPunct/>
        <w:topLinePunct w:val="0"/>
        <w:autoSpaceDE w:val="0"/>
        <w:autoSpaceDN w:val="0"/>
        <w:bidi w:val="0"/>
        <w:adjustRightInd/>
        <w:snapToGrid/>
        <w:spacing w:line="364" w:lineRule="auto"/>
        <w:ind w:right="540"/>
        <w:jc w:val="both"/>
        <w:textAlignment w:val="auto"/>
        <w:rPr>
          <w:color w:val="auto"/>
        </w:rPr>
      </w:pPr>
      <w:r>
        <w:rPr>
          <w:color w:val="auto"/>
          <w:spacing w:val="-7"/>
        </w:rPr>
        <w:t xml:space="preserve">通过深港通投资深交所上市 </w:t>
      </w:r>
      <w:r>
        <w:rPr>
          <w:color w:val="auto"/>
        </w:rPr>
        <w:t>A</w:t>
      </w:r>
      <w:r>
        <w:rPr>
          <w:color w:val="auto"/>
          <w:spacing w:val="-12"/>
        </w:rPr>
        <w:t xml:space="preserve"> 股的香港市场投资者</w:t>
      </w:r>
      <w:r>
        <w:rPr>
          <w:color w:val="auto"/>
        </w:rPr>
        <w:t>（包括单位和个人）</w:t>
      </w:r>
    </w:p>
    <w:p>
      <w:pPr>
        <w:keepNext w:val="0"/>
        <w:keepLines w:val="0"/>
        <w:pageBreakBefore w:val="0"/>
        <w:widowControl w:val="0"/>
        <w:kinsoku/>
        <w:wordWrap/>
        <w:overflowPunct/>
        <w:topLinePunct w:val="0"/>
        <w:autoSpaceDE w:val="0"/>
        <w:autoSpaceDN w:val="0"/>
        <w:bidi w:val="0"/>
        <w:adjustRightInd/>
        <w:snapToGrid/>
        <w:spacing w:before="1"/>
        <w:ind w:left="320" w:right="0" w:firstLine="0"/>
        <w:jc w:val="both"/>
        <w:textAlignment w:val="auto"/>
        <w:rPr>
          <w:rFonts w:hint="eastAsia" w:ascii="宋体" w:eastAsia="宋体"/>
          <w:b/>
          <w:color w:val="auto"/>
          <w:sz w:val="32"/>
        </w:rPr>
      </w:pPr>
      <w:r>
        <w:rPr>
          <w:rFonts w:hint="eastAsia" w:ascii="宋体" w:eastAsia="宋体"/>
          <w:b/>
          <w:color w:val="auto"/>
          <w:sz w:val="32"/>
        </w:rPr>
        <w:t>【政策内容】</w:t>
      </w:r>
    </w:p>
    <w:p>
      <w:pPr>
        <w:pStyle w:val="4"/>
        <w:keepNext w:val="0"/>
        <w:keepLines w:val="0"/>
        <w:pageBreakBefore w:val="0"/>
        <w:widowControl w:val="0"/>
        <w:kinsoku/>
        <w:wordWrap/>
        <w:overflowPunct/>
        <w:topLinePunct w:val="0"/>
        <w:autoSpaceDE w:val="0"/>
        <w:autoSpaceDN w:val="0"/>
        <w:bidi w:val="0"/>
        <w:adjustRightInd/>
        <w:snapToGrid/>
        <w:ind w:left="960" w:firstLine="0"/>
        <w:jc w:val="both"/>
        <w:textAlignment w:val="auto"/>
        <w:rPr>
          <w:color w:val="auto"/>
        </w:rPr>
      </w:pPr>
      <w:r>
        <w:rPr>
          <w:color w:val="auto"/>
        </w:rPr>
        <w:t>香港市场投资者（包括单位和个人）通过深港通买卖深</w:t>
      </w:r>
    </w:p>
    <w:p>
      <w:pPr>
        <w:pStyle w:val="4"/>
        <w:keepNext w:val="0"/>
        <w:keepLines w:val="0"/>
        <w:pageBreakBefore w:val="0"/>
        <w:widowControl w:val="0"/>
        <w:kinsoku/>
        <w:wordWrap/>
        <w:overflowPunct/>
        <w:topLinePunct w:val="0"/>
        <w:autoSpaceDE w:val="0"/>
        <w:autoSpaceDN w:val="0"/>
        <w:bidi w:val="0"/>
        <w:adjustRightInd/>
        <w:snapToGrid/>
        <w:spacing w:before="30" w:line="364" w:lineRule="auto"/>
        <w:ind w:right="537" w:firstLine="0"/>
        <w:jc w:val="both"/>
        <w:textAlignment w:val="auto"/>
        <w:rPr>
          <w:color w:val="auto"/>
        </w:rPr>
      </w:pPr>
      <w:r>
        <w:rPr>
          <w:color w:val="auto"/>
          <w:spacing w:val="-17"/>
        </w:rPr>
        <w:t xml:space="preserve">交所上市 </w:t>
      </w:r>
      <w:r>
        <w:rPr>
          <w:color w:val="auto"/>
        </w:rPr>
        <w:t>A</w:t>
      </w:r>
      <w:r>
        <w:rPr>
          <w:color w:val="auto"/>
          <w:spacing w:val="-11"/>
        </w:rPr>
        <w:t xml:space="preserve"> 股取得的差价收入，在营改增试点期间免征增值税。</w:t>
      </w:r>
    </w:p>
    <w:p>
      <w:pPr>
        <w:keepNext w:val="0"/>
        <w:keepLines w:val="0"/>
        <w:pageBreakBefore w:val="0"/>
        <w:widowControl w:val="0"/>
        <w:kinsoku/>
        <w:wordWrap/>
        <w:overflowPunct/>
        <w:topLinePunct w:val="0"/>
        <w:autoSpaceDE w:val="0"/>
        <w:autoSpaceDN w:val="0"/>
        <w:bidi w:val="0"/>
        <w:adjustRightInd/>
        <w:snapToGrid/>
        <w:spacing w:before="1"/>
        <w:ind w:left="320" w:right="0" w:firstLine="0"/>
        <w:jc w:val="both"/>
        <w:textAlignment w:val="auto"/>
        <w:rPr>
          <w:rFonts w:hint="eastAsia" w:ascii="宋体" w:eastAsia="宋体"/>
          <w:b/>
          <w:color w:val="auto"/>
          <w:sz w:val="32"/>
        </w:rPr>
      </w:pPr>
      <w:r>
        <w:rPr>
          <w:rFonts w:hint="eastAsia" w:ascii="宋体" w:eastAsia="宋体"/>
          <w:b/>
          <w:color w:val="auto"/>
          <w:sz w:val="32"/>
        </w:rPr>
        <w:t>【适用条件】</w:t>
      </w:r>
    </w:p>
    <w:p>
      <w:pPr>
        <w:pStyle w:val="4"/>
        <w:keepNext w:val="0"/>
        <w:keepLines w:val="0"/>
        <w:pageBreakBefore w:val="0"/>
        <w:widowControl w:val="0"/>
        <w:kinsoku/>
        <w:wordWrap/>
        <w:overflowPunct/>
        <w:topLinePunct w:val="0"/>
        <w:autoSpaceDE w:val="0"/>
        <w:autoSpaceDN w:val="0"/>
        <w:bidi w:val="0"/>
        <w:adjustRightInd/>
        <w:snapToGrid/>
        <w:ind w:left="960" w:firstLine="0"/>
        <w:jc w:val="both"/>
        <w:textAlignment w:val="auto"/>
        <w:rPr>
          <w:color w:val="auto"/>
        </w:rPr>
      </w:pPr>
      <w:r>
        <w:rPr>
          <w:color w:val="auto"/>
        </w:rPr>
        <w:t>香港市场投资者通过深港通投资深圳证券交易所上市 A</w:t>
      </w:r>
    </w:p>
    <w:p>
      <w:pPr>
        <w:pStyle w:val="4"/>
        <w:keepNext w:val="0"/>
        <w:keepLines w:val="0"/>
        <w:pageBreakBefore w:val="0"/>
        <w:widowControl w:val="0"/>
        <w:kinsoku/>
        <w:wordWrap/>
        <w:overflowPunct/>
        <w:topLinePunct w:val="0"/>
        <w:autoSpaceDE w:val="0"/>
        <w:autoSpaceDN w:val="0"/>
        <w:bidi w:val="0"/>
        <w:adjustRightInd/>
        <w:snapToGrid/>
        <w:spacing w:before="6"/>
        <w:ind w:left="0" w:firstLine="0"/>
        <w:jc w:val="both"/>
        <w:textAlignment w:val="auto"/>
        <w:rPr>
          <w:color w:val="auto"/>
          <w:sz w:val="12"/>
        </w:rPr>
      </w:pPr>
    </w:p>
    <w:p>
      <w:pPr>
        <w:pStyle w:val="4"/>
        <w:keepNext w:val="0"/>
        <w:keepLines w:val="0"/>
        <w:pageBreakBefore w:val="0"/>
        <w:widowControl w:val="0"/>
        <w:kinsoku/>
        <w:wordWrap/>
        <w:overflowPunct/>
        <w:topLinePunct w:val="0"/>
        <w:autoSpaceDE w:val="0"/>
        <w:autoSpaceDN w:val="0"/>
        <w:bidi w:val="0"/>
        <w:adjustRightInd/>
        <w:snapToGrid/>
        <w:spacing w:before="55"/>
        <w:ind w:firstLine="0"/>
        <w:jc w:val="both"/>
        <w:textAlignment w:val="auto"/>
        <w:rPr>
          <w:color w:val="auto"/>
        </w:rPr>
      </w:pPr>
      <w:r>
        <w:rPr>
          <w:color w:val="auto"/>
        </w:rPr>
        <w:t>股。</w:t>
      </w:r>
    </w:p>
    <w:p>
      <w:pPr>
        <w:keepNext w:val="0"/>
        <w:keepLines w:val="0"/>
        <w:pageBreakBefore w:val="0"/>
        <w:widowControl w:val="0"/>
        <w:kinsoku/>
        <w:wordWrap/>
        <w:overflowPunct/>
        <w:topLinePunct w:val="0"/>
        <w:autoSpaceDE w:val="0"/>
        <w:autoSpaceDN w:val="0"/>
        <w:bidi w:val="0"/>
        <w:adjustRightInd/>
        <w:snapToGrid/>
        <w:spacing w:before="214"/>
        <w:ind w:left="320" w:right="0" w:firstLine="0"/>
        <w:jc w:val="both"/>
        <w:textAlignment w:val="auto"/>
        <w:rPr>
          <w:rFonts w:hint="eastAsia" w:ascii="宋体" w:eastAsia="宋体"/>
          <w:b/>
          <w:color w:val="auto"/>
          <w:sz w:val="32"/>
        </w:rPr>
      </w:pPr>
      <w:r>
        <w:rPr>
          <w:rFonts w:hint="eastAsia" w:ascii="宋体" w:eastAsia="宋体"/>
          <w:b/>
          <w:color w:val="auto"/>
          <w:sz w:val="32"/>
        </w:rPr>
        <w:t>【政策依据】</w:t>
      </w:r>
    </w:p>
    <w:p>
      <w:pPr>
        <w:pStyle w:val="4"/>
        <w:keepNext w:val="0"/>
        <w:keepLines w:val="0"/>
        <w:pageBreakBefore w:val="0"/>
        <w:widowControl w:val="0"/>
        <w:kinsoku/>
        <w:wordWrap/>
        <w:overflowPunct/>
        <w:topLinePunct w:val="0"/>
        <w:autoSpaceDE w:val="0"/>
        <w:autoSpaceDN w:val="0"/>
        <w:bidi w:val="0"/>
        <w:adjustRightInd/>
        <w:snapToGrid/>
        <w:spacing w:before="235" w:line="326" w:lineRule="auto"/>
        <w:ind w:right="525"/>
        <w:jc w:val="both"/>
        <w:textAlignment w:val="auto"/>
        <w:rPr>
          <w:rFonts w:hint="eastAsia" w:ascii="黑体" w:eastAsia="黑体"/>
          <w:color w:val="auto"/>
        </w:rPr>
      </w:pPr>
      <w:r>
        <w:rPr>
          <w:rFonts w:hint="eastAsia" w:ascii="黑体" w:eastAsia="黑体"/>
          <w:color w:val="auto"/>
        </w:rPr>
        <w:t>《财政部 国家税务总局 证监会关于深港股票市场交</w:t>
      </w:r>
      <w:r>
        <w:rPr>
          <w:rFonts w:hint="eastAsia" w:ascii="黑体" w:eastAsia="黑体"/>
          <w:color w:val="auto"/>
          <w:w w:val="95"/>
        </w:rPr>
        <w:t>易互联互通机制试点有关税收政策的通知》（财税〔2016〕</w:t>
      </w:r>
      <w:r>
        <w:rPr>
          <w:rFonts w:hint="eastAsia" w:ascii="黑体" w:eastAsia="黑体"/>
          <w:color w:val="auto"/>
        </w:rPr>
        <w:t>127 号）第三条第 1 项</w:t>
      </w:r>
    </w:p>
    <w:p>
      <w:pPr>
        <w:pStyle w:val="4"/>
        <w:keepNext w:val="0"/>
        <w:keepLines w:val="0"/>
        <w:pageBreakBefore w:val="0"/>
        <w:widowControl w:val="0"/>
        <w:kinsoku/>
        <w:wordWrap/>
        <w:overflowPunct/>
        <w:topLinePunct w:val="0"/>
        <w:autoSpaceDE w:val="0"/>
        <w:autoSpaceDN w:val="0"/>
        <w:bidi w:val="0"/>
        <w:adjustRightInd/>
        <w:snapToGrid/>
        <w:spacing w:before="8"/>
        <w:ind w:left="0" w:firstLine="0"/>
        <w:jc w:val="both"/>
        <w:textAlignment w:val="auto"/>
        <w:rPr>
          <w:rFonts w:ascii="黑体"/>
          <w:color w:val="auto"/>
          <w:sz w:val="47"/>
        </w:rPr>
      </w:pPr>
    </w:p>
    <w:p>
      <w:pPr>
        <w:pStyle w:val="12"/>
        <w:keepNext w:val="0"/>
        <w:keepLines w:val="0"/>
        <w:pageBreakBefore w:val="0"/>
        <w:widowControl w:val="0"/>
        <w:numPr>
          <w:ilvl w:val="0"/>
          <w:numId w:val="48"/>
        </w:numPr>
        <w:tabs>
          <w:tab w:val="left" w:pos="805"/>
        </w:tabs>
        <w:kinsoku/>
        <w:wordWrap/>
        <w:overflowPunct/>
        <w:topLinePunct w:val="0"/>
        <w:autoSpaceDE w:val="0"/>
        <w:autoSpaceDN w:val="0"/>
        <w:bidi w:val="0"/>
        <w:adjustRightInd/>
        <w:snapToGrid/>
        <w:spacing w:before="0" w:after="0" w:line="364" w:lineRule="auto"/>
        <w:ind w:left="320" w:right="535" w:firstLine="0"/>
        <w:jc w:val="both"/>
        <w:textAlignment w:val="auto"/>
        <w:rPr>
          <w:rFonts w:hint="eastAsia" w:ascii="宋体" w:eastAsia="宋体"/>
          <w:b/>
          <w:color w:val="auto"/>
          <w:sz w:val="32"/>
        </w:rPr>
      </w:pPr>
      <w:r>
        <w:rPr>
          <w:rFonts w:hint="eastAsia" w:ascii="宋体" w:eastAsia="宋体"/>
          <w:b/>
          <w:color w:val="auto"/>
          <w:spacing w:val="-2"/>
          <w:sz w:val="32"/>
        </w:rPr>
        <w:t xml:space="preserve">香港市场投资者投资深交所上市 </w:t>
      </w:r>
      <w:r>
        <w:rPr>
          <w:rFonts w:hint="eastAsia" w:ascii="仿宋" w:eastAsia="仿宋"/>
          <w:b/>
          <w:color w:val="auto"/>
          <w:sz w:val="32"/>
        </w:rPr>
        <w:t>A</w:t>
      </w:r>
      <w:r>
        <w:rPr>
          <w:rFonts w:hint="eastAsia" w:ascii="仿宋" w:eastAsia="仿宋"/>
          <w:b/>
          <w:color w:val="auto"/>
          <w:spacing w:val="-99"/>
          <w:sz w:val="32"/>
        </w:rPr>
        <w:t xml:space="preserve"> </w:t>
      </w:r>
      <w:r>
        <w:rPr>
          <w:rFonts w:hint="eastAsia" w:ascii="宋体" w:eastAsia="宋体"/>
          <w:b/>
          <w:color w:val="auto"/>
          <w:spacing w:val="6"/>
          <w:sz w:val="32"/>
        </w:rPr>
        <w:t>股取得的转让差价所得暂免征收所得税</w:t>
      </w:r>
    </w:p>
    <w:p>
      <w:pPr>
        <w:keepNext w:val="0"/>
        <w:keepLines w:val="0"/>
        <w:pageBreakBefore w:val="0"/>
        <w:widowControl w:val="0"/>
        <w:kinsoku/>
        <w:wordWrap/>
        <w:overflowPunct/>
        <w:topLinePunct w:val="0"/>
        <w:autoSpaceDE w:val="0"/>
        <w:autoSpaceDN w:val="0"/>
        <w:bidi w:val="0"/>
        <w:adjustRightInd/>
        <w:snapToGrid/>
        <w:spacing w:before="1"/>
        <w:ind w:left="320" w:right="0" w:firstLine="0"/>
        <w:jc w:val="both"/>
        <w:textAlignment w:val="auto"/>
        <w:rPr>
          <w:rFonts w:hint="eastAsia" w:ascii="宋体" w:eastAsia="宋体"/>
          <w:b/>
          <w:color w:val="auto"/>
          <w:sz w:val="32"/>
        </w:rPr>
      </w:pPr>
      <w:r>
        <w:rPr>
          <w:rFonts w:hint="eastAsia" w:ascii="宋体" w:eastAsia="宋体"/>
          <w:b/>
          <w:color w:val="auto"/>
          <w:sz w:val="32"/>
        </w:rPr>
        <w:t>【适用主体】</w:t>
      </w:r>
    </w:p>
    <w:p>
      <w:pPr>
        <w:pStyle w:val="4"/>
        <w:keepNext w:val="0"/>
        <w:keepLines w:val="0"/>
        <w:pageBreakBefore w:val="0"/>
        <w:widowControl w:val="0"/>
        <w:kinsoku/>
        <w:wordWrap/>
        <w:overflowPunct/>
        <w:topLinePunct w:val="0"/>
        <w:autoSpaceDE w:val="0"/>
        <w:autoSpaceDN w:val="0"/>
        <w:bidi w:val="0"/>
        <w:adjustRightInd/>
        <w:snapToGrid/>
        <w:spacing w:line="364" w:lineRule="auto"/>
        <w:ind w:right="540"/>
        <w:jc w:val="both"/>
        <w:textAlignment w:val="auto"/>
        <w:rPr>
          <w:color w:val="auto"/>
        </w:rPr>
      </w:pPr>
      <w:r>
        <w:rPr>
          <w:color w:val="auto"/>
          <w:spacing w:val="6"/>
        </w:rPr>
        <w:t>通过深港通投资深交所上市</w:t>
      </w:r>
      <w:r>
        <w:rPr>
          <w:color w:val="auto"/>
        </w:rPr>
        <w:t>A</w:t>
      </w:r>
      <w:r>
        <w:rPr>
          <w:color w:val="auto"/>
          <w:spacing w:val="-13"/>
        </w:rPr>
        <w:t xml:space="preserve"> 股的香港市场投资者</w:t>
      </w:r>
      <w:r>
        <w:rPr>
          <w:color w:val="auto"/>
        </w:rPr>
        <w:t>（包括企业和个人）</w:t>
      </w:r>
    </w:p>
    <w:p>
      <w:pPr>
        <w:keepNext w:val="0"/>
        <w:keepLines w:val="0"/>
        <w:pageBreakBefore w:val="0"/>
        <w:widowControl w:val="0"/>
        <w:kinsoku/>
        <w:wordWrap/>
        <w:overflowPunct/>
        <w:topLinePunct w:val="0"/>
        <w:autoSpaceDE w:val="0"/>
        <w:autoSpaceDN w:val="0"/>
        <w:bidi w:val="0"/>
        <w:adjustRightInd/>
        <w:snapToGrid/>
        <w:spacing w:before="2"/>
        <w:ind w:left="320" w:right="0" w:firstLine="0"/>
        <w:jc w:val="both"/>
        <w:textAlignment w:val="auto"/>
        <w:rPr>
          <w:rFonts w:hint="eastAsia" w:ascii="宋体" w:eastAsia="宋体"/>
          <w:b/>
          <w:color w:val="auto"/>
          <w:sz w:val="32"/>
        </w:rPr>
      </w:pPr>
      <w:r>
        <w:rPr>
          <w:rFonts w:hint="eastAsia" w:ascii="宋体" w:eastAsia="宋体"/>
          <w:b/>
          <w:color w:val="auto"/>
          <w:sz w:val="32"/>
        </w:rPr>
        <w:t>【政策内容】</w:t>
      </w:r>
    </w:p>
    <w:p>
      <w:pPr>
        <w:pStyle w:val="4"/>
        <w:keepNext w:val="0"/>
        <w:keepLines w:val="0"/>
        <w:pageBreakBefore w:val="0"/>
        <w:widowControl w:val="0"/>
        <w:kinsoku/>
        <w:wordWrap/>
        <w:overflowPunct/>
        <w:topLinePunct w:val="0"/>
        <w:autoSpaceDE w:val="0"/>
        <w:autoSpaceDN w:val="0"/>
        <w:bidi w:val="0"/>
        <w:adjustRightInd/>
        <w:snapToGrid/>
        <w:spacing w:line="364" w:lineRule="auto"/>
        <w:ind w:right="540"/>
        <w:jc w:val="both"/>
        <w:textAlignment w:val="auto"/>
        <w:rPr>
          <w:color w:val="auto"/>
        </w:rPr>
      </w:pPr>
      <w:r>
        <w:rPr>
          <w:color w:val="auto"/>
          <w:spacing w:val="-1"/>
        </w:rPr>
        <w:t>对香港市场投资者</w:t>
      </w:r>
      <w:r>
        <w:rPr>
          <w:color w:val="auto"/>
        </w:rPr>
        <w:t>（包括企业和个人</w:t>
      </w:r>
      <w:r>
        <w:rPr>
          <w:color w:val="auto"/>
          <w:spacing w:val="-7"/>
        </w:rPr>
        <w:t>）</w:t>
      </w:r>
      <w:r>
        <w:rPr>
          <w:color w:val="auto"/>
          <w:spacing w:val="-2"/>
        </w:rPr>
        <w:t>投资深交所上市</w:t>
      </w:r>
      <w:r>
        <w:rPr>
          <w:color w:val="auto"/>
        </w:rPr>
        <w:t>A</w:t>
      </w:r>
      <w:r>
        <w:rPr>
          <w:color w:val="auto"/>
          <w:spacing w:val="-10"/>
        </w:rPr>
        <w:t xml:space="preserve"> 股取得的转让差价所得，暂免征收所得税。</w:t>
      </w:r>
    </w:p>
    <w:p>
      <w:pPr>
        <w:keepNext w:val="0"/>
        <w:keepLines w:val="0"/>
        <w:pageBreakBefore w:val="0"/>
        <w:widowControl w:val="0"/>
        <w:kinsoku/>
        <w:wordWrap/>
        <w:overflowPunct/>
        <w:topLinePunct w:val="0"/>
        <w:autoSpaceDE w:val="0"/>
        <w:autoSpaceDN w:val="0"/>
        <w:bidi w:val="0"/>
        <w:adjustRightInd/>
        <w:snapToGrid/>
        <w:spacing w:before="2"/>
        <w:ind w:left="320" w:right="0" w:firstLine="0"/>
        <w:jc w:val="both"/>
        <w:textAlignment w:val="auto"/>
        <w:rPr>
          <w:rFonts w:hint="eastAsia" w:ascii="宋体" w:eastAsia="宋体"/>
          <w:b/>
          <w:color w:val="auto"/>
          <w:sz w:val="32"/>
        </w:rPr>
      </w:pPr>
      <w:r>
        <w:rPr>
          <w:rFonts w:hint="eastAsia" w:ascii="宋体" w:eastAsia="宋体"/>
          <w:b/>
          <w:color w:val="auto"/>
          <w:sz w:val="32"/>
        </w:rPr>
        <w:t>【适用条件】</w:t>
      </w:r>
    </w:p>
    <w:p>
      <w:pPr>
        <w:pStyle w:val="4"/>
        <w:keepNext w:val="0"/>
        <w:keepLines w:val="0"/>
        <w:pageBreakBefore w:val="0"/>
        <w:widowControl w:val="0"/>
        <w:kinsoku/>
        <w:wordWrap/>
        <w:overflowPunct/>
        <w:topLinePunct w:val="0"/>
        <w:autoSpaceDE w:val="0"/>
        <w:autoSpaceDN w:val="0"/>
        <w:bidi w:val="0"/>
        <w:adjustRightInd/>
        <w:snapToGrid/>
        <w:ind w:left="960" w:firstLine="0"/>
        <w:jc w:val="both"/>
        <w:textAlignment w:val="auto"/>
        <w:rPr>
          <w:color w:val="auto"/>
        </w:rPr>
      </w:pPr>
      <w:r>
        <w:rPr>
          <w:color w:val="auto"/>
        </w:rPr>
        <w:t>香港市场投资者通过深港通投资深圳证券交易所上市 A</w:t>
      </w:r>
    </w:p>
    <w:p>
      <w:pPr>
        <w:pStyle w:val="4"/>
        <w:keepNext w:val="0"/>
        <w:keepLines w:val="0"/>
        <w:pageBreakBefore w:val="0"/>
        <w:widowControl w:val="0"/>
        <w:kinsoku/>
        <w:wordWrap/>
        <w:overflowPunct/>
        <w:topLinePunct w:val="0"/>
        <w:autoSpaceDE w:val="0"/>
        <w:autoSpaceDN w:val="0"/>
        <w:bidi w:val="0"/>
        <w:adjustRightInd/>
        <w:snapToGrid/>
        <w:spacing w:before="5"/>
        <w:ind w:left="0" w:firstLine="0"/>
        <w:jc w:val="both"/>
        <w:textAlignment w:val="auto"/>
        <w:rPr>
          <w:color w:val="auto"/>
          <w:sz w:val="12"/>
        </w:rPr>
      </w:pPr>
    </w:p>
    <w:p>
      <w:pPr>
        <w:pStyle w:val="4"/>
        <w:keepNext w:val="0"/>
        <w:keepLines w:val="0"/>
        <w:pageBreakBefore w:val="0"/>
        <w:widowControl w:val="0"/>
        <w:kinsoku/>
        <w:wordWrap/>
        <w:overflowPunct/>
        <w:topLinePunct w:val="0"/>
        <w:autoSpaceDE w:val="0"/>
        <w:autoSpaceDN w:val="0"/>
        <w:bidi w:val="0"/>
        <w:adjustRightInd/>
        <w:snapToGrid/>
        <w:spacing w:before="55"/>
        <w:ind w:firstLine="0"/>
        <w:jc w:val="both"/>
        <w:textAlignment w:val="auto"/>
        <w:rPr>
          <w:color w:val="auto"/>
        </w:rPr>
      </w:pPr>
      <w:r>
        <w:rPr>
          <w:color w:val="auto"/>
        </w:rPr>
        <w:t>股。</w:t>
      </w:r>
    </w:p>
    <w:p>
      <w:pPr>
        <w:keepNext w:val="0"/>
        <w:keepLines w:val="0"/>
        <w:pageBreakBefore w:val="0"/>
        <w:widowControl w:val="0"/>
        <w:kinsoku/>
        <w:wordWrap/>
        <w:overflowPunct/>
        <w:topLinePunct w:val="0"/>
        <w:autoSpaceDE w:val="0"/>
        <w:autoSpaceDN w:val="0"/>
        <w:bidi w:val="0"/>
        <w:adjustRightInd/>
        <w:snapToGrid/>
        <w:spacing w:before="214"/>
        <w:ind w:left="320" w:right="0" w:firstLine="0"/>
        <w:jc w:val="both"/>
        <w:textAlignment w:val="auto"/>
        <w:rPr>
          <w:rFonts w:hint="eastAsia" w:ascii="宋体" w:eastAsia="宋体"/>
          <w:b/>
          <w:color w:val="auto"/>
          <w:sz w:val="32"/>
        </w:rPr>
      </w:pPr>
      <w:r>
        <w:rPr>
          <w:rFonts w:hint="eastAsia" w:ascii="宋体" w:eastAsia="宋体"/>
          <w:b/>
          <w:color w:val="auto"/>
          <w:sz w:val="32"/>
        </w:rPr>
        <w:t>【政策依据】</w:t>
      </w:r>
    </w:p>
    <w:p>
      <w:pPr>
        <w:pStyle w:val="4"/>
        <w:keepNext w:val="0"/>
        <w:keepLines w:val="0"/>
        <w:pageBreakBefore w:val="0"/>
        <w:widowControl w:val="0"/>
        <w:kinsoku/>
        <w:wordWrap/>
        <w:overflowPunct/>
        <w:topLinePunct w:val="0"/>
        <w:autoSpaceDE w:val="0"/>
        <w:autoSpaceDN w:val="0"/>
        <w:bidi w:val="0"/>
        <w:adjustRightInd/>
        <w:snapToGrid/>
        <w:spacing w:before="32" w:line="326" w:lineRule="auto"/>
        <w:ind w:right="525"/>
        <w:jc w:val="both"/>
        <w:textAlignment w:val="auto"/>
        <w:rPr>
          <w:rFonts w:hint="eastAsia" w:ascii="黑体" w:eastAsia="黑体"/>
          <w:color w:val="auto"/>
        </w:rPr>
      </w:pPr>
      <w:r>
        <w:rPr>
          <w:rFonts w:hint="eastAsia" w:ascii="黑体" w:eastAsia="黑体"/>
          <w:color w:val="auto"/>
        </w:rPr>
        <w:t>《财政部 国家税务总局 证监会关于深港股票市场交</w:t>
      </w:r>
      <w:r>
        <w:rPr>
          <w:rFonts w:hint="eastAsia" w:ascii="黑体" w:eastAsia="黑体"/>
          <w:color w:val="auto"/>
          <w:w w:val="95"/>
        </w:rPr>
        <w:t>易互联互通机制试点有关税收政策的通知》（财税〔2016〕</w:t>
      </w:r>
      <w:r>
        <w:rPr>
          <w:rFonts w:hint="eastAsia" w:ascii="黑体" w:eastAsia="黑体"/>
          <w:color w:val="auto"/>
        </w:rPr>
        <w:t>127 号）第二条第 1 项</w:t>
      </w:r>
    </w:p>
    <w:p>
      <w:pPr>
        <w:pStyle w:val="4"/>
        <w:keepNext w:val="0"/>
        <w:keepLines w:val="0"/>
        <w:pageBreakBefore w:val="0"/>
        <w:widowControl w:val="0"/>
        <w:kinsoku/>
        <w:wordWrap/>
        <w:overflowPunct/>
        <w:topLinePunct w:val="0"/>
        <w:autoSpaceDE w:val="0"/>
        <w:autoSpaceDN w:val="0"/>
        <w:bidi w:val="0"/>
        <w:adjustRightInd/>
        <w:snapToGrid/>
        <w:spacing w:before="7"/>
        <w:ind w:left="0" w:firstLine="0"/>
        <w:jc w:val="both"/>
        <w:textAlignment w:val="auto"/>
        <w:rPr>
          <w:rFonts w:ascii="黑体"/>
          <w:color w:val="auto"/>
          <w:sz w:val="47"/>
        </w:rPr>
      </w:pPr>
    </w:p>
    <w:p>
      <w:pPr>
        <w:pStyle w:val="3"/>
        <w:keepNext w:val="0"/>
        <w:keepLines w:val="0"/>
        <w:pageBreakBefore w:val="0"/>
        <w:widowControl w:val="0"/>
        <w:numPr>
          <w:ilvl w:val="0"/>
          <w:numId w:val="48"/>
        </w:numPr>
        <w:tabs>
          <w:tab w:val="left" w:pos="805"/>
        </w:tabs>
        <w:kinsoku/>
        <w:wordWrap/>
        <w:overflowPunct/>
        <w:topLinePunct w:val="0"/>
        <w:autoSpaceDE w:val="0"/>
        <w:autoSpaceDN w:val="0"/>
        <w:bidi w:val="0"/>
        <w:adjustRightInd/>
        <w:snapToGrid/>
        <w:spacing w:before="0" w:after="0" w:line="364" w:lineRule="auto"/>
        <w:ind w:left="320" w:right="535" w:firstLine="0"/>
        <w:jc w:val="both"/>
        <w:textAlignment w:val="auto"/>
        <w:rPr>
          <w:color w:val="auto"/>
        </w:rPr>
      </w:pPr>
      <w:bookmarkStart w:id="43" w:name="_TOC_250006"/>
      <w:r>
        <w:rPr>
          <w:color w:val="auto"/>
          <w:spacing w:val="-2"/>
        </w:rPr>
        <w:t xml:space="preserve">香港市场投资者投资深交所上市 </w:t>
      </w:r>
      <w:r>
        <w:rPr>
          <w:rFonts w:hint="eastAsia" w:ascii="仿宋" w:eastAsia="仿宋"/>
          <w:color w:val="auto"/>
        </w:rPr>
        <w:t>A</w:t>
      </w:r>
      <w:r>
        <w:rPr>
          <w:rFonts w:hint="eastAsia" w:ascii="仿宋" w:eastAsia="仿宋"/>
          <w:color w:val="auto"/>
          <w:spacing w:val="-99"/>
        </w:rPr>
        <w:t xml:space="preserve"> </w:t>
      </w:r>
      <w:bookmarkEnd w:id="43"/>
      <w:r>
        <w:rPr>
          <w:color w:val="auto"/>
          <w:spacing w:val="6"/>
        </w:rPr>
        <w:t>股取得的股息红利所得税政策</w:t>
      </w:r>
    </w:p>
    <w:p>
      <w:pPr>
        <w:keepNext w:val="0"/>
        <w:keepLines w:val="0"/>
        <w:pageBreakBefore w:val="0"/>
        <w:widowControl w:val="0"/>
        <w:kinsoku/>
        <w:wordWrap/>
        <w:overflowPunct/>
        <w:topLinePunct w:val="0"/>
        <w:autoSpaceDE w:val="0"/>
        <w:autoSpaceDN w:val="0"/>
        <w:bidi w:val="0"/>
        <w:adjustRightInd/>
        <w:snapToGrid/>
        <w:spacing w:before="1"/>
        <w:ind w:left="320" w:right="0" w:firstLine="0"/>
        <w:jc w:val="both"/>
        <w:textAlignment w:val="auto"/>
        <w:rPr>
          <w:rFonts w:hint="eastAsia" w:ascii="宋体" w:eastAsia="宋体"/>
          <w:b/>
          <w:color w:val="auto"/>
          <w:sz w:val="32"/>
        </w:rPr>
      </w:pPr>
      <w:r>
        <w:rPr>
          <w:rFonts w:hint="eastAsia" w:ascii="宋体" w:eastAsia="宋体"/>
          <w:b/>
          <w:color w:val="auto"/>
          <w:sz w:val="32"/>
        </w:rPr>
        <w:t>【适用主体】</w:t>
      </w:r>
    </w:p>
    <w:p>
      <w:pPr>
        <w:pStyle w:val="4"/>
        <w:keepNext w:val="0"/>
        <w:keepLines w:val="0"/>
        <w:pageBreakBefore w:val="0"/>
        <w:widowControl w:val="0"/>
        <w:kinsoku/>
        <w:wordWrap/>
        <w:overflowPunct/>
        <w:topLinePunct w:val="0"/>
        <w:autoSpaceDE w:val="0"/>
        <w:autoSpaceDN w:val="0"/>
        <w:bidi w:val="0"/>
        <w:adjustRightInd/>
        <w:snapToGrid/>
        <w:spacing w:line="364" w:lineRule="auto"/>
        <w:ind w:right="540"/>
        <w:jc w:val="both"/>
        <w:textAlignment w:val="auto"/>
        <w:rPr>
          <w:color w:val="auto"/>
        </w:rPr>
      </w:pPr>
      <w:r>
        <w:rPr>
          <w:color w:val="auto"/>
          <w:spacing w:val="-7"/>
        </w:rPr>
        <w:t xml:space="preserve">通过深港通投资深交所上市 </w:t>
      </w:r>
      <w:r>
        <w:rPr>
          <w:color w:val="auto"/>
        </w:rPr>
        <w:t>A</w:t>
      </w:r>
      <w:r>
        <w:rPr>
          <w:color w:val="auto"/>
          <w:spacing w:val="-12"/>
        </w:rPr>
        <w:t xml:space="preserve"> 股的香港市场投资者</w:t>
      </w:r>
      <w:r>
        <w:rPr>
          <w:color w:val="auto"/>
        </w:rPr>
        <w:t>（包括企业和个人）</w:t>
      </w:r>
    </w:p>
    <w:p>
      <w:pPr>
        <w:keepNext w:val="0"/>
        <w:keepLines w:val="0"/>
        <w:pageBreakBefore w:val="0"/>
        <w:widowControl w:val="0"/>
        <w:kinsoku/>
        <w:wordWrap/>
        <w:overflowPunct/>
        <w:topLinePunct w:val="0"/>
        <w:autoSpaceDE w:val="0"/>
        <w:autoSpaceDN w:val="0"/>
        <w:bidi w:val="0"/>
        <w:adjustRightInd/>
        <w:snapToGrid/>
        <w:spacing w:before="2"/>
        <w:ind w:left="320" w:right="0" w:firstLine="0"/>
        <w:jc w:val="both"/>
        <w:textAlignment w:val="auto"/>
        <w:rPr>
          <w:rFonts w:hint="eastAsia" w:ascii="宋体" w:eastAsia="宋体"/>
          <w:b/>
          <w:color w:val="auto"/>
          <w:sz w:val="32"/>
        </w:rPr>
      </w:pPr>
      <w:r>
        <w:rPr>
          <w:rFonts w:hint="eastAsia" w:ascii="宋体" w:eastAsia="宋体"/>
          <w:b/>
          <w:color w:val="auto"/>
          <w:sz w:val="32"/>
        </w:rPr>
        <w:t>【政策内容】</w:t>
      </w:r>
    </w:p>
    <w:p>
      <w:pPr>
        <w:pStyle w:val="4"/>
        <w:keepNext w:val="0"/>
        <w:keepLines w:val="0"/>
        <w:pageBreakBefore w:val="0"/>
        <w:widowControl w:val="0"/>
        <w:kinsoku/>
        <w:wordWrap/>
        <w:overflowPunct/>
        <w:topLinePunct w:val="0"/>
        <w:autoSpaceDE w:val="0"/>
        <w:autoSpaceDN w:val="0"/>
        <w:bidi w:val="0"/>
        <w:adjustRightInd/>
        <w:snapToGrid/>
        <w:spacing w:line="364" w:lineRule="auto"/>
        <w:ind w:right="537"/>
        <w:jc w:val="both"/>
        <w:textAlignment w:val="auto"/>
        <w:rPr>
          <w:color w:val="auto"/>
        </w:rPr>
      </w:pPr>
      <w:r>
        <w:rPr>
          <w:color w:val="auto"/>
          <w:spacing w:val="-1"/>
        </w:rPr>
        <w:t>对香港市场投资者</w:t>
      </w:r>
      <w:r>
        <w:rPr>
          <w:color w:val="auto"/>
        </w:rPr>
        <w:t>（包括企业和个人</w:t>
      </w:r>
      <w:r>
        <w:rPr>
          <w:color w:val="auto"/>
          <w:spacing w:val="-7"/>
        </w:rPr>
        <w:t>）</w:t>
      </w:r>
      <w:r>
        <w:rPr>
          <w:color w:val="auto"/>
        </w:rPr>
        <w:t>投资深交所上市A</w:t>
      </w:r>
      <w:r>
        <w:rPr>
          <w:color w:val="auto"/>
          <w:spacing w:val="-6"/>
        </w:rPr>
        <w:t xml:space="preserve"> 股取得的股息红利所得，在香港中央结算有限公司不具备</w:t>
      </w:r>
      <w:r>
        <w:rPr>
          <w:color w:val="auto"/>
          <w:spacing w:val="11"/>
          <w:w w:val="95"/>
        </w:rPr>
        <w:t xml:space="preserve">向中国证券登记结算有限责任公司提供投资者的身份及持 </w:t>
      </w:r>
      <w:r>
        <w:rPr>
          <w:color w:val="auto"/>
        </w:rPr>
        <w:t>股时间等明细数据的条件之前，暂不执行按持股时间实行差别</w:t>
      </w:r>
      <w:r>
        <w:rPr>
          <w:color w:val="auto"/>
          <w:spacing w:val="5"/>
        </w:rPr>
        <w:t>化</w:t>
      </w:r>
      <w:r>
        <w:rPr>
          <w:color w:val="auto"/>
        </w:rPr>
        <w:t>征</w:t>
      </w:r>
      <w:r>
        <w:rPr>
          <w:color w:val="auto"/>
          <w:spacing w:val="5"/>
        </w:rPr>
        <w:t>税</w:t>
      </w:r>
      <w:r>
        <w:rPr>
          <w:color w:val="auto"/>
        </w:rPr>
        <w:t>政</w:t>
      </w:r>
      <w:r>
        <w:rPr>
          <w:color w:val="auto"/>
          <w:spacing w:val="5"/>
        </w:rPr>
        <w:t>策</w:t>
      </w:r>
      <w:r>
        <w:rPr>
          <w:color w:val="auto"/>
        </w:rPr>
        <w:t>，</w:t>
      </w:r>
      <w:r>
        <w:rPr>
          <w:color w:val="auto"/>
          <w:spacing w:val="5"/>
        </w:rPr>
        <w:t>由</w:t>
      </w:r>
      <w:r>
        <w:rPr>
          <w:color w:val="auto"/>
        </w:rPr>
        <w:t>上</w:t>
      </w:r>
      <w:r>
        <w:rPr>
          <w:color w:val="auto"/>
          <w:spacing w:val="5"/>
        </w:rPr>
        <w:t>市</w:t>
      </w:r>
      <w:r>
        <w:rPr>
          <w:color w:val="auto"/>
        </w:rPr>
        <w:t>公</w:t>
      </w:r>
      <w:r>
        <w:rPr>
          <w:color w:val="auto"/>
          <w:spacing w:val="5"/>
        </w:rPr>
        <w:t>司</w:t>
      </w:r>
      <w:r>
        <w:rPr>
          <w:color w:val="auto"/>
        </w:rPr>
        <w:t>按照</w:t>
      </w:r>
      <w:r>
        <w:rPr>
          <w:color w:val="auto"/>
          <w:spacing w:val="-77"/>
        </w:rPr>
        <w:t xml:space="preserve"> </w:t>
      </w:r>
      <w:r>
        <w:rPr>
          <w:color w:val="auto"/>
          <w:spacing w:val="6"/>
        </w:rPr>
        <w:t>10</w:t>
      </w:r>
      <w:r>
        <w:rPr>
          <w:color w:val="auto"/>
          <w:spacing w:val="11"/>
          <w:w w:val="99"/>
        </w:rPr>
        <w:drawing>
          <wp:inline distT="0" distB="0" distL="0" distR="0">
            <wp:extent cx="85090" cy="154940"/>
            <wp:effectExtent l="0" t="0" r="0" b="0"/>
            <wp:docPr id="7" name="image1.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 name="image1.png"/>
                    <pic:cNvPicPr>
                      <a:picLocks noChangeAspect="true"/>
                    </pic:cNvPicPr>
                  </pic:nvPicPr>
                  <pic:blipFill>
                    <a:blip r:embed="rId13" cstate="print"/>
                    <a:stretch>
                      <a:fillRect/>
                    </a:stretch>
                  </pic:blipFill>
                  <pic:spPr>
                    <a:xfrm>
                      <a:off x="0" y="0"/>
                      <a:ext cx="85724" cy="155574"/>
                    </a:xfrm>
                    <a:prstGeom prst="rect">
                      <a:avLst/>
                    </a:prstGeom>
                  </pic:spPr>
                </pic:pic>
              </a:graphicData>
            </a:graphic>
          </wp:inline>
        </w:drawing>
      </w:r>
      <w:r>
        <w:rPr>
          <w:color w:val="auto"/>
        </w:rPr>
        <w:t>的</w:t>
      </w:r>
      <w:r>
        <w:rPr>
          <w:color w:val="auto"/>
          <w:spacing w:val="5"/>
        </w:rPr>
        <w:t>税</w:t>
      </w:r>
      <w:r>
        <w:rPr>
          <w:color w:val="auto"/>
        </w:rPr>
        <w:t>率</w:t>
      </w:r>
      <w:r>
        <w:rPr>
          <w:color w:val="auto"/>
          <w:spacing w:val="5"/>
        </w:rPr>
        <w:t>代</w:t>
      </w:r>
      <w:r>
        <w:rPr>
          <w:color w:val="auto"/>
        </w:rPr>
        <w:t>扣</w:t>
      </w:r>
      <w:r>
        <w:rPr>
          <w:color w:val="auto"/>
          <w:spacing w:val="5"/>
        </w:rPr>
        <w:t>所</w:t>
      </w:r>
      <w:r>
        <w:rPr>
          <w:color w:val="auto"/>
        </w:rPr>
        <w:t>得</w:t>
      </w:r>
      <w:r>
        <w:rPr>
          <w:color w:val="auto"/>
          <w:spacing w:val="5"/>
        </w:rPr>
        <w:t>税</w:t>
      </w:r>
      <w:r>
        <w:rPr>
          <w:color w:val="auto"/>
        </w:rPr>
        <w:t>，并向其主管税务机关办理扣缴申报。</w:t>
      </w:r>
    </w:p>
    <w:p>
      <w:pPr>
        <w:pStyle w:val="4"/>
        <w:keepNext w:val="0"/>
        <w:keepLines w:val="0"/>
        <w:pageBreakBefore w:val="0"/>
        <w:widowControl w:val="0"/>
        <w:kinsoku/>
        <w:wordWrap/>
        <w:overflowPunct/>
        <w:topLinePunct w:val="0"/>
        <w:autoSpaceDE w:val="0"/>
        <w:autoSpaceDN w:val="0"/>
        <w:bidi w:val="0"/>
        <w:adjustRightInd/>
        <w:snapToGrid/>
        <w:spacing w:before="5" w:line="364" w:lineRule="auto"/>
        <w:ind w:right="537"/>
        <w:jc w:val="both"/>
        <w:textAlignment w:val="auto"/>
        <w:rPr>
          <w:color w:val="auto"/>
        </w:rPr>
      </w:pPr>
      <w:r>
        <w:rPr>
          <w:color w:val="auto"/>
          <w:spacing w:val="13"/>
          <w:w w:val="95"/>
        </w:rPr>
        <w:t xml:space="preserve">对于香港投资者中属于其他国家税收居民且其所在国 </w:t>
      </w:r>
      <w:r>
        <w:rPr>
          <w:color w:val="auto"/>
          <w:spacing w:val="13"/>
        </w:rPr>
        <w:t>与</w:t>
      </w:r>
      <w:r>
        <w:rPr>
          <w:color w:val="auto"/>
          <w:spacing w:val="5"/>
        </w:rPr>
        <w:t>中</w:t>
      </w:r>
      <w:r>
        <w:rPr>
          <w:color w:val="auto"/>
        </w:rPr>
        <w:t>国</w:t>
      </w:r>
      <w:r>
        <w:rPr>
          <w:color w:val="auto"/>
          <w:spacing w:val="5"/>
        </w:rPr>
        <w:t>签</w:t>
      </w:r>
      <w:r>
        <w:rPr>
          <w:color w:val="auto"/>
        </w:rPr>
        <w:t>订</w:t>
      </w:r>
      <w:r>
        <w:rPr>
          <w:color w:val="auto"/>
          <w:spacing w:val="5"/>
        </w:rPr>
        <w:t>的</w:t>
      </w:r>
      <w:r>
        <w:rPr>
          <w:color w:val="auto"/>
        </w:rPr>
        <w:t>税</w:t>
      </w:r>
      <w:r>
        <w:rPr>
          <w:color w:val="auto"/>
          <w:spacing w:val="5"/>
        </w:rPr>
        <w:t>收</w:t>
      </w:r>
      <w:r>
        <w:rPr>
          <w:color w:val="auto"/>
        </w:rPr>
        <w:t>协</w:t>
      </w:r>
      <w:r>
        <w:rPr>
          <w:color w:val="auto"/>
          <w:spacing w:val="5"/>
        </w:rPr>
        <w:t>定</w:t>
      </w:r>
      <w:r>
        <w:rPr>
          <w:color w:val="auto"/>
        </w:rPr>
        <w:t>规</w:t>
      </w:r>
      <w:r>
        <w:rPr>
          <w:color w:val="auto"/>
          <w:spacing w:val="5"/>
        </w:rPr>
        <w:t>定</w:t>
      </w:r>
      <w:r>
        <w:rPr>
          <w:color w:val="auto"/>
        </w:rPr>
        <w:t>股</w:t>
      </w:r>
      <w:r>
        <w:rPr>
          <w:color w:val="auto"/>
          <w:spacing w:val="5"/>
        </w:rPr>
        <w:t>息</w:t>
      </w:r>
      <w:r>
        <w:rPr>
          <w:color w:val="auto"/>
        </w:rPr>
        <w:t>红</w:t>
      </w:r>
      <w:r>
        <w:rPr>
          <w:color w:val="auto"/>
          <w:spacing w:val="5"/>
        </w:rPr>
        <w:t>利</w:t>
      </w:r>
      <w:r>
        <w:rPr>
          <w:color w:val="auto"/>
        </w:rPr>
        <w:t>所</w:t>
      </w:r>
      <w:r>
        <w:rPr>
          <w:color w:val="auto"/>
          <w:spacing w:val="5"/>
        </w:rPr>
        <w:t>得</w:t>
      </w:r>
      <w:r>
        <w:rPr>
          <w:color w:val="auto"/>
        </w:rPr>
        <w:t>税</w:t>
      </w:r>
      <w:r>
        <w:rPr>
          <w:color w:val="auto"/>
          <w:spacing w:val="5"/>
        </w:rPr>
        <w:t>率</w:t>
      </w:r>
      <w:r>
        <w:rPr>
          <w:color w:val="auto"/>
        </w:rPr>
        <w:t>低于</w:t>
      </w:r>
      <w:r>
        <w:rPr>
          <w:color w:val="auto"/>
          <w:spacing w:val="-76"/>
        </w:rPr>
        <w:t xml:space="preserve"> </w:t>
      </w:r>
      <w:r>
        <w:rPr>
          <w:color w:val="auto"/>
          <w:spacing w:val="4"/>
        </w:rPr>
        <w:t>10</w:t>
      </w:r>
      <w:r>
        <w:rPr>
          <w:color w:val="auto"/>
          <w:spacing w:val="8"/>
          <w:w w:val="99"/>
        </w:rPr>
        <w:drawing>
          <wp:inline distT="0" distB="0" distL="0" distR="0">
            <wp:extent cx="85090" cy="154940"/>
            <wp:effectExtent l="0" t="0" r="0" b="0"/>
            <wp:docPr id="9" name="image1.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9" name="image1.png"/>
                    <pic:cNvPicPr>
                      <a:picLocks noChangeAspect="true"/>
                    </pic:cNvPicPr>
                  </pic:nvPicPr>
                  <pic:blipFill>
                    <a:blip r:embed="rId13" cstate="print"/>
                    <a:stretch>
                      <a:fillRect/>
                    </a:stretch>
                  </pic:blipFill>
                  <pic:spPr>
                    <a:xfrm>
                      <a:off x="0" y="0"/>
                      <a:ext cx="85724" cy="155574"/>
                    </a:xfrm>
                    <a:prstGeom prst="rect">
                      <a:avLst/>
                    </a:prstGeom>
                  </pic:spPr>
                </pic:pic>
              </a:graphicData>
            </a:graphic>
          </wp:inline>
        </w:drawing>
      </w:r>
      <w:r>
        <w:rPr>
          <w:color w:val="auto"/>
        </w:rPr>
        <w:t xml:space="preserve">的， </w:t>
      </w:r>
      <w:r>
        <w:rPr>
          <w:color w:val="auto"/>
          <w:spacing w:val="-1"/>
        </w:rPr>
        <w:t>企业或个人可以自行或委托代扣代缴义务人，向上市公司主</w:t>
      </w:r>
      <w:r>
        <w:rPr>
          <w:color w:val="auto"/>
          <w:spacing w:val="-2"/>
        </w:rPr>
        <w:t>管税务机关提出享受税收协定待遇退还多缴税款的申请，主</w:t>
      </w:r>
      <w:r>
        <w:rPr>
          <w:color w:val="auto"/>
          <w:spacing w:val="-4"/>
        </w:rPr>
        <w:t>管税务机关查实后，对符合退税条件的，应按已征税款和根据税收协定税率计算的应纳税款的差额予以退税。</w:t>
      </w:r>
    </w:p>
    <w:p>
      <w:pPr>
        <w:keepNext w:val="0"/>
        <w:keepLines w:val="0"/>
        <w:pageBreakBefore w:val="0"/>
        <w:widowControl w:val="0"/>
        <w:kinsoku/>
        <w:wordWrap/>
        <w:overflowPunct/>
        <w:topLinePunct w:val="0"/>
        <w:autoSpaceDE w:val="0"/>
        <w:autoSpaceDN w:val="0"/>
        <w:bidi w:val="0"/>
        <w:adjustRightInd/>
        <w:snapToGrid/>
        <w:spacing w:before="30"/>
        <w:ind w:left="320" w:right="0" w:firstLine="0"/>
        <w:jc w:val="both"/>
        <w:textAlignment w:val="auto"/>
        <w:rPr>
          <w:rFonts w:hint="eastAsia" w:ascii="宋体" w:eastAsia="宋体"/>
          <w:b/>
          <w:color w:val="auto"/>
          <w:sz w:val="32"/>
        </w:rPr>
      </w:pPr>
      <w:r>
        <w:rPr>
          <w:rFonts w:hint="eastAsia" w:ascii="宋体" w:eastAsia="宋体"/>
          <w:b/>
          <w:color w:val="auto"/>
          <w:sz w:val="32"/>
        </w:rPr>
        <w:t>【适用条件】</w:t>
      </w:r>
    </w:p>
    <w:p>
      <w:pPr>
        <w:pStyle w:val="4"/>
        <w:keepNext w:val="0"/>
        <w:keepLines w:val="0"/>
        <w:pageBreakBefore w:val="0"/>
        <w:widowControl w:val="0"/>
        <w:kinsoku/>
        <w:wordWrap/>
        <w:overflowPunct/>
        <w:topLinePunct w:val="0"/>
        <w:autoSpaceDE w:val="0"/>
        <w:autoSpaceDN w:val="0"/>
        <w:bidi w:val="0"/>
        <w:adjustRightInd/>
        <w:snapToGrid/>
        <w:ind w:left="960" w:firstLine="0"/>
        <w:jc w:val="both"/>
        <w:textAlignment w:val="auto"/>
        <w:rPr>
          <w:color w:val="auto"/>
        </w:rPr>
      </w:pPr>
      <w:r>
        <w:rPr>
          <w:color w:val="auto"/>
        </w:rPr>
        <w:t>香港市场投资者通过深港通投资深圳证券交易所上市 A</w:t>
      </w:r>
    </w:p>
    <w:p>
      <w:pPr>
        <w:pStyle w:val="4"/>
        <w:keepNext w:val="0"/>
        <w:keepLines w:val="0"/>
        <w:pageBreakBefore w:val="0"/>
        <w:widowControl w:val="0"/>
        <w:kinsoku/>
        <w:wordWrap/>
        <w:overflowPunct/>
        <w:topLinePunct w:val="0"/>
        <w:autoSpaceDE w:val="0"/>
        <w:autoSpaceDN w:val="0"/>
        <w:bidi w:val="0"/>
        <w:adjustRightInd/>
        <w:snapToGrid/>
        <w:spacing w:before="6"/>
        <w:ind w:left="0" w:firstLine="0"/>
        <w:jc w:val="both"/>
        <w:textAlignment w:val="auto"/>
        <w:rPr>
          <w:color w:val="auto"/>
          <w:sz w:val="12"/>
        </w:rPr>
      </w:pPr>
    </w:p>
    <w:p>
      <w:pPr>
        <w:pStyle w:val="4"/>
        <w:keepNext w:val="0"/>
        <w:keepLines w:val="0"/>
        <w:pageBreakBefore w:val="0"/>
        <w:widowControl w:val="0"/>
        <w:kinsoku/>
        <w:wordWrap/>
        <w:overflowPunct/>
        <w:topLinePunct w:val="0"/>
        <w:autoSpaceDE w:val="0"/>
        <w:autoSpaceDN w:val="0"/>
        <w:bidi w:val="0"/>
        <w:adjustRightInd/>
        <w:snapToGrid/>
        <w:spacing w:before="54"/>
        <w:ind w:firstLine="0"/>
        <w:jc w:val="both"/>
        <w:textAlignment w:val="auto"/>
        <w:rPr>
          <w:color w:val="auto"/>
        </w:rPr>
      </w:pPr>
      <w:r>
        <w:rPr>
          <w:color w:val="auto"/>
        </w:rPr>
        <w:t>股。</w:t>
      </w:r>
    </w:p>
    <w:p>
      <w:pPr>
        <w:keepNext w:val="0"/>
        <w:keepLines w:val="0"/>
        <w:pageBreakBefore w:val="0"/>
        <w:widowControl w:val="0"/>
        <w:kinsoku/>
        <w:wordWrap/>
        <w:overflowPunct/>
        <w:topLinePunct w:val="0"/>
        <w:autoSpaceDE w:val="0"/>
        <w:autoSpaceDN w:val="0"/>
        <w:bidi w:val="0"/>
        <w:adjustRightInd/>
        <w:snapToGrid/>
        <w:spacing w:before="214"/>
        <w:ind w:left="320" w:right="0" w:firstLine="0"/>
        <w:jc w:val="both"/>
        <w:textAlignment w:val="auto"/>
        <w:rPr>
          <w:rFonts w:hint="eastAsia" w:ascii="宋体" w:eastAsia="宋体"/>
          <w:b/>
          <w:color w:val="auto"/>
          <w:sz w:val="32"/>
        </w:rPr>
      </w:pPr>
      <w:r>
        <w:rPr>
          <w:rFonts w:hint="eastAsia" w:ascii="宋体" w:eastAsia="宋体"/>
          <w:b/>
          <w:color w:val="auto"/>
          <w:sz w:val="32"/>
        </w:rPr>
        <w:t>【政策依据】</w:t>
      </w:r>
    </w:p>
    <w:p>
      <w:pPr>
        <w:pStyle w:val="4"/>
        <w:keepNext w:val="0"/>
        <w:keepLines w:val="0"/>
        <w:pageBreakBefore w:val="0"/>
        <w:widowControl w:val="0"/>
        <w:kinsoku/>
        <w:wordWrap/>
        <w:overflowPunct/>
        <w:topLinePunct w:val="0"/>
        <w:autoSpaceDE w:val="0"/>
        <w:autoSpaceDN w:val="0"/>
        <w:bidi w:val="0"/>
        <w:adjustRightInd/>
        <w:snapToGrid/>
        <w:spacing w:before="236" w:line="326" w:lineRule="auto"/>
        <w:ind w:right="525"/>
        <w:jc w:val="both"/>
        <w:textAlignment w:val="auto"/>
        <w:rPr>
          <w:rFonts w:hint="eastAsia" w:ascii="黑体" w:eastAsia="黑体"/>
          <w:color w:val="auto"/>
        </w:rPr>
      </w:pPr>
      <w:r>
        <w:rPr>
          <w:rFonts w:hint="eastAsia" w:ascii="黑体" w:eastAsia="黑体"/>
          <w:color w:val="auto"/>
        </w:rPr>
        <w:t>《财政部 国家税务总局 证监会关于深港股票市场交</w:t>
      </w:r>
      <w:r>
        <w:rPr>
          <w:rFonts w:hint="eastAsia" w:ascii="黑体" w:eastAsia="黑体"/>
          <w:color w:val="auto"/>
          <w:w w:val="95"/>
        </w:rPr>
        <w:t>易互联互通机制试点有关税收政策的通知》（财税〔2016〕</w:t>
      </w:r>
      <w:r>
        <w:rPr>
          <w:rFonts w:hint="eastAsia" w:ascii="黑体" w:eastAsia="黑体"/>
          <w:color w:val="auto"/>
        </w:rPr>
        <w:t>127 号）第二条第 2 项</w:t>
      </w:r>
    </w:p>
    <w:p>
      <w:pPr>
        <w:pStyle w:val="4"/>
        <w:keepNext w:val="0"/>
        <w:keepLines w:val="0"/>
        <w:pageBreakBefore w:val="0"/>
        <w:widowControl w:val="0"/>
        <w:kinsoku/>
        <w:wordWrap/>
        <w:overflowPunct/>
        <w:topLinePunct w:val="0"/>
        <w:autoSpaceDE w:val="0"/>
        <w:autoSpaceDN w:val="0"/>
        <w:bidi w:val="0"/>
        <w:adjustRightInd/>
        <w:snapToGrid/>
        <w:spacing w:before="6"/>
        <w:ind w:left="0" w:firstLine="0"/>
        <w:jc w:val="both"/>
        <w:textAlignment w:val="auto"/>
        <w:rPr>
          <w:rFonts w:ascii="黑体"/>
          <w:color w:val="auto"/>
          <w:sz w:val="42"/>
        </w:rPr>
      </w:pPr>
    </w:p>
    <w:p>
      <w:pPr>
        <w:pStyle w:val="3"/>
        <w:keepNext w:val="0"/>
        <w:keepLines w:val="0"/>
        <w:pageBreakBefore w:val="0"/>
        <w:widowControl w:val="0"/>
        <w:numPr>
          <w:ilvl w:val="0"/>
          <w:numId w:val="48"/>
        </w:numPr>
        <w:tabs>
          <w:tab w:val="left" w:pos="805"/>
        </w:tabs>
        <w:kinsoku/>
        <w:wordWrap/>
        <w:overflowPunct/>
        <w:topLinePunct w:val="0"/>
        <w:autoSpaceDE w:val="0"/>
        <w:autoSpaceDN w:val="0"/>
        <w:bidi w:val="0"/>
        <w:adjustRightInd/>
        <w:snapToGrid/>
        <w:spacing w:before="0" w:after="0" w:line="364" w:lineRule="auto"/>
        <w:ind w:left="320" w:right="535" w:firstLine="0"/>
        <w:jc w:val="both"/>
        <w:textAlignment w:val="auto"/>
        <w:rPr>
          <w:color w:val="auto"/>
        </w:rPr>
      </w:pPr>
      <w:bookmarkStart w:id="44" w:name="_TOC_250005"/>
      <w:r>
        <w:rPr>
          <w:color w:val="auto"/>
          <w:spacing w:val="6"/>
          <w:w w:val="95"/>
        </w:rPr>
        <w:t xml:space="preserve">香港市场投资者参与股票担保卖空涉及的股票借入、归 </w:t>
      </w:r>
      <w:bookmarkEnd w:id="44"/>
      <w:r>
        <w:rPr>
          <w:color w:val="auto"/>
          <w:spacing w:val="6"/>
        </w:rPr>
        <w:t>还暂免征收证券（股票）交易印花税</w:t>
      </w:r>
    </w:p>
    <w:p>
      <w:pPr>
        <w:keepNext w:val="0"/>
        <w:keepLines w:val="0"/>
        <w:pageBreakBefore w:val="0"/>
        <w:widowControl w:val="0"/>
        <w:kinsoku/>
        <w:wordWrap/>
        <w:overflowPunct/>
        <w:topLinePunct w:val="0"/>
        <w:autoSpaceDE w:val="0"/>
        <w:autoSpaceDN w:val="0"/>
        <w:bidi w:val="0"/>
        <w:adjustRightInd/>
        <w:snapToGrid/>
        <w:spacing w:before="2"/>
        <w:ind w:left="320" w:right="0" w:firstLine="0"/>
        <w:jc w:val="both"/>
        <w:textAlignment w:val="auto"/>
        <w:rPr>
          <w:rFonts w:hint="eastAsia" w:ascii="宋体" w:eastAsia="宋体"/>
          <w:b/>
          <w:color w:val="auto"/>
          <w:sz w:val="32"/>
        </w:rPr>
      </w:pPr>
      <w:r>
        <w:rPr>
          <w:rFonts w:hint="eastAsia" w:ascii="宋体" w:eastAsia="宋体"/>
          <w:b/>
          <w:color w:val="auto"/>
          <w:sz w:val="32"/>
        </w:rPr>
        <w:t>【适用主体】</w:t>
      </w:r>
    </w:p>
    <w:p>
      <w:pPr>
        <w:pStyle w:val="4"/>
        <w:keepNext w:val="0"/>
        <w:keepLines w:val="0"/>
        <w:pageBreakBefore w:val="0"/>
        <w:widowControl w:val="0"/>
        <w:kinsoku/>
        <w:wordWrap/>
        <w:overflowPunct/>
        <w:topLinePunct w:val="0"/>
        <w:autoSpaceDE w:val="0"/>
        <w:autoSpaceDN w:val="0"/>
        <w:bidi w:val="0"/>
        <w:adjustRightInd/>
        <w:snapToGrid/>
        <w:ind w:left="960" w:firstLine="0"/>
        <w:jc w:val="both"/>
        <w:textAlignment w:val="auto"/>
        <w:rPr>
          <w:color w:val="auto"/>
        </w:rPr>
      </w:pPr>
      <w:r>
        <w:rPr>
          <w:color w:val="auto"/>
        </w:rPr>
        <w:t>香港市场投资者</w:t>
      </w:r>
    </w:p>
    <w:p>
      <w:pPr>
        <w:keepNext w:val="0"/>
        <w:keepLines w:val="0"/>
        <w:pageBreakBefore w:val="0"/>
        <w:widowControl w:val="0"/>
        <w:kinsoku/>
        <w:wordWrap/>
        <w:overflowPunct/>
        <w:topLinePunct w:val="0"/>
        <w:autoSpaceDE w:val="0"/>
        <w:autoSpaceDN w:val="0"/>
        <w:bidi w:val="0"/>
        <w:adjustRightInd/>
        <w:snapToGrid/>
        <w:spacing w:before="214"/>
        <w:ind w:left="320" w:right="0" w:firstLine="0"/>
        <w:jc w:val="both"/>
        <w:textAlignment w:val="auto"/>
        <w:rPr>
          <w:rFonts w:hint="eastAsia" w:ascii="宋体" w:eastAsia="宋体"/>
          <w:b/>
          <w:color w:val="auto"/>
          <w:sz w:val="32"/>
        </w:rPr>
      </w:pPr>
      <w:r>
        <w:rPr>
          <w:rFonts w:hint="eastAsia" w:ascii="宋体" w:eastAsia="宋体"/>
          <w:b/>
          <w:color w:val="auto"/>
          <w:sz w:val="32"/>
        </w:rPr>
        <w:t>【政策内容】</w:t>
      </w:r>
    </w:p>
    <w:p>
      <w:pPr>
        <w:pStyle w:val="4"/>
        <w:keepNext w:val="0"/>
        <w:keepLines w:val="0"/>
        <w:pageBreakBefore w:val="0"/>
        <w:widowControl w:val="0"/>
        <w:kinsoku/>
        <w:wordWrap/>
        <w:overflowPunct/>
        <w:topLinePunct w:val="0"/>
        <w:autoSpaceDE w:val="0"/>
        <w:autoSpaceDN w:val="0"/>
        <w:bidi w:val="0"/>
        <w:adjustRightInd/>
        <w:snapToGrid/>
        <w:spacing w:line="364" w:lineRule="auto"/>
        <w:ind w:right="537"/>
        <w:jc w:val="both"/>
        <w:textAlignment w:val="auto"/>
        <w:rPr>
          <w:color w:val="auto"/>
        </w:rPr>
      </w:pPr>
      <w:r>
        <w:rPr>
          <w:color w:val="auto"/>
          <w:spacing w:val="13"/>
          <w:w w:val="95"/>
        </w:rPr>
        <w:t xml:space="preserve">香港市场投资者通过沪股通和深股通参与股票担保卖 </w:t>
      </w:r>
      <w:r>
        <w:rPr>
          <w:color w:val="auto"/>
          <w:spacing w:val="1"/>
          <w:w w:val="95"/>
        </w:rPr>
        <w:t>空涉及的股票借入、归还，暂免征收证券</w:t>
      </w:r>
      <w:r>
        <w:rPr>
          <w:color w:val="auto"/>
          <w:w w:val="95"/>
        </w:rPr>
        <w:t>（股票</w:t>
      </w:r>
      <w:r>
        <w:rPr>
          <w:color w:val="auto"/>
          <w:spacing w:val="-3"/>
          <w:w w:val="95"/>
        </w:rPr>
        <w:t>）</w:t>
      </w:r>
      <w:r>
        <w:rPr>
          <w:color w:val="auto"/>
          <w:w w:val="95"/>
        </w:rPr>
        <w:t xml:space="preserve">交易印花 </w:t>
      </w:r>
      <w:r>
        <w:rPr>
          <w:color w:val="auto"/>
        </w:rPr>
        <w:t>税。</w:t>
      </w:r>
    </w:p>
    <w:p>
      <w:pPr>
        <w:keepNext w:val="0"/>
        <w:keepLines w:val="0"/>
        <w:pageBreakBefore w:val="0"/>
        <w:widowControl w:val="0"/>
        <w:kinsoku/>
        <w:wordWrap/>
        <w:overflowPunct/>
        <w:topLinePunct w:val="0"/>
        <w:autoSpaceDE w:val="0"/>
        <w:autoSpaceDN w:val="0"/>
        <w:bidi w:val="0"/>
        <w:adjustRightInd/>
        <w:snapToGrid/>
        <w:spacing w:before="2"/>
        <w:ind w:left="320" w:right="0" w:firstLine="0"/>
        <w:jc w:val="both"/>
        <w:textAlignment w:val="auto"/>
        <w:rPr>
          <w:rFonts w:hint="eastAsia" w:ascii="宋体" w:eastAsia="宋体"/>
          <w:b/>
          <w:color w:val="auto"/>
          <w:sz w:val="32"/>
        </w:rPr>
      </w:pPr>
      <w:r>
        <w:rPr>
          <w:rFonts w:hint="eastAsia" w:ascii="宋体" w:eastAsia="宋体"/>
          <w:b/>
          <w:color w:val="auto"/>
          <w:sz w:val="32"/>
        </w:rPr>
        <w:t>【适用条件】</w:t>
      </w:r>
    </w:p>
    <w:p>
      <w:pPr>
        <w:pStyle w:val="4"/>
        <w:keepNext w:val="0"/>
        <w:keepLines w:val="0"/>
        <w:pageBreakBefore w:val="0"/>
        <w:widowControl w:val="0"/>
        <w:kinsoku/>
        <w:wordWrap/>
        <w:overflowPunct/>
        <w:topLinePunct w:val="0"/>
        <w:autoSpaceDE w:val="0"/>
        <w:autoSpaceDN w:val="0"/>
        <w:bidi w:val="0"/>
        <w:adjustRightInd/>
        <w:snapToGrid/>
        <w:ind w:left="960" w:firstLine="0"/>
        <w:jc w:val="both"/>
        <w:textAlignment w:val="auto"/>
        <w:rPr>
          <w:color w:val="auto"/>
        </w:rPr>
      </w:pPr>
      <w:r>
        <w:rPr>
          <w:color w:val="auto"/>
        </w:rPr>
        <w:t>香港市场投资者通过沪股通和深股通参与股票担保卖</w:t>
      </w:r>
    </w:p>
    <w:p>
      <w:pPr>
        <w:pStyle w:val="4"/>
        <w:keepNext w:val="0"/>
        <w:keepLines w:val="0"/>
        <w:pageBreakBefore w:val="0"/>
        <w:widowControl w:val="0"/>
        <w:kinsoku/>
        <w:wordWrap/>
        <w:overflowPunct/>
        <w:topLinePunct w:val="0"/>
        <w:autoSpaceDE w:val="0"/>
        <w:autoSpaceDN w:val="0"/>
        <w:bidi w:val="0"/>
        <w:adjustRightInd/>
        <w:snapToGrid/>
        <w:spacing w:before="6"/>
        <w:ind w:left="0" w:firstLine="0"/>
        <w:jc w:val="both"/>
        <w:textAlignment w:val="auto"/>
        <w:rPr>
          <w:color w:val="auto"/>
          <w:sz w:val="12"/>
        </w:rPr>
      </w:pPr>
    </w:p>
    <w:p>
      <w:pPr>
        <w:pStyle w:val="4"/>
        <w:keepNext w:val="0"/>
        <w:keepLines w:val="0"/>
        <w:pageBreakBefore w:val="0"/>
        <w:widowControl w:val="0"/>
        <w:kinsoku/>
        <w:wordWrap/>
        <w:overflowPunct/>
        <w:topLinePunct w:val="0"/>
        <w:autoSpaceDE w:val="0"/>
        <w:autoSpaceDN w:val="0"/>
        <w:bidi w:val="0"/>
        <w:adjustRightInd/>
        <w:snapToGrid/>
        <w:spacing w:before="55"/>
        <w:ind w:firstLine="0"/>
        <w:jc w:val="both"/>
        <w:textAlignment w:val="auto"/>
        <w:rPr>
          <w:color w:val="auto"/>
        </w:rPr>
      </w:pPr>
      <w:r>
        <w:rPr>
          <w:color w:val="auto"/>
        </w:rPr>
        <w:t>空。</w:t>
      </w:r>
    </w:p>
    <w:p>
      <w:pPr>
        <w:keepNext w:val="0"/>
        <w:keepLines w:val="0"/>
        <w:pageBreakBefore w:val="0"/>
        <w:widowControl w:val="0"/>
        <w:kinsoku/>
        <w:wordWrap/>
        <w:overflowPunct/>
        <w:topLinePunct w:val="0"/>
        <w:autoSpaceDE w:val="0"/>
        <w:autoSpaceDN w:val="0"/>
        <w:bidi w:val="0"/>
        <w:adjustRightInd/>
        <w:snapToGrid/>
        <w:spacing w:before="214"/>
        <w:ind w:left="320" w:right="0" w:firstLine="0"/>
        <w:jc w:val="both"/>
        <w:textAlignment w:val="auto"/>
        <w:rPr>
          <w:rFonts w:hint="eastAsia" w:ascii="宋体" w:eastAsia="宋体"/>
          <w:b/>
          <w:color w:val="auto"/>
          <w:sz w:val="32"/>
        </w:rPr>
      </w:pPr>
      <w:r>
        <w:rPr>
          <w:rFonts w:hint="eastAsia" w:ascii="宋体" w:eastAsia="宋体"/>
          <w:b/>
          <w:color w:val="auto"/>
          <w:sz w:val="32"/>
        </w:rPr>
        <w:t>【政策依据】</w:t>
      </w:r>
    </w:p>
    <w:p>
      <w:pPr>
        <w:pStyle w:val="4"/>
        <w:keepNext w:val="0"/>
        <w:keepLines w:val="0"/>
        <w:pageBreakBefore w:val="0"/>
        <w:widowControl w:val="0"/>
        <w:kinsoku/>
        <w:wordWrap/>
        <w:overflowPunct/>
        <w:topLinePunct w:val="0"/>
        <w:autoSpaceDE w:val="0"/>
        <w:autoSpaceDN w:val="0"/>
        <w:bidi w:val="0"/>
        <w:adjustRightInd/>
        <w:snapToGrid/>
        <w:spacing w:before="235" w:line="328" w:lineRule="auto"/>
        <w:ind w:right="525"/>
        <w:jc w:val="both"/>
        <w:textAlignment w:val="auto"/>
        <w:rPr>
          <w:rFonts w:hint="eastAsia" w:ascii="黑体" w:eastAsia="黑体"/>
          <w:color w:val="auto"/>
        </w:rPr>
      </w:pPr>
      <w:r>
        <w:rPr>
          <w:rFonts w:hint="eastAsia" w:ascii="黑体" w:eastAsia="黑体"/>
          <w:color w:val="auto"/>
        </w:rPr>
        <w:t>《财政部 国家税务总局 证监会关于深港股票市场交</w:t>
      </w:r>
      <w:r>
        <w:rPr>
          <w:rFonts w:hint="eastAsia" w:ascii="黑体" w:eastAsia="黑体"/>
          <w:color w:val="auto"/>
          <w:w w:val="95"/>
        </w:rPr>
        <w:t>易互联互通机制试点有关税收政策的通知》（财税〔2016〕</w:t>
      </w:r>
      <w:r>
        <w:rPr>
          <w:rFonts w:hint="eastAsia" w:ascii="黑体" w:eastAsia="黑体"/>
          <w:color w:val="auto"/>
        </w:rPr>
        <w:t>127 号 ）第五条</w:t>
      </w:r>
    </w:p>
    <w:p>
      <w:pPr>
        <w:pStyle w:val="4"/>
        <w:keepNext w:val="0"/>
        <w:keepLines w:val="0"/>
        <w:pageBreakBefore w:val="0"/>
        <w:widowControl w:val="0"/>
        <w:kinsoku/>
        <w:wordWrap/>
        <w:overflowPunct/>
        <w:topLinePunct w:val="0"/>
        <w:autoSpaceDE w:val="0"/>
        <w:autoSpaceDN w:val="0"/>
        <w:bidi w:val="0"/>
        <w:adjustRightInd/>
        <w:snapToGrid/>
        <w:spacing w:before="0"/>
        <w:ind w:left="0" w:firstLine="0"/>
        <w:jc w:val="both"/>
        <w:textAlignment w:val="auto"/>
        <w:rPr>
          <w:rFonts w:ascii="黑体"/>
          <w:color w:val="auto"/>
          <w:sz w:val="20"/>
        </w:rPr>
      </w:pPr>
    </w:p>
    <w:p>
      <w:pPr>
        <w:pStyle w:val="4"/>
        <w:keepNext w:val="0"/>
        <w:keepLines w:val="0"/>
        <w:pageBreakBefore w:val="0"/>
        <w:widowControl w:val="0"/>
        <w:kinsoku/>
        <w:wordWrap/>
        <w:overflowPunct/>
        <w:topLinePunct w:val="0"/>
        <w:autoSpaceDE w:val="0"/>
        <w:autoSpaceDN w:val="0"/>
        <w:bidi w:val="0"/>
        <w:adjustRightInd/>
        <w:snapToGrid/>
        <w:spacing w:before="6"/>
        <w:ind w:left="0" w:firstLine="0"/>
        <w:jc w:val="both"/>
        <w:textAlignment w:val="auto"/>
        <w:rPr>
          <w:rFonts w:ascii="黑体"/>
          <w:color w:val="auto"/>
          <w:sz w:val="15"/>
        </w:rPr>
      </w:pPr>
    </w:p>
    <w:p>
      <w:pPr>
        <w:pStyle w:val="3"/>
        <w:keepNext w:val="0"/>
        <w:keepLines w:val="0"/>
        <w:pageBreakBefore w:val="0"/>
        <w:widowControl w:val="0"/>
        <w:numPr>
          <w:ilvl w:val="0"/>
          <w:numId w:val="48"/>
        </w:numPr>
        <w:tabs>
          <w:tab w:val="left" w:pos="805"/>
        </w:tabs>
        <w:kinsoku/>
        <w:wordWrap/>
        <w:overflowPunct/>
        <w:topLinePunct w:val="0"/>
        <w:autoSpaceDE w:val="0"/>
        <w:autoSpaceDN w:val="0"/>
        <w:bidi w:val="0"/>
        <w:adjustRightInd/>
        <w:snapToGrid/>
        <w:spacing w:before="55" w:after="0" w:line="364" w:lineRule="auto"/>
        <w:ind w:left="320" w:right="535" w:firstLine="0"/>
        <w:jc w:val="both"/>
        <w:textAlignment w:val="auto"/>
        <w:rPr>
          <w:color w:val="auto"/>
        </w:rPr>
      </w:pPr>
      <w:bookmarkStart w:id="45" w:name="_TOC_250004"/>
      <w:r>
        <w:rPr>
          <w:color w:val="auto"/>
          <w:spacing w:val="6"/>
          <w:w w:val="95"/>
        </w:rPr>
        <w:t xml:space="preserve">香港市场投资者买卖内地基金份额取得的转让差价免征 </w:t>
      </w:r>
      <w:bookmarkEnd w:id="45"/>
      <w:r>
        <w:rPr>
          <w:color w:val="auto"/>
          <w:spacing w:val="6"/>
        </w:rPr>
        <w:t>增值税</w:t>
      </w:r>
    </w:p>
    <w:p>
      <w:pPr>
        <w:keepNext w:val="0"/>
        <w:keepLines w:val="0"/>
        <w:pageBreakBefore w:val="0"/>
        <w:widowControl w:val="0"/>
        <w:kinsoku/>
        <w:wordWrap/>
        <w:overflowPunct/>
        <w:topLinePunct w:val="0"/>
        <w:autoSpaceDE w:val="0"/>
        <w:autoSpaceDN w:val="0"/>
        <w:bidi w:val="0"/>
        <w:adjustRightInd/>
        <w:snapToGrid/>
        <w:spacing w:before="1"/>
        <w:ind w:left="320" w:right="0" w:firstLine="0"/>
        <w:jc w:val="both"/>
        <w:textAlignment w:val="auto"/>
        <w:rPr>
          <w:rFonts w:hint="eastAsia" w:ascii="宋体" w:eastAsia="宋体"/>
          <w:b/>
          <w:color w:val="auto"/>
          <w:sz w:val="32"/>
        </w:rPr>
      </w:pPr>
      <w:r>
        <w:rPr>
          <w:rFonts w:hint="eastAsia" w:ascii="宋体" w:eastAsia="宋体"/>
          <w:b/>
          <w:color w:val="auto"/>
          <w:sz w:val="32"/>
        </w:rPr>
        <w:t>【适用主体】</w:t>
      </w:r>
    </w:p>
    <w:p>
      <w:pPr>
        <w:pStyle w:val="4"/>
        <w:keepNext w:val="0"/>
        <w:keepLines w:val="0"/>
        <w:pageBreakBefore w:val="0"/>
        <w:widowControl w:val="0"/>
        <w:kinsoku/>
        <w:wordWrap/>
        <w:overflowPunct/>
        <w:topLinePunct w:val="0"/>
        <w:autoSpaceDE w:val="0"/>
        <w:autoSpaceDN w:val="0"/>
        <w:bidi w:val="0"/>
        <w:adjustRightInd/>
        <w:snapToGrid/>
        <w:ind w:left="960" w:firstLine="0"/>
        <w:jc w:val="both"/>
        <w:textAlignment w:val="auto"/>
        <w:rPr>
          <w:color w:val="auto"/>
        </w:rPr>
      </w:pPr>
      <w:r>
        <w:rPr>
          <w:color w:val="auto"/>
        </w:rPr>
        <w:t>香港市场投资者（包括单位和个人）</w:t>
      </w:r>
    </w:p>
    <w:p>
      <w:pPr>
        <w:keepNext w:val="0"/>
        <w:keepLines w:val="0"/>
        <w:pageBreakBefore w:val="0"/>
        <w:widowControl w:val="0"/>
        <w:kinsoku/>
        <w:wordWrap/>
        <w:overflowPunct/>
        <w:topLinePunct w:val="0"/>
        <w:autoSpaceDE w:val="0"/>
        <w:autoSpaceDN w:val="0"/>
        <w:bidi w:val="0"/>
        <w:adjustRightInd/>
        <w:snapToGrid/>
        <w:spacing w:before="214"/>
        <w:ind w:left="320" w:right="0" w:firstLine="0"/>
        <w:jc w:val="both"/>
        <w:textAlignment w:val="auto"/>
        <w:rPr>
          <w:rFonts w:hint="eastAsia" w:ascii="宋体" w:eastAsia="宋体"/>
          <w:b/>
          <w:color w:val="auto"/>
          <w:sz w:val="32"/>
        </w:rPr>
      </w:pPr>
      <w:r>
        <w:rPr>
          <w:rFonts w:hint="eastAsia" w:ascii="宋体" w:eastAsia="宋体"/>
          <w:b/>
          <w:color w:val="auto"/>
          <w:sz w:val="32"/>
        </w:rPr>
        <w:t>【政策内容】</w:t>
      </w:r>
    </w:p>
    <w:p>
      <w:pPr>
        <w:pStyle w:val="4"/>
        <w:keepNext w:val="0"/>
        <w:keepLines w:val="0"/>
        <w:pageBreakBefore w:val="0"/>
        <w:widowControl w:val="0"/>
        <w:kinsoku/>
        <w:wordWrap/>
        <w:overflowPunct/>
        <w:topLinePunct w:val="0"/>
        <w:autoSpaceDE w:val="0"/>
        <w:autoSpaceDN w:val="0"/>
        <w:bidi w:val="0"/>
        <w:adjustRightInd/>
        <w:snapToGrid/>
        <w:spacing w:line="364" w:lineRule="auto"/>
        <w:ind w:right="540"/>
        <w:jc w:val="both"/>
        <w:textAlignment w:val="auto"/>
        <w:rPr>
          <w:color w:val="auto"/>
        </w:rPr>
      </w:pPr>
      <w:r>
        <w:rPr>
          <w:color w:val="auto"/>
          <w:spacing w:val="-1"/>
        </w:rPr>
        <w:t>香港市场投资者</w:t>
      </w:r>
      <w:r>
        <w:rPr>
          <w:color w:val="auto"/>
        </w:rPr>
        <w:t>（包括单位和个人</w:t>
      </w:r>
      <w:r>
        <w:rPr>
          <w:color w:val="auto"/>
          <w:spacing w:val="-7"/>
        </w:rPr>
        <w:t>）</w:t>
      </w:r>
      <w:r>
        <w:rPr>
          <w:color w:val="auto"/>
          <w:spacing w:val="-2"/>
        </w:rPr>
        <w:t>通过基金互认买卖</w:t>
      </w:r>
      <w:r>
        <w:rPr>
          <w:color w:val="auto"/>
          <w:spacing w:val="-1"/>
        </w:rPr>
        <w:t>内地基金份额取得的转让差价收入，在营改增试点期间免征增值税。</w:t>
      </w:r>
    </w:p>
    <w:p>
      <w:pPr>
        <w:keepNext w:val="0"/>
        <w:keepLines w:val="0"/>
        <w:pageBreakBefore w:val="0"/>
        <w:widowControl w:val="0"/>
        <w:kinsoku/>
        <w:wordWrap/>
        <w:overflowPunct/>
        <w:topLinePunct w:val="0"/>
        <w:autoSpaceDE w:val="0"/>
        <w:autoSpaceDN w:val="0"/>
        <w:bidi w:val="0"/>
        <w:adjustRightInd/>
        <w:snapToGrid/>
        <w:spacing w:before="3"/>
        <w:ind w:left="320" w:right="0" w:firstLine="0"/>
        <w:jc w:val="both"/>
        <w:textAlignment w:val="auto"/>
        <w:rPr>
          <w:rFonts w:hint="eastAsia" w:ascii="宋体" w:eastAsia="宋体"/>
          <w:b/>
          <w:color w:val="auto"/>
          <w:sz w:val="32"/>
        </w:rPr>
      </w:pPr>
      <w:r>
        <w:rPr>
          <w:rFonts w:hint="eastAsia" w:ascii="宋体" w:eastAsia="宋体"/>
          <w:b/>
          <w:color w:val="auto"/>
          <w:sz w:val="32"/>
        </w:rPr>
        <w:t>【适用条件】</w:t>
      </w:r>
    </w:p>
    <w:p>
      <w:pPr>
        <w:pStyle w:val="4"/>
        <w:keepNext w:val="0"/>
        <w:keepLines w:val="0"/>
        <w:pageBreakBefore w:val="0"/>
        <w:widowControl w:val="0"/>
        <w:kinsoku/>
        <w:wordWrap/>
        <w:overflowPunct/>
        <w:topLinePunct w:val="0"/>
        <w:autoSpaceDE w:val="0"/>
        <w:autoSpaceDN w:val="0"/>
        <w:bidi w:val="0"/>
        <w:adjustRightInd/>
        <w:snapToGrid/>
        <w:ind w:left="960" w:firstLine="0"/>
        <w:jc w:val="both"/>
        <w:textAlignment w:val="auto"/>
        <w:rPr>
          <w:color w:val="auto"/>
        </w:rPr>
      </w:pPr>
      <w:r>
        <w:rPr>
          <w:color w:val="auto"/>
        </w:rPr>
        <w:t>香港市场投资者通过基金互认买卖内地基金份额。</w:t>
      </w:r>
    </w:p>
    <w:p>
      <w:pPr>
        <w:keepNext w:val="0"/>
        <w:keepLines w:val="0"/>
        <w:pageBreakBefore w:val="0"/>
        <w:widowControl w:val="0"/>
        <w:kinsoku/>
        <w:wordWrap/>
        <w:overflowPunct/>
        <w:topLinePunct w:val="0"/>
        <w:autoSpaceDE w:val="0"/>
        <w:autoSpaceDN w:val="0"/>
        <w:bidi w:val="0"/>
        <w:adjustRightInd/>
        <w:snapToGrid/>
        <w:spacing w:before="214"/>
        <w:ind w:left="320" w:right="0" w:firstLine="0"/>
        <w:jc w:val="both"/>
        <w:textAlignment w:val="auto"/>
        <w:rPr>
          <w:rFonts w:hint="eastAsia" w:ascii="宋体" w:eastAsia="宋体"/>
          <w:b/>
          <w:color w:val="auto"/>
          <w:sz w:val="32"/>
        </w:rPr>
      </w:pPr>
      <w:r>
        <w:rPr>
          <w:rFonts w:hint="eastAsia" w:ascii="宋体" w:eastAsia="宋体"/>
          <w:b/>
          <w:color w:val="auto"/>
          <w:sz w:val="32"/>
        </w:rPr>
        <w:t>【政策依据】</w:t>
      </w:r>
    </w:p>
    <w:p>
      <w:pPr>
        <w:pStyle w:val="4"/>
        <w:keepNext w:val="0"/>
        <w:keepLines w:val="0"/>
        <w:pageBreakBefore w:val="0"/>
        <w:widowControl w:val="0"/>
        <w:kinsoku/>
        <w:wordWrap/>
        <w:overflowPunct/>
        <w:topLinePunct w:val="0"/>
        <w:autoSpaceDE w:val="0"/>
        <w:autoSpaceDN w:val="0"/>
        <w:bidi w:val="0"/>
        <w:adjustRightInd/>
        <w:snapToGrid/>
        <w:spacing w:before="235" w:line="328" w:lineRule="auto"/>
        <w:ind w:right="535"/>
        <w:jc w:val="both"/>
        <w:textAlignment w:val="auto"/>
        <w:rPr>
          <w:rFonts w:hint="eastAsia" w:ascii="黑体" w:eastAsia="黑体"/>
          <w:color w:val="auto"/>
        </w:rPr>
      </w:pPr>
      <w:r>
        <w:rPr>
          <w:rFonts w:hint="eastAsia" w:ascii="黑体" w:eastAsia="黑体"/>
          <w:color w:val="auto"/>
          <w:spacing w:val="1"/>
        </w:rPr>
        <w:t>《财政部 国家税务总局关于全面推开营业税改征增值</w:t>
      </w:r>
      <w:r>
        <w:rPr>
          <w:rFonts w:hint="eastAsia" w:ascii="黑体" w:eastAsia="黑体"/>
          <w:color w:val="auto"/>
        </w:rPr>
        <w:t>税试点的通知》（财税〔2016</w:t>
      </w:r>
      <w:r>
        <w:rPr>
          <w:rFonts w:hint="eastAsia" w:ascii="黑体" w:eastAsia="黑体"/>
          <w:color w:val="auto"/>
          <w:spacing w:val="-3"/>
        </w:rPr>
        <w:t>〕</w:t>
      </w:r>
      <w:r>
        <w:rPr>
          <w:rFonts w:hint="eastAsia" w:ascii="黑体" w:eastAsia="黑体"/>
          <w:color w:val="auto"/>
        </w:rPr>
        <w:t>36</w:t>
      </w:r>
      <w:r>
        <w:rPr>
          <w:rFonts w:hint="eastAsia" w:ascii="黑体" w:eastAsia="黑体"/>
          <w:color w:val="auto"/>
          <w:spacing w:val="-44"/>
        </w:rPr>
        <w:t xml:space="preserve"> 号</w:t>
      </w:r>
      <w:r>
        <w:rPr>
          <w:rFonts w:hint="eastAsia" w:ascii="黑体" w:eastAsia="黑体"/>
          <w:color w:val="auto"/>
          <w:spacing w:val="-3"/>
        </w:rPr>
        <w:t>）</w:t>
      </w:r>
      <w:r>
        <w:rPr>
          <w:rFonts w:hint="eastAsia" w:ascii="黑体" w:eastAsia="黑体"/>
          <w:color w:val="auto"/>
          <w:spacing w:val="-29"/>
        </w:rPr>
        <w:t xml:space="preserve">附件 </w:t>
      </w:r>
      <w:r>
        <w:rPr>
          <w:rFonts w:hint="eastAsia" w:ascii="黑体" w:eastAsia="黑体"/>
          <w:color w:val="auto"/>
        </w:rPr>
        <w:t>3《营业税改征增值税试点过渡政策的规定》第一条第（二十二）项</w:t>
      </w:r>
    </w:p>
    <w:p>
      <w:pPr>
        <w:pStyle w:val="4"/>
        <w:keepNext w:val="0"/>
        <w:keepLines w:val="0"/>
        <w:pageBreakBefore w:val="0"/>
        <w:widowControl w:val="0"/>
        <w:kinsoku/>
        <w:wordWrap/>
        <w:overflowPunct/>
        <w:topLinePunct w:val="0"/>
        <w:autoSpaceDE w:val="0"/>
        <w:autoSpaceDN w:val="0"/>
        <w:bidi w:val="0"/>
        <w:adjustRightInd/>
        <w:snapToGrid/>
        <w:spacing w:before="10"/>
        <w:ind w:left="0" w:firstLine="0"/>
        <w:jc w:val="both"/>
        <w:textAlignment w:val="auto"/>
        <w:rPr>
          <w:rFonts w:ascii="黑体"/>
          <w:color w:val="auto"/>
          <w:sz w:val="41"/>
        </w:rPr>
      </w:pPr>
    </w:p>
    <w:p>
      <w:pPr>
        <w:pStyle w:val="3"/>
        <w:keepNext w:val="0"/>
        <w:keepLines w:val="0"/>
        <w:pageBreakBefore w:val="0"/>
        <w:widowControl w:val="0"/>
        <w:numPr>
          <w:ilvl w:val="0"/>
          <w:numId w:val="48"/>
        </w:numPr>
        <w:tabs>
          <w:tab w:val="left" w:pos="805"/>
        </w:tabs>
        <w:kinsoku/>
        <w:wordWrap/>
        <w:overflowPunct/>
        <w:topLinePunct w:val="0"/>
        <w:autoSpaceDE w:val="0"/>
        <w:autoSpaceDN w:val="0"/>
        <w:bidi w:val="0"/>
        <w:adjustRightInd/>
        <w:snapToGrid/>
        <w:spacing w:before="0" w:after="0" w:line="364" w:lineRule="auto"/>
        <w:ind w:left="320" w:right="535" w:firstLine="0"/>
        <w:jc w:val="both"/>
        <w:textAlignment w:val="auto"/>
        <w:rPr>
          <w:color w:val="auto"/>
        </w:rPr>
      </w:pPr>
      <w:bookmarkStart w:id="46" w:name="_TOC_250003"/>
      <w:r>
        <w:rPr>
          <w:color w:val="auto"/>
          <w:spacing w:val="6"/>
          <w:w w:val="95"/>
        </w:rPr>
        <w:t xml:space="preserve">香港市场投资者买卖内地基金份额取得的转让差价所得 </w:t>
      </w:r>
      <w:bookmarkEnd w:id="46"/>
      <w:r>
        <w:rPr>
          <w:color w:val="auto"/>
          <w:spacing w:val="6"/>
        </w:rPr>
        <w:t>暂免征收所得税</w:t>
      </w:r>
    </w:p>
    <w:p>
      <w:pPr>
        <w:keepNext w:val="0"/>
        <w:keepLines w:val="0"/>
        <w:pageBreakBefore w:val="0"/>
        <w:widowControl w:val="0"/>
        <w:kinsoku/>
        <w:wordWrap/>
        <w:overflowPunct/>
        <w:topLinePunct w:val="0"/>
        <w:autoSpaceDE w:val="0"/>
        <w:autoSpaceDN w:val="0"/>
        <w:bidi w:val="0"/>
        <w:adjustRightInd/>
        <w:snapToGrid/>
        <w:spacing w:before="1"/>
        <w:ind w:left="320" w:right="0" w:firstLine="0"/>
        <w:jc w:val="both"/>
        <w:textAlignment w:val="auto"/>
        <w:rPr>
          <w:rFonts w:hint="eastAsia" w:ascii="宋体" w:eastAsia="宋体"/>
          <w:b/>
          <w:color w:val="auto"/>
          <w:sz w:val="32"/>
        </w:rPr>
      </w:pPr>
      <w:r>
        <w:rPr>
          <w:rFonts w:hint="eastAsia" w:ascii="宋体" w:eastAsia="宋体"/>
          <w:b/>
          <w:color w:val="auto"/>
          <w:sz w:val="32"/>
        </w:rPr>
        <w:t>【适用主体】</w:t>
      </w:r>
    </w:p>
    <w:p>
      <w:pPr>
        <w:pStyle w:val="4"/>
        <w:keepNext w:val="0"/>
        <w:keepLines w:val="0"/>
        <w:pageBreakBefore w:val="0"/>
        <w:widowControl w:val="0"/>
        <w:kinsoku/>
        <w:wordWrap/>
        <w:overflowPunct/>
        <w:topLinePunct w:val="0"/>
        <w:autoSpaceDE w:val="0"/>
        <w:autoSpaceDN w:val="0"/>
        <w:bidi w:val="0"/>
        <w:adjustRightInd/>
        <w:snapToGrid/>
        <w:ind w:left="960" w:firstLine="0"/>
        <w:jc w:val="both"/>
        <w:textAlignment w:val="auto"/>
        <w:rPr>
          <w:color w:val="auto"/>
        </w:rPr>
      </w:pPr>
      <w:r>
        <w:rPr>
          <w:color w:val="auto"/>
        </w:rPr>
        <w:t>香港市场投资者（包括企业和个人）</w:t>
      </w:r>
    </w:p>
    <w:p>
      <w:pPr>
        <w:keepNext w:val="0"/>
        <w:keepLines w:val="0"/>
        <w:pageBreakBefore w:val="0"/>
        <w:widowControl w:val="0"/>
        <w:kinsoku/>
        <w:wordWrap/>
        <w:overflowPunct/>
        <w:topLinePunct w:val="0"/>
        <w:autoSpaceDE w:val="0"/>
        <w:autoSpaceDN w:val="0"/>
        <w:bidi w:val="0"/>
        <w:adjustRightInd/>
        <w:snapToGrid/>
        <w:spacing w:before="214"/>
        <w:ind w:left="320" w:right="0" w:firstLine="0"/>
        <w:jc w:val="both"/>
        <w:textAlignment w:val="auto"/>
        <w:rPr>
          <w:rFonts w:hint="eastAsia" w:ascii="宋体" w:eastAsia="宋体"/>
          <w:b/>
          <w:color w:val="auto"/>
          <w:sz w:val="32"/>
        </w:rPr>
      </w:pPr>
      <w:r>
        <w:rPr>
          <w:rFonts w:hint="eastAsia" w:ascii="宋体" w:eastAsia="宋体"/>
          <w:b/>
          <w:color w:val="auto"/>
          <w:sz w:val="32"/>
        </w:rPr>
        <w:t>【政策内容】</w:t>
      </w:r>
    </w:p>
    <w:p>
      <w:pPr>
        <w:pStyle w:val="4"/>
        <w:keepNext w:val="0"/>
        <w:keepLines w:val="0"/>
        <w:pageBreakBefore w:val="0"/>
        <w:widowControl w:val="0"/>
        <w:kinsoku/>
        <w:wordWrap/>
        <w:overflowPunct/>
        <w:topLinePunct w:val="0"/>
        <w:autoSpaceDE w:val="0"/>
        <w:autoSpaceDN w:val="0"/>
        <w:bidi w:val="0"/>
        <w:adjustRightInd/>
        <w:snapToGrid/>
        <w:spacing w:line="364" w:lineRule="auto"/>
        <w:ind w:right="495"/>
        <w:jc w:val="both"/>
        <w:textAlignment w:val="auto"/>
        <w:rPr>
          <w:color w:val="auto"/>
        </w:rPr>
      </w:pPr>
      <w:r>
        <w:rPr>
          <w:color w:val="auto"/>
        </w:rPr>
        <w:t>对香港市场投资者（包括企业和个人）通过基金互认买卖内地基金份额取得的转让差价所得，暂免征收所得税。</w:t>
      </w:r>
    </w:p>
    <w:p>
      <w:pPr>
        <w:keepNext w:val="0"/>
        <w:keepLines w:val="0"/>
        <w:pageBreakBefore w:val="0"/>
        <w:widowControl w:val="0"/>
        <w:kinsoku/>
        <w:wordWrap/>
        <w:overflowPunct/>
        <w:topLinePunct w:val="0"/>
        <w:autoSpaceDE w:val="0"/>
        <w:autoSpaceDN w:val="0"/>
        <w:bidi w:val="0"/>
        <w:adjustRightInd/>
        <w:snapToGrid/>
        <w:spacing w:before="30"/>
        <w:ind w:left="320" w:right="0" w:firstLine="0"/>
        <w:jc w:val="both"/>
        <w:textAlignment w:val="auto"/>
        <w:rPr>
          <w:rFonts w:hint="eastAsia" w:ascii="宋体" w:eastAsia="宋体"/>
          <w:b/>
          <w:color w:val="auto"/>
          <w:sz w:val="32"/>
        </w:rPr>
      </w:pPr>
      <w:r>
        <w:rPr>
          <w:rFonts w:hint="eastAsia" w:ascii="宋体" w:eastAsia="宋体"/>
          <w:b/>
          <w:color w:val="auto"/>
          <w:sz w:val="32"/>
        </w:rPr>
        <w:t>【适用条件】</w:t>
      </w:r>
    </w:p>
    <w:p>
      <w:pPr>
        <w:pStyle w:val="4"/>
        <w:keepNext w:val="0"/>
        <w:keepLines w:val="0"/>
        <w:pageBreakBefore w:val="0"/>
        <w:widowControl w:val="0"/>
        <w:kinsoku/>
        <w:wordWrap/>
        <w:overflowPunct/>
        <w:topLinePunct w:val="0"/>
        <w:autoSpaceDE w:val="0"/>
        <w:autoSpaceDN w:val="0"/>
        <w:bidi w:val="0"/>
        <w:adjustRightInd/>
        <w:snapToGrid/>
        <w:ind w:left="960" w:firstLine="0"/>
        <w:jc w:val="both"/>
        <w:textAlignment w:val="auto"/>
        <w:rPr>
          <w:color w:val="auto"/>
        </w:rPr>
      </w:pPr>
      <w:r>
        <w:rPr>
          <w:color w:val="auto"/>
        </w:rPr>
        <w:t>香港市场投资者通过基金互认买卖内地基金份额。</w:t>
      </w:r>
    </w:p>
    <w:p>
      <w:pPr>
        <w:keepNext w:val="0"/>
        <w:keepLines w:val="0"/>
        <w:pageBreakBefore w:val="0"/>
        <w:widowControl w:val="0"/>
        <w:kinsoku/>
        <w:wordWrap/>
        <w:overflowPunct/>
        <w:topLinePunct w:val="0"/>
        <w:autoSpaceDE w:val="0"/>
        <w:autoSpaceDN w:val="0"/>
        <w:bidi w:val="0"/>
        <w:adjustRightInd/>
        <w:snapToGrid/>
        <w:spacing w:before="214"/>
        <w:ind w:left="320" w:right="0" w:firstLine="0"/>
        <w:jc w:val="both"/>
        <w:textAlignment w:val="auto"/>
        <w:rPr>
          <w:rFonts w:hint="eastAsia" w:ascii="宋体" w:eastAsia="宋体"/>
          <w:b/>
          <w:color w:val="auto"/>
          <w:sz w:val="32"/>
        </w:rPr>
      </w:pPr>
      <w:r>
        <w:rPr>
          <w:rFonts w:hint="eastAsia" w:ascii="宋体" w:eastAsia="宋体"/>
          <w:b/>
          <w:color w:val="auto"/>
          <w:sz w:val="32"/>
        </w:rPr>
        <w:t>【政策依据】</w:t>
      </w:r>
    </w:p>
    <w:p>
      <w:pPr>
        <w:pStyle w:val="4"/>
        <w:keepNext w:val="0"/>
        <w:keepLines w:val="0"/>
        <w:pageBreakBefore w:val="0"/>
        <w:widowControl w:val="0"/>
        <w:kinsoku/>
        <w:wordWrap/>
        <w:overflowPunct/>
        <w:topLinePunct w:val="0"/>
        <w:autoSpaceDE w:val="0"/>
        <w:autoSpaceDN w:val="0"/>
        <w:bidi w:val="0"/>
        <w:adjustRightInd/>
        <w:snapToGrid/>
        <w:spacing w:before="236" w:line="326" w:lineRule="auto"/>
        <w:ind w:right="537"/>
        <w:jc w:val="both"/>
        <w:textAlignment w:val="auto"/>
        <w:rPr>
          <w:rFonts w:hint="eastAsia" w:ascii="黑体" w:eastAsia="黑体"/>
          <w:color w:val="auto"/>
        </w:rPr>
      </w:pPr>
      <w:r>
        <w:rPr>
          <w:rFonts w:hint="eastAsia" w:ascii="黑体" w:eastAsia="黑体"/>
          <w:color w:val="auto"/>
        </w:rPr>
        <w:t>《财政部 国家税务总局 证监会关于内地与香港基金互认有关税收政策的通知》（财税〔2015〕125 号 ）第二条第 1 项</w:t>
      </w:r>
    </w:p>
    <w:p>
      <w:pPr>
        <w:pStyle w:val="3"/>
        <w:keepNext w:val="0"/>
        <w:keepLines w:val="0"/>
        <w:pageBreakBefore w:val="0"/>
        <w:widowControl w:val="0"/>
        <w:numPr>
          <w:ilvl w:val="0"/>
          <w:numId w:val="48"/>
        </w:numPr>
        <w:tabs>
          <w:tab w:val="left" w:pos="805"/>
        </w:tabs>
        <w:kinsoku/>
        <w:wordWrap/>
        <w:overflowPunct/>
        <w:topLinePunct w:val="0"/>
        <w:autoSpaceDE w:val="0"/>
        <w:autoSpaceDN w:val="0"/>
        <w:bidi w:val="0"/>
        <w:adjustRightInd/>
        <w:snapToGrid/>
        <w:spacing w:before="0" w:after="0" w:line="240" w:lineRule="auto"/>
        <w:ind w:left="804" w:right="0" w:hanging="485"/>
        <w:jc w:val="both"/>
        <w:textAlignment w:val="auto"/>
        <w:rPr>
          <w:color w:val="auto"/>
        </w:rPr>
      </w:pPr>
      <w:bookmarkStart w:id="47" w:name="_TOC_250002"/>
      <w:bookmarkEnd w:id="47"/>
      <w:r>
        <w:rPr>
          <w:color w:val="auto"/>
        </w:rPr>
        <w:t>香港市场投资者从内地基金分配取得收益所得税政策</w:t>
      </w:r>
    </w:p>
    <w:p>
      <w:pPr>
        <w:keepNext w:val="0"/>
        <w:keepLines w:val="0"/>
        <w:pageBreakBefore w:val="0"/>
        <w:widowControl w:val="0"/>
        <w:kinsoku/>
        <w:wordWrap/>
        <w:overflowPunct/>
        <w:topLinePunct w:val="0"/>
        <w:autoSpaceDE w:val="0"/>
        <w:autoSpaceDN w:val="0"/>
        <w:bidi w:val="0"/>
        <w:adjustRightInd/>
        <w:snapToGrid/>
        <w:spacing w:before="214"/>
        <w:ind w:left="320" w:right="0" w:firstLine="0"/>
        <w:jc w:val="both"/>
        <w:textAlignment w:val="auto"/>
        <w:rPr>
          <w:rFonts w:hint="eastAsia" w:ascii="宋体" w:eastAsia="宋体"/>
          <w:b/>
          <w:color w:val="auto"/>
          <w:sz w:val="32"/>
        </w:rPr>
      </w:pPr>
      <w:r>
        <w:rPr>
          <w:rFonts w:hint="eastAsia" w:ascii="宋体" w:eastAsia="宋体"/>
          <w:b/>
          <w:color w:val="auto"/>
          <w:sz w:val="32"/>
        </w:rPr>
        <w:t>【适用主体】</w:t>
      </w:r>
    </w:p>
    <w:p>
      <w:pPr>
        <w:pStyle w:val="4"/>
        <w:keepNext w:val="0"/>
        <w:keepLines w:val="0"/>
        <w:pageBreakBefore w:val="0"/>
        <w:widowControl w:val="0"/>
        <w:kinsoku/>
        <w:wordWrap/>
        <w:overflowPunct/>
        <w:topLinePunct w:val="0"/>
        <w:autoSpaceDE w:val="0"/>
        <w:autoSpaceDN w:val="0"/>
        <w:bidi w:val="0"/>
        <w:adjustRightInd/>
        <w:snapToGrid/>
        <w:ind w:left="960" w:firstLine="0"/>
        <w:jc w:val="both"/>
        <w:textAlignment w:val="auto"/>
        <w:rPr>
          <w:color w:val="auto"/>
        </w:rPr>
      </w:pPr>
      <w:r>
        <w:rPr>
          <w:color w:val="auto"/>
        </w:rPr>
        <w:t>香港市场投资者（包括企业和个人）</w:t>
      </w:r>
    </w:p>
    <w:p>
      <w:pPr>
        <w:keepNext w:val="0"/>
        <w:keepLines w:val="0"/>
        <w:pageBreakBefore w:val="0"/>
        <w:widowControl w:val="0"/>
        <w:kinsoku/>
        <w:wordWrap/>
        <w:overflowPunct/>
        <w:topLinePunct w:val="0"/>
        <w:autoSpaceDE w:val="0"/>
        <w:autoSpaceDN w:val="0"/>
        <w:bidi w:val="0"/>
        <w:adjustRightInd/>
        <w:snapToGrid/>
        <w:spacing w:before="214"/>
        <w:ind w:left="320" w:right="0" w:firstLine="0"/>
        <w:jc w:val="both"/>
        <w:textAlignment w:val="auto"/>
        <w:rPr>
          <w:rFonts w:hint="eastAsia" w:ascii="宋体" w:eastAsia="宋体"/>
          <w:b/>
          <w:color w:val="auto"/>
          <w:sz w:val="32"/>
        </w:rPr>
      </w:pPr>
      <w:r>
        <w:rPr>
          <w:rFonts w:hint="eastAsia" w:ascii="宋体" w:eastAsia="宋体"/>
          <w:b/>
          <w:color w:val="auto"/>
          <w:sz w:val="32"/>
        </w:rPr>
        <w:t>【政策内容】</w:t>
      </w:r>
    </w:p>
    <w:p>
      <w:pPr>
        <w:pStyle w:val="4"/>
        <w:keepNext w:val="0"/>
        <w:keepLines w:val="0"/>
        <w:pageBreakBefore w:val="0"/>
        <w:widowControl w:val="0"/>
        <w:kinsoku/>
        <w:wordWrap/>
        <w:overflowPunct/>
        <w:topLinePunct w:val="0"/>
        <w:autoSpaceDE w:val="0"/>
        <w:autoSpaceDN w:val="0"/>
        <w:bidi w:val="0"/>
        <w:adjustRightInd/>
        <w:snapToGrid/>
        <w:spacing w:line="364" w:lineRule="auto"/>
        <w:ind w:right="537"/>
        <w:jc w:val="both"/>
        <w:textAlignment w:val="auto"/>
        <w:rPr>
          <w:color w:val="auto"/>
        </w:rPr>
      </w:pPr>
      <w:r>
        <w:rPr>
          <w:color w:val="auto"/>
          <w:spacing w:val="-1"/>
        </w:rPr>
        <w:t>对香港市场投资者</w:t>
      </w:r>
      <w:r>
        <w:rPr>
          <w:color w:val="auto"/>
        </w:rPr>
        <w:t>（包括企业和个人</w:t>
      </w:r>
      <w:r>
        <w:rPr>
          <w:color w:val="auto"/>
          <w:spacing w:val="-7"/>
        </w:rPr>
        <w:t>）</w:t>
      </w:r>
      <w:r>
        <w:rPr>
          <w:color w:val="auto"/>
        </w:rPr>
        <w:t>通过基金互认从</w:t>
      </w:r>
      <w:r>
        <w:rPr>
          <w:color w:val="auto"/>
          <w:spacing w:val="-2"/>
        </w:rPr>
        <w:t>内地基金分配取得的收益，由内地上市公司向该内地基金分</w:t>
      </w:r>
      <w:r>
        <w:rPr>
          <w:color w:val="auto"/>
          <w:spacing w:val="9"/>
        </w:rPr>
        <w:t>配</w:t>
      </w:r>
      <w:r>
        <w:rPr>
          <w:color w:val="auto"/>
          <w:spacing w:val="12"/>
        </w:rPr>
        <w:t>股</w:t>
      </w:r>
      <w:r>
        <w:rPr>
          <w:color w:val="auto"/>
          <w:spacing w:val="9"/>
        </w:rPr>
        <w:t>息红利时</w:t>
      </w:r>
      <w:r>
        <w:rPr>
          <w:color w:val="auto"/>
          <w:spacing w:val="10"/>
        </w:rPr>
        <w:t>,</w:t>
      </w:r>
      <w:r>
        <w:rPr>
          <w:color w:val="auto"/>
          <w:spacing w:val="9"/>
        </w:rPr>
        <w:t>对</w:t>
      </w:r>
      <w:r>
        <w:rPr>
          <w:color w:val="auto"/>
          <w:spacing w:val="12"/>
        </w:rPr>
        <w:t>香</w:t>
      </w:r>
      <w:r>
        <w:rPr>
          <w:color w:val="auto"/>
          <w:spacing w:val="9"/>
        </w:rPr>
        <w:t>港市场</w:t>
      </w:r>
      <w:r>
        <w:rPr>
          <w:color w:val="auto"/>
          <w:spacing w:val="12"/>
        </w:rPr>
        <w:t>投</w:t>
      </w:r>
      <w:r>
        <w:rPr>
          <w:color w:val="auto"/>
          <w:spacing w:val="9"/>
        </w:rPr>
        <w:t>资者按</w:t>
      </w:r>
      <w:r>
        <w:rPr>
          <w:color w:val="auto"/>
        </w:rPr>
        <w:t>照</w:t>
      </w:r>
      <w:r>
        <w:rPr>
          <w:color w:val="auto"/>
          <w:spacing w:val="-87"/>
        </w:rPr>
        <w:t xml:space="preserve"> </w:t>
      </w:r>
      <w:r>
        <w:rPr>
          <w:color w:val="auto"/>
          <w:spacing w:val="6"/>
        </w:rPr>
        <w:t>10</w:t>
      </w:r>
      <w:r>
        <w:rPr>
          <w:color w:val="auto"/>
          <w:spacing w:val="11"/>
          <w:w w:val="99"/>
        </w:rPr>
        <w:drawing>
          <wp:inline distT="0" distB="0" distL="0" distR="0">
            <wp:extent cx="85090" cy="154940"/>
            <wp:effectExtent l="0" t="0" r="0" b="0"/>
            <wp:docPr id="11" name="image1.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1" name="image1.png"/>
                    <pic:cNvPicPr>
                      <a:picLocks noChangeAspect="true"/>
                    </pic:cNvPicPr>
                  </pic:nvPicPr>
                  <pic:blipFill>
                    <a:blip r:embed="rId13" cstate="print"/>
                    <a:stretch>
                      <a:fillRect/>
                    </a:stretch>
                  </pic:blipFill>
                  <pic:spPr>
                    <a:xfrm>
                      <a:off x="0" y="0"/>
                      <a:ext cx="85724" cy="155574"/>
                    </a:xfrm>
                    <a:prstGeom prst="rect">
                      <a:avLst/>
                    </a:prstGeom>
                  </pic:spPr>
                </pic:pic>
              </a:graphicData>
            </a:graphic>
          </wp:inline>
        </w:drawing>
      </w:r>
      <w:r>
        <w:rPr>
          <w:color w:val="auto"/>
          <w:spacing w:val="9"/>
        </w:rPr>
        <w:t>的</w:t>
      </w:r>
      <w:r>
        <w:rPr>
          <w:color w:val="auto"/>
          <w:spacing w:val="12"/>
        </w:rPr>
        <w:t>税</w:t>
      </w:r>
      <w:r>
        <w:rPr>
          <w:color w:val="auto"/>
          <w:spacing w:val="9"/>
        </w:rPr>
        <w:t>率代扣</w:t>
      </w:r>
      <w:r>
        <w:rPr>
          <w:color w:val="auto"/>
          <w:spacing w:val="12"/>
        </w:rPr>
        <w:t>所</w:t>
      </w:r>
      <w:r>
        <w:rPr>
          <w:color w:val="auto"/>
        </w:rPr>
        <w:t>得</w:t>
      </w:r>
      <w:r>
        <w:rPr>
          <w:color w:val="auto"/>
          <w:spacing w:val="-4"/>
        </w:rPr>
        <w:t>税；或发行债券的企业向该内地基金分配利息时, 对香港市场投资者按照</w:t>
      </w:r>
      <w:r>
        <w:rPr>
          <w:color w:val="auto"/>
          <w:spacing w:val="-84"/>
        </w:rPr>
        <w:t xml:space="preserve"> </w:t>
      </w:r>
      <w:r>
        <w:rPr>
          <w:color w:val="auto"/>
          <w:spacing w:val="11"/>
        </w:rPr>
        <w:t>7</w:t>
      </w:r>
      <w:r>
        <w:rPr>
          <w:color w:val="auto"/>
          <w:spacing w:val="11"/>
          <w:w w:val="99"/>
        </w:rPr>
        <w:drawing>
          <wp:inline distT="0" distB="0" distL="0" distR="0">
            <wp:extent cx="85090" cy="154940"/>
            <wp:effectExtent l="0" t="0" r="0" b="0"/>
            <wp:docPr id="13" name="image1.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3" name="image1.png"/>
                    <pic:cNvPicPr>
                      <a:picLocks noChangeAspect="true"/>
                    </pic:cNvPicPr>
                  </pic:nvPicPr>
                  <pic:blipFill>
                    <a:blip r:embed="rId13" cstate="print"/>
                    <a:stretch>
                      <a:fillRect/>
                    </a:stretch>
                  </pic:blipFill>
                  <pic:spPr>
                    <a:xfrm>
                      <a:off x="0" y="0"/>
                      <a:ext cx="85724" cy="155574"/>
                    </a:xfrm>
                    <a:prstGeom prst="rect">
                      <a:avLst/>
                    </a:prstGeom>
                  </pic:spPr>
                </pic:pic>
              </a:graphicData>
            </a:graphic>
          </wp:inline>
        </w:drawing>
      </w:r>
      <w:r>
        <w:rPr>
          <w:color w:val="auto"/>
        </w:rPr>
        <w:t>的税率代扣所得税</w:t>
      </w:r>
      <w:r>
        <w:rPr>
          <w:color w:val="auto"/>
          <w:spacing w:val="-94"/>
        </w:rPr>
        <w:t>，</w:t>
      </w:r>
      <w:r>
        <w:rPr>
          <w:color w:val="auto"/>
        </w:rPr>
        <w:t>并由内地上市公司或发</w:t>
      </w:r>
      <w:r>
        <w:rPr>
          <w:color w:val="auto"/>
          <w:spacing w:val="-1"/>
        </w:rPr>
        <w:t>行债券的企业向其主管税务机关办理扣缴申报。该内地基金向投资者分配收益时,不再扣缴所得税。</w:t>
      </w:r>
    </w:p>
    <w:p>
      <w:pPr>
        <w:keepNext w:val="0"/>
        <w:keepLines w:val="0"/>
        <w:pageBreakBefore w:val="0"/>
        <w:widowControl w:val="0"/>
        <w:kinsoku/>
        <w:wordWrap/>
        <w:overflowPunct/>
        <w:topLinePunct w:val="0"/>
        <w:autoSpaceDE w:val="0"/>
        <w:autoSpaceDN w:val="0"/>
        <w:bidi w:val="0"/>
        <w:adjustRightInd/>
        <w:snapToGrid/>
        <w:spacing w:before="6"/>
        <w:ind w:left="320" w:right="0" w:firstLine="0"/>
        <w:jc w:val="both"/>
        <w:textAlignment w:val="auto"/>
        <w:rPr>
          <w:rFonts w:hint="eastAsia" w:ascii="宋体" w:eastAsia="宋体"/>
          <w:b/>
          <w:color w:val="auto"/>
          <w:sz w:val="32"/>
        </w:rPr>
      </w:pPr>
      <w:r>
        <w:rPr>
          <w:rFonts w:hint="eastAsia" w:ascii="宋体" w:eastAsia="宋体"/>
          <w:b/>
          <w:color w:val="auto"/>
          <w:sz w:val="32"/>
        </w:rPr>
        <w:t>【适用条件】</w:t>
      </w:r>
    </w:p>
    <w:p>
      <w:pPr>
        <w:pStyle w:val="12"/>
        <w:keepNext w:val="0"/>
        <w:keepLines w:val="0"/>
        <w:pageBreakBefore w:val="0"/>
        <w:widowControl w:val="0"/>
        <w:numPr>
          <w:ilvl w:val="1"/>
          <w:numId w:val="48"/>
        </w:numPr>
        <w:tabs>
          <w:tab w:val="left" w:pos="1292"/>
        </w:tabs>
        <w:kinsoku/>
        <w:wordWrap/>
        <w:overflowPunct/>
        <w:topLinePunct w:val="0"/>
        <w:autoSpaceDE w:val="0"/>
        <w:autoSpaceDN w:val="0"/>
        <w:bidi w:val="0"/>
        <w:adjustRightInd/>
        <w:snapToGrid/>
        <w:spacing w:before="214" w:after="0" w:line="364" w:lineRule="auto"/>
        <w:ind w:left="320" w:right="540" w:firstLine="640"/>
        <w:jc w:val="both"/>
        <w:textAlignment w:val="auto"/>
        <w:rPr>
          <w:color w:val="auto"/>
          <w:sz w:val="30"/>
        </w:rPr>
      </w:pPr>
      <w:r>
        <w:rPr>
          <w:color w:val="auto"/>
          <w:spacing w:val="12"/>
          <w:w w:val="95"/>
          <w:sz w:val="32"/>
        </w:rPr>
        <w:t xml:space="preserve">香港市场投资者通过基金互认从内地基金分配取得 </w:t>
      </w:r>
      <w:r>
        <w:rPr>
          <w:color w:val="auto"/>
          <w:spacing w:val="12"/>
          <w:sz w:val="32"/>
        </w:rPr>
        <w:t>收益。</w:t>
      </w:r>
    </w:p>
    <w:p>
      <w:pPr>
        <w:pStyle w:val="12"/>
        <w:keepNext w:val="0"/>
        <w:keepLines w:val="0"/>
        <w:pageBreakBefore w:val="0"/>
        <w:widowControl w:val="0"/>
        <w:numPr>
          <w:ilvl w:val="1"/>
          <w:numId w:val="48"/>
        </w:numPr>
        <w:tabs>
          <w:tab w:val="left" w:pos="1292"/>
        </w:tabs>
        <w:kinsoku/>
        <w:wordWrap/>
        <w:overflowPunct/>
        <w:topLinePunct w:val="0"/>
        <w:autoSpaceDE w:val="0"/>
        <w:autoSpaceDN w:val="0"/>
        <w:bidi w:val="0"/>
        <w:adjustRightInd/>
        <w:snapToGrid/>
        <w:spacing w:before="1" w:after="0" w:line="240" w:lineRule="auto"/>
        <w:ind w:left="1292" w:right="0" w:hanging="332"/>
        <w:jc w:val="both"/>
        <w:textAlignment w:val="auto"/>
        <w:rPr>
          <w:color w:val="auto"/>
          <w:sz w:val="30"/>
        </w:rPr>
      </w:pPr>
      <w:r>
        <w:rPr>
          <w:color w:val="auto"/>
          <w:spacing w:val="13"/>
          <w:sz w:val="32"/>
        </w:rPr>
        <w:t>内地基金管理人应当向相关证券登记结算机构提供</w:t>
      </w:r>
    </w:p>
    <w:p>
      <w:pPr>
        <w:pStyle w:val="4"/>
        <w:keepNext w:val="0"/>
        <w:keepLines w:val="0"/>
        <w:pageBreakBefore w:val="0"/>
        <w:widowControl w:val="0"/>
        <w:kinsoku/>
        <w:wordWrap/>
        <w:overflowPunct/>
        <w:topLinePunct w:val="0"/>
        <w:autoSpaceDE w:val="0"/>
        <w:autoSpaceDN w:val="0"/>
        <w:bidi w:val="0"/>
        <w:adjustRightInd/>
        <w:snapToGrid/>
        <w:spacing w:before="30"/>
        <w:ind w:firstLine="0"/>
        <w:jc w:val="both"/>
        <w:textAlignment w:val="auto"/>
        <w:rPr>
          <w:color w:val="auto"/>
        </w:rPr>
      </w:pPr>
      <w:r>
        <w:rPr>
          <w:color w:val="auto"/>
        </w:rPr>
        <w:t>内地基金的香港市场投资者的相关信息。</w:t>
      </w:r>
    </w:p>
    <w:p>
      <w:pPr>
        <w:keepNext w:val="0"/>
        <w:keepLines w:val="0"/>
        <w:pageBreakBefore w:val="0"/>
        <w:widowControl w:val="0"/>
        <w:kinsoku/>
        <w:wordWrap/>
        <w:overflowPunct/>
        <w:topLinePunct w:val="0"/>
        <w:autoSpaceDE w:val="0"/>
        <w:autoSpaceDN w:val="0"/>
        <w:bidi w:val="0"/>
        <w:adjustRightInd/>
        <w:snapToGrid/>
        <w:spacing w:before="214"/>
        <w:ind w:left="320" w:right="0" w:firstLine="0"/>
        <w:jc w:val="both"/>
        <w:textAlignment w:val="auto"/>
        <w:rPr>
          <w:rFonts w:hint="eastAsia" w:ascii="宋体" w:eastAsia="宋体"/>
          <w:b/>
          <w:color w:val="auto"/>
          <w:sz w:val="32"/>
        </w:rPr>
      </w:pPr>
      <w:r>
        <w:rPr>
          <w:rFonts w:hint="eastAsia" w:ascii="宋体" w:eastAsia="宋体"/>
          <w:b/>
          <w:color w:val="auto"/>
          <w:sz w:val="32"/>
        </w:rPr>
        <w:t>【政策依据】</w:t>
      </w:r>
    </w:p>
    <w:p>
      <w:pPr>
        <w:pStyle w:val="4"/>
        <w:keepNext w:val="0"/>
        <w:keepLines w:val="0"/>
        <w:pageBreakBefore w:val="0"/>
        <w:widowControl w:val="0"/>
        <w:kinsoku/>
        <w:wordWrap/>
        <w:overflowPunct/>
        <w:topLinePunct w:val="0"/>
        <w:autoSpaceDE w:val="0"/>
        <w:autoSpaceDN w:val="0"/>
        <w:bidi w:val="0"/>
        <w:adjustRightInd/>
        <w:snapToGrid/>
        <w:spacing w:before="235" w:line="326" w:lineRule="auto"/>
        <w:ind w:right="537"/>
        <w:jc w:val="both"/>
        <w:textAlignment w:val="auto"/>
        <w:rPr>
          <w:rFonts w:hint="eastAsia" w:ascii="黑体" w:eastAsia="黑体"/>
          <w:color w:val="auto"/>
        </w:rPr>
      </w:pPr>
      <w:r>
        <w:rPr>
          <w:rFonts w:hint="eastAsia" w:ascii="黑体" w:eastAsia="黑体"/>
          <w:color w:val="auto"/>
        </w:rPr>
        <w:t>《财政部 国家税务总局 证监会关于内地与香港基金互认有关税收政策的通知》（财税〔2015〕125 号 ）第二条第 2 项</w:t>
      </w:r>
    </w:p>
    <w:p>
      <w:pPr>
        <w:pStyle w:val="4"/>
        <w:keepNext w:val="0"/>
        <w:keepLines w:val="0"/>
        <w:pageBreakBefore w:val="0"/>
        <w:widowControl w:val="0"/>
        <w:kinsoku/>
        <w:wordWrap/>
        <w:overflowPunct/>
        <w:topLinePunct w:val="0"/>
        <w:autoSpaceDE w:val="0"/>
        <w:autoSpaceDN w:val="0"/>
        <w:bidi w:val="0"/>
        <w:adjustRightInd/>
        <w:snapToGrid/>
        <w:spacing w:before="7"/>
        <w:ind w:left="0" w:firstLine="0"/>
        <w:jc w:val="both"/>
        <w:textAlignment w:val="auto"/>
        <w:rPr>
          <w:rFonts w:ascii="黑体"/>
          <w:color w:val="auto"/>
          <w:sz w:val="42"/>
        </w:rPr>
      </w:pPr>
    </w:p>
    <w:p>
      <w:pPr>
        <w:pStyle w:val="3"/>
        <w:keepNext w:val="0"/>
        <w:keepLines w:val="0"/>
        <w:pageBreakBefore w:val="0"/>
        <w:widowControl w:val="0"/>
        <w:numPr>
          <w:ilvl w:val="0"/>
          <w:numId w:val="48"/>
        </w:numPr>
        <w:tabs>
          <w:tab w:val="left" w:pos="805"/>
        </w:tabs>
        <w:kinsoku/>
        <w:wordWrap/>
        <w:overflowPunct/>
        <w:topLinePunct w:val="0"/>
        <w:autoSpaceDE w:val="0"/>
        <w:autoSpaceDN w:val="0"/>
        <w:bidi w:val="0"/>
        <w:adjustRightInd/>
        <w:snapToGrid/>
        <w:spacing w:before="0" w:after="0" w:line="364" w:lineRule="auto"/>
        <w:ind w:left="320" w:right="535" w:firstLine="0"/>
        <w:jc w:val="both"/>
        <w:textAlignment w:val="auto"/>
        <w:rPr>
          <w:color w:val="auto"/>
        </w:rPr>
      </w:pPr>
      <w:bookmarkStart w:id="48" w:name="_TOC_250001"/>
      <w:r>
        <w:rPr>
          <w:color w:val="auto"/>
          <w:spacing w:val="6"/>
          <w:w w:val="95"/>
        </w:rPr>
        <w:t xml:space="preserve">香港市场投资者买卖、继承、赠与内地基金份额暂不征 </w:t>
      </w:r>
      <w:bookmarkEnd w:id="48"/>
      <w:r>
        <w:rPr>
          <w:color w:val="auto"/>
          <w:spacing w:val="6"/>
        </w:rPr>
        <w:t>收印花税</w:t>
      </w:r>
    </w:p>
    <w:p>
      <w:pPr>
        <w:keepNext w:val="0"/>
        <w:keepLines w:val="0"/>
        <w:pageBreakBefore w:val="0"/>
        <w:widowControl w:val="0"/>
        <w:kinsoku/>
        <w:wordWrap/>
        <w:overflowPunct/>
        <w:topLinePunct w:val="0"/>
        <w:autoSpaceDE w:val="0"/>
        <w:autoSpaceDN w:val="0"/>
        <w:bidi w:val="0"/>
        <w:adjustRightInd/>
        <w:snapToGrid/>
        <w:spacing w:before="2"/>
        <w:ind w:left="320" w:right="0" w:firstLine="0"/>
        <w:jc w:val="both"/>
        <w:textAlignment w:val="auto"/>
        <w:rPr>
          <w:rFonts w:hint="eastAsia" w:ascii="宋体" w:eastAsia="宋体"/>
          <w:b/>
          <w:color w:val="auto"/>
          <w:sz w:val="32"/>
        </w:rPr>
      </w:pPr>
      <w:r>
        <w:rPr>
          <w:rFonts w:hint="eastAsia" w:ascii="宋体" w:eastAsia="宋体"/>
          <w:b/>
          <w:color w:val="auto"/>
          <w:sz w:val="32"/>
        </w:rPr>
        <w:t>【适用主体】</w:t>
      </w:r>
    </w:p>
    <w:p>
      <w:pPr>
        <w:pStyle w:val="4"/>
        <w:keepNext w:val="0"/>
        <w:keepLines w:val="0"/>
        <w:pageBreakBefore w:val="0"/>
        <w:widowControl w:val="0"/>
        <w:kinsoku/>
        <w:wordWrap/>
        <w:overflowPunct/>
        <w:topLinePunct w:val="0"/>
        <w:autoSpaceDE w:val="0"/>
        <w:autoSpaceDN w:val="0"/>
        <w:bidi w:val="0"/>
        <w:adjustRightInd/>
        <w:snapToGrid/>
        <w:ind w:left="960" w:firstLine="0"/>
        <w:jc w:val="both"/>
        <w:textAlignment w:val="auto"/>
        <w:rPr>
          <w:color w:val="auto"/>
        </w:rPr>
      </w:pPr>
      <w:r>
        <w:rPr>
          <w:color w:val="auto"/>
        </w:rPr>
        <w:t>香港市场投资者</w:t>
      </w:r>
    </w:p>
    <w:p>
      <w:pPr>
        <w:keepNext w:val="0"/>
        <w:keepLines w:val="0"/>
        <w:pageBreakBefore w:val="0"/>
        <w:widowControl w:val="0"/>
        <w:kinsoku/>
        <w:wordWrap/>
        <w:overflowPunct/>
        <w:topLinePunct w:val="0"/>
        <w:autoSpaceDE w:val="0"/>
        <w:autoSpaceDN w:val="0"/>
        <w:bidi w:val="0"/>
        <w:adjustRightInd/>
        <w:snapToGrid/>
        <w:spacing w:before="214"/>
        <w:ind w:left="320" w:right="0" w:firstLine="0"/>
        <w:jc w:val="both"/>
        <w:textAlignment w:val="auto"/>
        <w:rPr>
          <w:rFonts w:hint="eastAsia" w:ascii="宋体" w:eastAsia="宋体"/>
          <w:b/>
          <w:color w:val="auto"/>
          <w:sz w:val="32"/>
        </w:rPr>
      </w:pPr>
      <w:r>
        <w:rPr>
          <w:rFonts w:hint="eastAsia" w:ascii="宋体" w:eastAsia="宋体"/>
          <w:b/>
          <w:color w:val="auto"/>
          <w:sz w:val="32"/>
        </w:rPr>
        <w:t>【政策内容】</w:t>
      </w:r>
    </w:p>
    <w:p>
      <w:pPr>
        <w:pStyle w:val="4"/>
        <w:keepNext w:val="0"/>
        <w:keepLines w:val="0"/>
        <w:pageBreakBefore w:val="0"/>
        <w:widowControl w:val="0"/>
        <w:kinsoku/>
        <w:wordWrap/>
        <w:overflowPunct/>
        <w:topLinePunct w:val="0"/>
        <w:autoSpaceDE w:val="0"/>
        <w:autoSpaceDN w:val="0"/>
        <w:bidi w:val="0"/>
        <w:adjustRightInd/>
        <w:snapToGrid/>
        <w:spacing w:line="364" w:lineRule="auto"/>
        <w:ind w:right="495"/>
        <w:jc w:val="both"/>
        <w:textAlignment w:val="auto"/>
        <w:rPr>
          <w:color w:val="auto"/>
        </w:rPr>
      </w:pPr>
      <w:r>
        <w:rPr>
          <w:color w:val="auto"/>
        </w:rPr>
        <w:t>香港市场投资者通过基金互认买卖、继承、赠与内地基金份额，按照内地现行税制规定，暂不征收印花税。</w:t>
      </w:r>
    </w:p>
    <w:p>
      <w:pPr>
        <w:keepNext w:val="0"/>
        <w:keepLines w:val="0"/>
        <w:pageBreakBefore w:val="0"/>
        <w:widowControl w:val="0"/>
        <w:kinsoku/>
        <w:wordWrap/>
        <w:overflowPunct/>
        <w:topLinePunct w:val="0"/>
        <w:autoSpaceDE w:val="0"/>
        <w:autoSpaceDN w:val="0"/>
        <w:bidi w:val="0"/>
        <w:adjustRightInd/>
        <w:snapToGrid/>
        <w:spacing w:before="1"/>
        <w:ind w:left="320" w:right="0" w:firstLine="0"/>
        <w:jc w:val="both"/>
        <w:textAlignment w:val="auto"/>
        <w:rPr>
          <w:rFonts w:hint="eastAsia" w:ascii="宋体" w:eastAsia="宋体"/>
          <w:b/>
          <w:color w:val="auto"/>
          <w:sz w:val="32"/>
        </w:rPr>
      </w:pPr>
      <w:r>
        <w:rPr>
          <w:rFonts w:hint="eastAsia" w:ascii="宋体" w:eastAsia="宋体"/>
          <w:b/>
          <w:color w:val="auto"/>
          <w:sz w:val="32"/>
        </w:rPr>
        <w:t>【适用条件】</w:t>
      </w:r>
    </w:p>
    <w:p>
      <w:pPr>
        <w:pStyle w:val="4"/>
        <w:keepNext w:val="0"/>
        <w:keepLines w:val="0"/>
        <w:pageBreakBefore w:val="0"/>
        <w:widowControl w:val="0"/>
        <w:kinsoku/>
        <w:wordWrap/>
        <w:overflowPunct/>
        <w:topLinePunct w:val="0"/>
        <w:autoSpaceDE w:val="0"/>
        <w:autoSpaceDN w:val="0"/>
        <w:bidi w:val="0"/>
        <w:adjustRightInd/>
        <w:snapToGrid/>
        <w:spacing w:line="364" w:lineRule="auto"/>
        <w:ind w:right="495"/>
        <w:jc w:val="both"/>
        <w:textAlignment w:val="auto"/>
        <w:rPr>
          <w:color w:val="auto"/>
        </w:rPr>
      </w:pPr>
      <w:r>
        <w:rPr>
          <w:color w:val="auto"/>
        </w:rPr>
        <w:t>香港市场投资者通过基金互认买卖、继承、赠与内地基金份额。</w:t>
      </w:r>
    </w:p>
    <w:p>
      <w:pPr>
        <w:keepNext w:val="0"/>
        <w:keepLines w:val="0"/>
        <w:pageBreakBefore w:val="0"/>
        <w:widowControl w:val="0"/>
        <w:kinsoku/>
        <w:wordWrap/>
        <w:overflowPunct/>
        <w:topLinePunct w:val="0"/>
        <w:autoSpaceDE w:val="0"/>
        <w:autoSpaceDN w:val="0"/>
        <w:bidi w:val="0"/>
        <w:adjustRightInd/>
        <w:snapToGrid/>
        <w:spacing w:before="2"/>
        <w:ind w:left="320" w:right="0" w:firstLine="0"/>
        <w:jc w:val="both"/>
        <w:textAlignment w:val="auto"/>
        <w:rPr>
          <w:rFonts w:hint="eastAsia" w:ascii="宋体" w:eastAsia="宋体"/>
          <w:b/>
          <w:color w:val="auto"/>
          <w:sz w:val="32"/>
        </w:rPr>
      </w:pPr>
      <w:r>
        <w:rPr>
          <w:rFonts w:hint="eastAsia" w:ascii="宋体" w:eastAsia="宋体"/>
          <w:b/>
          <w:color w:val="auto"/>
          <w:sz w:val="32"/>
        </w:rPr>
        <w:t>【政策依据】</w:t>
      </w:r>
    </w:p>
    <w:p>
      <w:pPr>
        <w:pStyle w:val="4"/>
        <w:keepNext w:val="0"/>
        <w:keepLines w:val="0"/>
        <w:pageBreakBefore w:val="0"/>
        <w:widowControl w:val="0"/>
        <w:kinsoku/>
        <w:wordWrap/>
        <w:overflowPunct/>
        <w:topLinePunct w:val="0"/>
        <w:autoSpaceDE w:val="0"/>
        <w:autoSpaceDN w:val="0"/>
        <w:bidi w:val="0"/>
        <w:adjustRightInd/>
        <w:snapToGrid/>
        <w:spacing w:before="236" w:line="328" w:lineRule="auto"/>
        <w:ind w:right="537"/>
        <w:jc w:val="both"/>
        <w:textAlignment w:val="auto"/>
        <w:rPr>
          <w:rFonts w:hint="eastAsia" w:ascii="黑体" w:eastAsia="黑体"/>
          <w:color w:val="auto"/>
        </w:rPr>
      </w:pPr>
      <w:r>
        <w:rPr>
          <w:rFonts w:hint="eastAsia" w:ascii="黑体" w:eastAsia="黑体"/>
          <w:color w:val="auto"/>
          <w:spacing w:val="8"/>
        </w:rPr>
        <w:t>《财政部 国家税务总局 证监会关于内地与香港基金</w:t>
      </w:r>
      <w:r>
        <w:rPr>
          <w:rFonts w:hint="eastAsia" w:ascii="黑体" w:eastAsia="黑体"/>
          <w:color w:val="auto"/>
        </w:rPr>
        <w:t>互认有关税收政策的通知》</w:t>
      </w:r>
      <w:r>
        <w:rPr>
          <w:rFonts w:hint="eastAsia" w:ascii="黑体" w:eastAsia="黑体"/>
          <w:color w:val="auto"/>
          <w:spacing w:val="5"/>
        </w:rPr>
        <w:t>（</w:t>
      </w:r>
      <w:r>
        <w:rPr>
          <w:rFonts w:hint="eastAsia" w:ascii="黑体" w:eastAsia="黑体"/>
          <w:color w:val="auto"/>
          <w:spacing w:val="1"/>
        </w:rPr>
        <w:t>财税〔</w:t>
      </w:r>
      <w:r>
        <w:rPr>
          <w:rFonts w:hint="eastAsia" w:ascii="黑体" w:eastAsia="黑体"/>
          <w:color w:val="auto"/>
        </w:rPr>
        <w:t>2015</w:t>
      </w:r>
      <w:r>
        <w:rPr>
          <w:rFonts w:hint="eastAsia" w:ascii="黑体" w:eastAsia="黑体"/>
          <w:color w:val="auto"/>
          <w:spacing w:val="5"/>
        </w:rPr>
        <w:t>〕</w:t>
      </w:r>
      <w:r>
        <w:rPr>
          <w:rFonts w:hint="eastAsia" w:ascii="黑体" w:eastAsia="黑体"/>
          <w:color w:val="auto"/>
        </w:rPr>
        <w:t>125</w:t>
      </w:r>
      <w:r>
        <w:rPr>
          <w:rFonts w:hint="eastAsia" w:ascii="黑体" w:eastAsia="黑体"/>
          <w:color w:val="auto"/>
          <w:spacing w:val="-38"/>
        </w:rPr>
        <w:t xml:space="preserve"> 号</w:t>
      </w:r>
      <w:r>
        <w:rPr>
          <w:rFonts w:hint="eastAsia" w:ascii="黑体" w:eastAsia="黑体"/>
          <w:color w:val="auto"/>
        </w:rPr>
        <w:t>）</w:t>
      </w:r>
      <w:r>
        <w:rPr>
          <w:rFonts w:hint="eastAsia" w:ascii="黑体" w:eastAsia="黑体"/>
          <w:color w:val="auto"/>
          <w:spacing w:val="1"/>
        </w:rPr>
        <w:t>第四条</w:t>
      </w:r>
      <w:r>
        <w:rPr>
          <w:rFonts w:hint="eastAsia" w:ascii="黑体" w:eastAsia="黑体"/>
          <w:color w:val="auto"/>
          <w:spacing w:val="-40"/>
        </w:rPr>
        <w:t xml:space="preserve">第 </w:t>
      </w:r>
      <w:r>
        <w:rPr>
          <w:rFonts w:hint="eastAsia" w:ascii="黑体" w:eastAsia="黑体"/>
          <w:color w:val="auto"/>
        </w:rPr>
        <w:t>1</w:t>
      </w:r>
      <w:r>
        <w:rPr>
          <w:rFonts w:hint="eastAsia" w:ascii="黑体" w:eastAsia="黑体"/>
          <w:color w:val="auto"/>
          <w:spacing w:val="-40"/>
        </w:rPr>
        <w:t xml:space="preserve"> 项</w:t>
      </w:r>
    </w:p>
    <w:p>
      <w:pPr>
        <w:pStyle w:val="4"/>
        <w:keepNext w:val="0"/>
        <w:keepLines w:val="0"/>
        <w:pageBreakBefore w:val="0"/>
        <w:widowControl w:val="0"/>
        <w:kinsoku/>
        <w:wordWrap/>
        <w:overflowPunct/>
        <w:topLinePunct w:val="0"/>
        <w:autoSpaceDE w:val="0"/>
        <w:autoSpaceDN w:val="0"/>
        <w:bidi w:val="0"/>
        <w:adjustRightInd/>
        <w:snapToGrid/>
        <w:spacing w:before="9"/>
        <w:ind w:left="0" w:firstLine="0"/>
        <w:jc w:val="both"/>
        <w:textAlignment w:val="auto"/>
        <w:rPr>
          <w:rFonts w:ascii="黑体"/>
          <w:color w:val="auto"/>
          <w:sz w:val="41"/>
        </w:rPr>
      </w:pPr>
    </w:p>
    <w:p>
      <w:pPr>
        <w:pStyle w:val="3"/>
        <w:keepNext w:val="0"/>
        <w:keepLines w:val="0"/>
        <w:pageBreakBefore w:val="0"/>
        <w:widowControl w:val="0"/>
        <w:numPr>
          <w:ilvl w:val="0"/>
          <w:numId w:val="48"/>
        </w:numPr>
        <w:tabs>
          <w:tab w:val="left" w:pos="805"/>
        </w:tabs>
        <w:kinsoku/>
        <w:wordWrap/>
        <w:overflowPunct/>
        <w:topLinePunct w:val="0"/>
        <w:autoSpaceDE w:val="0"/>
        <w:autoSpaceDN w:val="0"/>
        <w:bidi w:val="0"/>
        <w:adjustRightInd/>
        <w:snapToGrid/>
        <w:spacing w:before="0" w:after="0" w:line="364" w:lineRule="auto"/>
        <w:ind w:left="320" w:right="535" w:firstLine="0"/>
        <w:jc w:val="both"/>
        <w:textAlignment w:val="auto"/>
        <w:rPr>
          <w:color w:val="auto"/>
        </w:rPr>
      </w:pPr>
      <w:bookmarkStart w:id="49" w:name="_TOC_250000"/>
      <w:r>
        <w:rPr>
          <w:color w:val="auto"/>
          <w:spacing w:val="6"/>
          <w:w w:val="95"/>
        </w:rPr>
        <w:t xml:space="preserve">境外机构投资者从事中国境内原油期货交易暂不征收企 </w:t>
      </w:r>
      <w:bookmarkEnd w:id="49"/>
      <w:r>
        <w:rPr>
          <w:color w:val="auto"/>
          <w:spacing w:val="6"/>
        </w:rPr>
        <w:t>业所得税</w:t>
      </w:r>
    </w:p>
    <w:p>
      <w:pPr>
        <w:pStyle w:val="3"/>
        <w:keepNext w:val="0"/>
        <w:keepLines w:val="0"/>
        <w:pageBreakBefore w:val="0"/>
        <w:widowControl w:val="0"/>
        <w:kinsoku/>
        <w:wordWrap/>
        <w:overflowPunct/>
        <w:topLinePunct w:val="0"/>
        <w:autoSpaceDE w:val="0"/>
        <w:autoSpaceDN w:val="0"/>
        <w:bidi w:val="0"/>
        <w:adjustRightInd/>
        <w:snapToGrid/>
        <w:spacing w:before="30"/>
        <w:jc w:val="both"/>
        <w:textAlignment w:val="auto"/>
        <w:rPr>
          <w:color w:val="auto"/>
        </w:rPr>
      </w:pPr>
      <w:r>
        <w:rPr>
          <w:color w:val="auto"/>
        </w:rPr>
        <w:t>【适用主体】</w:t>
      </w:r>
    </w:p>
    <w:p>
      <w:pPr>
        <w:pStyle w:val="4"/>
        <w:keepNext w:val="0"/>
        <w:keepLines w:val="0"/>
        <w:pageBreakBefore w:val="0"/>
        <w:widowControl w:val="0"/>
        <w:kinsoku/>
        <w:wordWrap/>
        <w:overflowPunct/>
        <w:topLinePunct w:val="0"/>
        <w:autoSpaceDE w:val="0"/>
        <w:autoSpaceDN w:val="0"/>
        <w:bidi w:val="0"/>
        <w:adjustRightInd/>
        <w:snapToGrid/>
        <w:ind w:left="960" w:firstLine="0"/>
        <w:jc w:val="both"/>
        <w:textAlignment w:val="auto"/>
        <w:rPr>
          <w:color w:val="auto"/>
        </w:rPr>
      </w:pPr>
      <w:r>
        <w:rPr>
          <w:color w:val="auto"/>
        </w:rPr>
        <w:t>符合条件的境外机构投资者（包括境外经纪机构）</w:t>
      </w:r>
    </w:p>
    <w:p>
      <w:pPr>
        <w:keepNext w:val="0"/>
        <w:keepLines w:val="0"/>
        <w:pageBreakBefore w:val="0"/>
        <w:widowControl w:val="0"/>
        <w:kinsoku/>
        <w:wordWrap/>
        <w:overflowPunct/>
        <w:topLinePunct w:val="0"/>
        <w:autoSpaceDE w:val="0"/>
        <w:autoSpaceDN w:val="0"/>
        <w:bidi w:val="0"/>
        <w:adjustRightInd/>
        <w:snapToGrid/>
        <w:spacing w:before="214"/>
        <w:ind w:left="320" w:right="0" w:firstLine="0"/>
        <w:jc w:val="both"/>
        <w:textAlignment w:val="auto"/>
        <w:rPr>
          <w:rFonts w:hint="eastAsia" w:ascii="宋体" w:eastAsia="宋体"/>
          <w:b/>
          <w:color w:val="auto"/>
          <w:sz w:val="32"/>
        </w:rPr>
      </w:pPr>
      <w:r>
        <w:rPr>
          <w:rFonts w:hint="eastAsia" w:ascii="宋体" w:eastAsia="宋体"/>
          <w:b/>
          <w:color w:val="auto"/>
          <w:sz w:val="32"/>
        </w:rPr>
        <w:t>【政策内容】</w:t>
      </w:r>
    </w:p>
    <w:p>
      <w:pPr>
        <w:pStyle w:val="4"/>
        <w:keepNext w:val="0"/>
        <w:keepLines w:val="0"/>
        <w:pageBreakBefore w:val="0"/>
        <w:widowControl w:val="0"/>
        <w:kinsoku/>
        <w:wordWrap/>
        <w:overflowPunct/>
        <w:topLinePunct w:val="0"/>
        <w:autoSpaceDE w:val="0"/>
        <w:autoSpaceDN w:val="0"/>
        <w:bidi w:val="0"/>
        <w:adjustRightInd/>
        <w:snapToGrid/>
        <w:spacing w:line="364" w:lineRule="auto"/>
        <w:ind w:right="525"/>
        <w:jc w:val="both"/>
        <w:textAlignment w:val="auto"/>
        <w:rPr>
          <w:color w:val="auto"/>
        </w:rPr>
      </w:pPr>
      <w:r>
        <w:rPr>
          <w:color w:val="auto"/>
        </w:rPr>
        <w:t>对在中国境内未设立机构、场所的，或者虽设立机构、场所但取得的所得与其所设机构、场所没有实际联系的境外机构投资者（包括境外经纪机构），从事中国境内原油期货交易取得的所得（不含实物交割所得），暂不征收企业所得税。对境外经纪机构在境外为境外投资者提供中国境内原油期货经纪业务取得的佣金所得，不属于来源于中国境内的劳务所得，不征收企业所得税。</w:t>
      </w:r>
    </w:p>
    <w:p>
      <w:pPr>
        <w:keepNext w:val="0"/>
        <w:keepLines w:val="0"/>
        <w:pageBreakBefore w:val="0"/>
        <w:widowControl w:val="0"/>
        <w:kinsoku/>
        <w:wordWrap/>
        <w:overflowPunct/>
        <w:topLinePunct w:val="0"/>
        <w:autoSpaceDE w:val="0"/>
        <w:autoSpaceDN w:val="0"/>
        <w:bidi w:val="0"/>
        <w:adjustRightInd/>
        <w:snapToGrid/>
        <w:spacing w:before="5"/>
        <w:ind w:left="320" w:right="0" w:firstLine="0"/>
        <w:jc w:val="both"/>
        <w:textAlignment w:val="auto"/>
        <w:rPr>
          <w:rFonts w:hint="eastAsia" w:ascii="宋体" w:eastAsia="宋体"/>
          <w:b/>
          <w:color w:val="auto"/>
          <w:sz w:val="32"/>
        </w:rPr>
      </w:pPr>
      <w:r>
        <w:rPr>
          <w:rFonts w:hint="eastAsia" w:ascii="宋体" w:eastAsia="宋体"/>
          <w:b/>
          <w:color w:val="auto"/>
          <w:sz w:val="32"/>
        </w:rPr>
        <w:t>【适用条件】</w:t>
      </w:r>
    </w:p>
    <w:p>
      <w:pPr>
        <w:pStyle w:val="12"/>
        <w:keepNext w:val="0"/>
        <w:keepLines w:val="0"/>
        <w:pageBreakBefore w:val="0"/>
        <w:widowControl w:val="0"/>
        <w:numPr>
          <w:ilvl w:val="1"/>
          <w:numId w:val="48"/>
        </w:numPr>
        <w:tabs>
          <w:tab w:val="left" w:pos="1283"/>
        </w:tabs>
        <w:kinsoku/>
        <w:wordWrap/>
        <w:overflowPunct/>
        <w:topLinePunct w:val="0"/>
        <w:autoSpaceDE w:val="0"/>
        <w:autoSpaceDN w:val="0"/>
        <w:bidi w:val="0"/>
        <w:adjustRightInd/>
        <w:snapToGrid/>
        <w:spacing w:before="214" w:after="0" w:line="364" w:lineRule="auto"/>
        <w:ind w:left="320" w:right="537" w:firstLine="640"/>
        <w:jc w:val="both"/>
        <w:textAlignment w:val="auto"/>
        <w:rPr>
          <w:color w:val="auto"/>
          <w:sz w:val="30"/>
        </w:rPr>
      </w:pPr>
      <w:r>
        <w:rPr>
          <w:color w:val="auto"/>
          <w:spacing w:val="-1"/>
          <w:w w:val="95"/>
          <w:sz w:val="32"/>
        </w:rPr>
        <w:t>境外机构投资者</w:t>
      </w:r>
      <w:r>
        <w:rPr>
          <w:color w:val="auto"/>
          <w:w w:val="95"/>
          <w:sz w:val="32"/>
        </w:rPr>
        <w:t>（包括境外经纪机构</w:t>
      </w:r>
      <w:r>
        <w:rPr>
          <w:color w:val="auto"/>
          <w:spacing w:val="-5"/>
          <w:w w:val="95"/>
          <w:sz w:val="32"/>
        </w:rPr>
        <w:t>）</w:t>
      </w:r>
      <w:r>
        <w:rPr>
          <w:color w:val="auto"/>
          <w:w w:val="95"/>
          <w:sz w:val="32"/>
        </w:rPr>
        <w:t xml:space="preserve">从事中国境内 </w:t>
      </w:r>
      <w:r>
        <w:rPr>
          <w:color w:val="auto"/>
          <w:sz w:val="32"/>
        </w:rPr>
        <w:t>原油期货交易。</w:t>
      </w:r>
    </w:p>
    <w:p>
      <w:pPr>
        <w:pStyle w:val="12"/>
        <w:keepNext w:val="0"/>
        <w:keepLines w:val="0"/>
        <w:pageBreakBefore w:val="0"/>
        <w:widowControl w:val="0"/>
        <w:numPr>
          <w:ilvl w:val="1"/>
          <w:numId w:val="48"/>
        </w:numPr>
        <w:tabs>
          <w:tab w:val="left" w:pos="1283"/>
        </w:tabs>
        <w:kinsoku/>
        <w:wordWrap/>
        <w:overflowPunct/>
        <w:topLinePunct w:val="0"/>
        <w:autoSpaceDE w:val="0"/>
        <w:autoSpaceDN w:val="0"/>
        <w:bidi w:val="0"/>
        <w:adjustRightInd/>
        <w:snapToGrid/>
        <w:spacing w:before="2" w:after="0" w:line="364" w:lineRule="auto"/>
        <w:ind w:left="320" w:right="537" w:firstLine="640"/>
        <w:jc w:val="both"/>
        <w:textAlignment w:val="auto"/>
        <w:rPr>
          <w:color w:val="auto"/>
          <w:sz w:val="30"/>
        </w:rPr>
      </w:pPr>
      <w:r>
        <w:rPr>
          <w:color w:val="auto"/>
          <w:spacing w:val="-1"/>
          <w:w w:val="95"/>
          <w:sz w:val="32"/>
        </w:rPr>
        <w:t>境外机构投资者</w:t>
      </w:r>
      <w:r>
        <w:rPr>
          <w:color w:val="auto"/>
          <w:w w:val="95"/>
          <w:sz w:val="32"/>
        </w:rPr>
        <w:t>（包括境外经纪机构</w:t>
      </w:r>
      <w:r>
        <w:rPr>
          <w:color w:val="auto"/>
          <w:spacing w:val="-5"/>
          <w:w w:val="95"/>
          <w:sz w:val="32"/>
        </w:rPr>
        <w:t>）</w:t>
      </w:r>
      <w:r>
        <w:rPr>
          <w:color w:val="auto"/>
          <w:w w:val="95"/>
          <w:sz w:val="32"/>
        </w:rPr>
        <w:t xml:space="preserve">在中国境内未 </w:t>
      </w:r>
      <w:r>
        <w:rPr>
          <w:color w:val="auto"/>
          <w:spacing w:val="-3"/>
          <w:sz w:val="32"/>
        </w:rPr>
        <w:t>设立机构、场所，或者虽设立机构、场所但取得的所得与其所设机构、场所没有实际联系。</w:t>
      </w:r>
    </w:p>
    <w:p>
      <w:pPr>
        <w:keepNext w:val="0"/>
        <w:keepLines w:val="0"/>
        <w:pageBreakBefore w:val="0"/>
        <w:widowControl w:val="0"/>
        <w:kinsoku/>
        <w:wordWrap/>
        <w:overflowPunct/>
        <w:topLinePunct w:val="0"/>
        <w:autoSpaceDE w:val="0"/>
        <w:autoSpaceDN w:val="0"/>
        <w:bidi w:val="0"/>
        <w:adjustRightInd/>
        <w:snapToGrid/>
        <w:spacing w:before="2"/>
        <w:ind w:left="320" w:right="0" w:firstLine="0"/>
        <w:jc w:val="both"/>
        <w:textAlignment w:val="auto"/>
        <w:rPr>
          <w:rFonts w:hint="eastAsia" w:ascii="宋体" w:eastAsia="宋体"/>
          <w:b/>
          <w:color w:val="auto"/>
          <w:sz w:val="32"/>
        </w:rPr>
      </w:pPr>
      <w:r>
        <w:rPr>
          <w:rFonts w:hint="eastAsia" w:ascii="宋体" w:eastAsia="宋体"/>
          <w:b/>
          <w:color w:val="auto"/>
          <w:sz w:val="32"/>
        </w:rPr>
        <w:t>【政策依据】</w:t>
      </w:r>
    </w:p>
    <w:p>
      <w:pPr>
        <w:pStyle w:val="4"/>
        <w:keepNext w:val="0"/>
        <w:keepLines w:val="0"/>
        <w:pageBreakBefore w:val="0"/>
        <w:widowControl w:val="0"/>
        <w:kinsoku/>
        <w:wordWrap/>
        <w:overflowPunct/>
        <w:topLinePunct w:val="0"/>
        <w:autoSpaceDE w:val="0"/>
        <w:autoSpaceDN w:val="0"/>
        <w:bidi w:val="0"/>
        <w:adjustRightInd/>
        <w:snapToGrid/>
        <w:spacing w:before="236" w:line="326" w:lineRule="auto"/>
        <w:ind w:right="540"/>
        <w:jc w:val="both"/>
        <w:textAlignment w:val="auto"/>
        <w:rPr>
          <w:rFonts w:hint="eastAsia" w:ascii="黑体" w:eastAsia="黑体"/>
          <w:color w:val="auto"/>
        </w:rPr>
      </w:pPr>
      <w:r>
        <w:rPr>
          <w:rFonts w:hint="eastAsia" w:ascii="黑体" w:eastAsia="黑体"/>
          <w:color w:val="auto"/>
        </w:rPr>
        <w:t>《财政部 税务总局 证监会关于支持原油等货物期货市场对外开放税收政策的通知》（财税〔2018〕21 号）第一条</w:t>
      </w:r>
    </w:p>
    <w:p>
      <w:pPr>
        <w:keepNext w:val="0"/>
        <w:keepLines w:val="0"/>
        <w:pageBreakBefore w:val="0"/>
        <w:widowControl w:val="0"/>
        <w:kinsoku/>
        <w:wordWrap/>
        <w:overflowPunct/>
        <w:topLinePunct w:val="0"/>
        <w:autoSpaceDE w:val="0"/>
        <w:autoSpaceDN w:val="0"/>
        <w:bidi w:val="0"/>
        <w:adjustRightInd/>
        <w:snapToGrid/>
        <w:spacing w:after="0" w:line="326" w:lineRule="auto"/>
        <w:jc w:val="both"/>
        <w:textAlignment w:val="auto"/>
        <w:rPr>
          <w:rFonts w:hint="eastAsia" w:ascii="黑体" w:eastAsia="黑体"/>
          <w:color w:val="auto"/>
        </w:rPr>
        <w:sectPr>
          <w:footerReference r:id="rId8" w:type="default"/>
          <w:footerReference r:id="rId9" w:type="even"/>
          <w:pgSz w:w="11910" w:h="16840"/>
          <w:pgMar w:top="1500" w:right="1260" w:bottom="1180" w:left="1480" w:header="0" w:footer="993" w:gutter="0"/>
          <w:cols w:space="720" w:num="1"/>
        </w:sectPr>
      </w:pPr>
    </w:p>
    <w:p>
      <w:pPr>
        <w:spacing w:before="22"/>
        <w:ind w:left="1756" w:right="1977" w:firstLine="0"/>
        <w:jc w:val="center"/>
        <w:rPr>
          <w:rFonts w:hint="eastAsia" w:ascii="黑体" w:eastAsia="黑体"/>
          <w:color w:val="auto"/>
          <w:sz w:val="36"/>
        </w:rPr>
      </w:pPr>
      <w:r>
        <w:rPr>
          <w:rFonts w:hint="eastAsia" w:ascii="黑体" w:eastAsia="黑体"/>
          <w:color w:val="auto"/>
          <w:sz w:val="36"/>
        </w:rPr>
        <w:t>稳外贸稳外资税收政策文件目录</w:t>
      </w:r>
    </w:p>
    <w:p>
      <w:pPr>
        <w:pStyle w:val="4"/>
        <w:spacing w:before="0"/>
        <w:ind w:left="0" w:firstLine="0"/>
        <w:rPr>
          <w:rFonts w:ascii="黑体"/>
          <w:color w:val="auto"/>
          <w:sz w:val="20"/>
        </w:rPr>
      </w:pPr>
    </w:p>
    <w:p>
      <w:pPr>
        <w:pStyle w:val="4"/>
        <w:spacing w:before="10"/>
        <w:ind w:left="0" w:firstLine="0"/>
        <w:rPr>
          <w:rFonts w:ascii="黑体"/>
          <w:color w:val="auto"/>
          <w:sz w:val="10"/>
        </w:rPr>
      </w:pPr>
    </w:p>
    <w:tbl>
      <w:tblPr>
        <w:tblStyle w:val="9"/>
        <w:tblW w:w="0" w:type="auto"/>
        <w:tblInd w:w="2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21"/>
        <w:gridCol w:w="5329"/>
        <w:gridCol w:w="22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21" w:type="dxa"/>
          </w:tcPr>
          <w:p>
            <w:pPr>
              <w:pStyle w:val="13"/>
              <w:spacing w:before="188"/>
              <w:ind w:left="199" w:right="189"/>
              <w:jc w:val="center"/>
              <w:rPr>
                <w:b/>
                <w:color w:val="auto"/>
                <w:sz w:val="24"/>
              </w:rPr>
            </w:pPr>
            <w:r>
              <w:rPr>
                <w:b/>
                <w:color w:val="auto"/>
                <w:sz w:val="24"/>
              </w:rPr>
              <w:t>序号</w:t>
            </w:r>
          </w:p>
        </w:tc>
        <w:tc>
          <w:tcPr>
            <w:tcW w:w="5329" w:type="dxa"/>
          </w:tcPr>
          <w:p>
            <w:pPr>
              <w:pStyle w:val="13"/>
              <w:spacing w:before="188"/>
              <w:ind w:left="2163" w:right="2151"/>
              <w:jc w:val="center"/>
              <w:rPr>
                <w:b/>
                <w:color w:val="auto"/>
                <w:sz w:val="24"/>
              </w:rPr>
            </w:pPr>
            <w:r>
              <w:rPr>
                <w:b/>
                <w:color w:val="auto"/>
                <w:sz w:val="24"/>
              </w:rPr>
              <w:t>文件名称</w:t>
            </w:r>
          </w:p>
        </w:tc>
        <w:tc>
          <w:tcPr>
            <w:tcW w:w="2272" w:type="dxa"/>
          </w:tcPr>
          <w:p>
            <w:pPr>
              <w:pStyle w:val="13"/>
              <w:spacing w:before="188"/>
              <w:ind w:left="873" w:right="866"/>
              <w:jc w:val="center"/>
              <w:rPr>
                <w:b/>
                <w:color w:val="auto"/>
                <w:sz w:val="24"/>
              </w:rPr>
            </w:pPr>
            <w:r>
              <w:rPr>
                <w:b/>
                <w:color w:val="auto"/>
                <w:sz w:val="24"/>
              </w:rPr>
              <w:t>文号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21" w:type="dxa"/>
          </w:tcPr>
          <w:p>
            <w:pPr>
              <w:pStyle w:val="13"/>
              <w:spacing w:before="7"/>
              <w:rPr>
                <w:rFonts w:ascii="黑体"/>
                <w:color w:val="auto"/>
                <w:sz w:val="15"/>
              </w:rPr>
            </w:pPr>
          </w:p>
          <w:p>
            <w:pPr>
              <w:pStyle w:val="13"/>
              <w:ind w:right="122"/>
              <w:jc w:val="center"/>
              <w:rPr>
                <w:color w:val="auto"/>
                <w:sz w:val="22"/>
              </w:rPr>
            </w:pPr>
            <w:r>
              <w:rPr>
                <w:color w:val="auto"/>
                <w:w w:val="100"/>
                <w:sz w:val="22"/>
              </w:rPr>
              <w:t>1</w:t>
            </w:r>
          </w:p>
        </w:tc>
        <w:tc>
          <w:tcPr>
            <w:tcW w:w="5329" w:type="dxa"/>
          </w:tcPr>
          <w:p>
            <w:pPr>
              <w:pStyle w:val="13"/>
              <w:spacing w:before="30" w:line="242" w:lineRule="auto"/>
              <w:ind w:left="108" w:right="96"/>
              <w:rPr>
                <w:color w:val="auto"/>
                <w:sz w:val="24"/>
              </w:rPr>
            </w:pPr>
            <w:r>
              <w:rPr>
                <w:color w:val="auto"/>
                <w:sz w:val="24"/>
              </w:rPr>
              <w:t>财政部 税务总局 证监会关于创新企业境内发行存托凭证试点阶段有关税收政策的公告</w:t>
            </w:r>
          </w:p>
        </w:tc>
        <w:tc>
          <w:tcPr>
            <w:tcW w:w="2272" w:type="dxa"/>
          </w:tcPr>
          <w:p>
            <w:pPr>
              <w:pStyle w:val="13"/>
              <w:spacing w:before="186"/>
              <w:ind w:left="107"/>
              <w:rPr>
                <w:color w:val="auto"/>
                <w:sz w:val="24"/>
              </w:rPr>
            </w:pPr>
            <w:r>
              <w:rPr>
                <w:color w:val="auto"/>
                <w:sz w:val="24"/>
              </w:rPr>
              <w:t>2019 年第 52 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21" w:type="dxa"/>
          </w:tcPr>
          <w:p>
            <w:pPr>
              <w:pStyle w:val="13"/>
              <w:spacing w:before="8"/>
              <w:rPr>
                <w:rFonts w:ascii="黑体"/>
                <w:color w:val="auto"/>
                <w:sz w:val="15"/>
              </w:rPr>
            </w:pPr>
          </w:p>
          <w:p>
            <w:pPr>
              <w:pStyle w:val="13"/>
              <w:ind w:right="122"/>
              <w:jc w:val="center"/>
              <w:rPr>
                <w:color w:val="auto"/>
                <w:sz w:val="22"/>
              </w:rPr>
            </w:pPr>
            <w:r>
              <w:rPr>
                <w:color w:val="auto"/>
                <w:w w:val="100"/>
                <w:sz w:val="22"/>
              </w:rPr>
              <w:t>2</w:t>
            </w:r>
          </w:p>
        </w:tc>
        <w:tc>
          <w:tcPr>
            <w:tcW w:w="5329" w:type="dxa"/>
          </w:tcPr>
          <w:p>
            <w:pPr>
              <w:pStyle w:val="13"/>
              <w:spacing w:before="32" w:line="242" w:lineRule="auto"/>
              <w:ind w:left="108" w:right="96"/>
              <w:rPr>
                <w:color w:val="auto"/>
                <w:sz w:val="24"/>
              </w:rPr>
            </w:pPr>
            <w:r>
              <w:rPr>
                <w:color w:val="auto"/>
                <w:sz w:val="24"/>
              </w:rPr>
              <w:t>财政部 税务总局关于延续境外机构投资境内债券市场企业所得税、增值税政策的公告</w:t>
            </w:r>
          </w:p>
        </w:tc>
        <w:tc>
          <w:tcPr>
            <w:tcW w:w="2272" w:type="dxa"/>
          </w:tcPr>
          <w:p>
            <w:pPr>
              <w:pStyle w:val="13"/>
              <w:spacing w:before="188"/>
              <w:ind w:left="107"/>
              <w:rPr>
                <w:color w:val="auto"/>
                <w:sz w:val="24"/>
              </w:rPr>
            </w:pPr>
            <w:r>
              <w:rPr>
                <w:color w:val="auto"/>
                <w:sz w:val="24"/>
              </w:rPr>
              <w:t>2021 年第 34 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21" w:type="dxa"/>
          </w:tcPr>
          <w:p>
            <w:pPr>
              <w:pStyle w:val="13"/>
              <w:spacing w:before="7"/>
              <w:rPr>
                <w:rFonts w:ascii="黑体"/>
                <w:color w:val="auto"/>
                <w:sz w:val="15"/>
              </w:rPr>
            </w:pPr>
          </w:p>
          <w:p>
            <w:pPr>
              <w:pStyle w:val="13"/>
              <w:ind w:right="122"/>
              <w:jc w:val="center"/>
              <w:rPr>
                <w:color w:val="auto"/>
                <w:sz w:val="22"/>
              </w:rPr>
            </w:pPr>
            <w:r>
              <w:rPr>
                <w:color w:val="auto"/>
                <w:w w:val="100"/>
                <w:sz w:val="22"/>
              </w:rPr>
              <w:t>3</w:t>
            </w:r>
          </w:p>
        </w:tc>
        <w:tc>
          <w:tcPr>
            <w:tcW w:w="5329" w:type="dxa"/>
          </w:tcPr>
          <w:p>
            <w:pPr>
              <w:pStyle w:val="13"/>
              <w:spacing w:before="30" w:line="242" w:lineRule="auto"/>
              <w:ind w:left="108" w:right="96"/>
              <w:rPr>
                <w:color w:val="auto"/>
                <w:sz w:val="24"/>
              </w:rPr>
            </w:pPr>
            <w:r>
              <w:rPr>
                <w:color w:val="auto"/>
                <w:sz w:val="24"/>
              </w:rPr>
              <w:t>财政部 税务总局关于出口货物保险增值税政策的公告</w:t>
            </w:r>
          </w:p>
        </w:tc>
        <w:tc>
          <w:tcPr>
            <w:tcW w:w="2272" w:type="dxa"/>
          </w:tcPr>
          <w:p>
            <w:pPr>
              <w:pStyle w:val="13"/>
              <w:spacing w:before="186"/>
              <w:ind w:left="107"/>
              <w:rPr>
                <w:color w:val="auto"/>
                <w:sz w:val="24"/>
              </w:rPr>
            </w:pPr>
            <w:r>
              <w:rPr>
                <w:color w:val="auto"/>
                <w:sz w:val="24"/>
              </w:rPr>
              <w:t>2021 年第 37 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21" w:type="dxa"/>
          </w:tcPr>
          <w:p>
            <w:pPr>
              <w:pStyle w:val="13"/>
              <w:spacing w:before="8"/>
              <w:rPr>
                <w:rFonts w:ascii="黑体"/>
                <w:color w:val="auto"/>
                <w:sz w:val="15"/>
              </w:rPr>
            </w:pPr>
          </w:p>
          <w:p>
            <w:pPr>
              <w:pStyle w:val="13"/>
              <w:ind w:right="122"/>
              <w:jc w:val="center"/>
              <w:rPr>
                <w:color w:val="auto"/>
                <w:sz w:val="22"/>
              </w:rPr>
            </w:pPr>
            <w:r>
              <w:rPr>
                <w:color w:val="auto"/>
                <w:w w:val="100"/>
                <w:sz w:val="22"/>
              </w:rPr>
              <w:t>4</w:t>
            </w:r>
          </w:p>
        </w:tc>
        <w:tc>
          <w:tcPr>
            <w:tcW w:w="5329" w:type="dxa"/>
          </w:tcPr>
          <w:p>
            <w:pPr>
              <w:pStyle w:val="13"/>
              <w:spacing w:before="32" w:line="242" w:lineRule="auto"/>
              <w:ind w:left="108" w:right="96"/>
              <w:rPr>
                <w:color w:val="auto"/>
                <w:sz w:val="24"/>
              </w:rPr>
            </w:pPr>
            <w:r>
              <w:rPr>
                <w:color w:val="auto"/>
                <w:sz w:val="24"/>
              </w:rPr>
              <w:t>财政部 国家税务总局关于海峡两岸海上直航营业税和企业所得税政策的通知</w:t>
            </w:r>
          </w:p>
        </w:tc>
        <w:tc>
          <w:tcPr>
            <w:tcW w:w="2272" w:type="dxa"/>
          </w:tcPr>
          <w:p>
            <w:pPr>
              <w:pStyle w:val="13"/>
              <w:spacing w:before="188"/>
              <w:ind w:left="107"/>
              <w:rPr>
                <w:color w:val="auto"/>
                <w:sz w:val="24"/>
              </w:rPr>
            </w:pPr>
            <w:r>
              <w:rPr>
                <w:color w:val="auto"/>
                <w:sz w:val="24"/>
              </w:rPr>
              <w:t>财税〔2009〕4 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921" w:type="dxa"/>
          </w:tcPr>
          <w:p>
            <w:pPr>
              <w:pStyle w:val="13"/>
              <w:spacing w:before="8"/>
              <w:rPr>
                <w:rFonts w:ascii="黑体"/>
                <w:color w:val="auto"/>
                <w:sz w:val="25"/>
              </w:rPr>
            </w:pPr>
          </w:p>
          <w:p>
            <w:pPr>
              <w:pStyle w:val="13"/>
              <w:spacing w:before="1"/>
              <w:ind w:right="122"/>
              <w:jc w:val="center"/>
              <w:rPr>
                <w:color w:val="auto"/>
                <w:sz w:val="22"/>
              </w:rPr>
            </w:pPr>
            <w:r>
              <w:rPr>
                <w:color w:val="auto"/>
                <w:w w:val="100"/>
                <w:sz w:val="22"/>
              </w:rPr>
              <w:t>5</w:t>
            </w:r>
          </w:p>
        </w:tc>
        <w:tc>
          <w:tcPr>
            <w:tcW w:w="5329" w:type="dxa"/>
          </w:tcPr>
          <w:p>
            <w:pPr>
              <w:pStyle w:val="13"/>
              <w:spacing w:before="2"/>
              <w:ind w:left="108" w:right="-29"/>
              <w:rPr>
                <w:color w:val="auto"/>
                <w:sz w:val="24"/>
              </w:rPr>
            </w:pPr>
            <w:r>
              <w:rPr>
                <w:color w:val="auto"/>
                <w:spacing w:val="8"/>
                <w:sz w:val="24"/>
              </w:rPr>
              <w:t>财政部 国家税务总局关于边境地区一般贸易和</w:t>
            </w:r>
          </w:p>
          <w:p>
            <w:pPr>
              <w:pStyle w:val="13"/>
              <w:spacing w:before="2" w:line="310" w:lineRule="atLeast"/>
              <w:ind w:left="108" w:right="-29"/>
              <w:rPr>
                <w:color w:val="auto"/>
                <w:sz w:val="24"/>
              </w:rPr>
            </w:pPr>
            <w:r>
              <w:rPr>
                <w:color w:val="auto"/>
                <w:spacing w:val="-3"/>
                <w:sz w:val="24"/>
              </w:rPr>
              <w:t>边境小额贸易出口货物以人民币结算准予退</w:t>
            </w:r>
            <w:r>
              <w:rPr>
                <w:color w:val="auto"/>
                <w:sz w:val="24"/>
              </w:rPr>
              <w:t>（免</w:t>
            </w:r>
            <w:r>
              <w:rPr>
                <w:color w:val="auto"/>
                <w:spacing w:val="-12"/>
                <w:sz w:val="24"/>
              </w:rPr>
              <w:t xml:space="preserve">） </w:t>
            </w:r>
            <w:r>
              <w:rPr>
                <w:color w:val="auto"/>
                <w:sz w:val="24"/>
              </w:rPr>
              <w:t>税试点的通知</w:t>
            </w:r>
          </w:p>
        </w:tc>
        <w:tc>
          <w:tcPr>
            <w:tcW w:w="2272" w:type="dxa"/>
          </w:tcPr>
          <w:p>
            <w:pPr>
              <w:pStyle w:val="13"/>
              <w:spacing w:before="6"/>
              <w:rPr>
                <w:rFonts w:ascii="黑体"/>
                <w:color w:val="auto"/>
                <w:sz w:val="24"/>
              </w:rPr>
            </w:pPr>
          </w:p>
          <w:p>
            <w:pPr>
              <w:pStyle w:val="13"/>
              <w:ind w:left="107"/>
              <w:rPr>
                <w:color w:val="auto"/>
                <w:sz w:val="24"/>
              </w:rPr>
            </w:pPr>
            <w:r>
              <w:rPr>
                <w:color w:val="auto"/>
                <w:sz w:val="24"/>
              </w:rPr>
              <w:t>财税〔2010〕26 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21" w:type="dxa"/>
          </w:tcPr>
          <w:p>
            <w:pPr>
              <w:pStyle w:val="13"/>
              <w:spacing w:before="7"/>
              <w:rPr>
                <w:rFonts w:ascii="黑体"/>
                <w:color w:val="auto"/>
                <w:sz w:val="15"/>
              </w:rPr>
            </w:pPr>
          </w:p>
          <w:p>
            <w:pPr>
              <w:pStyle w:val="13"/>
              <w:ind w:right="122"/>
              <w:jc w:val="center"/>
              <w:rPr>
                <w:color w:val="auto"/>
                <w:sz w:val="22"/>
              </w:rPr>
            </w:pPr>
            <w:r>
              <w:rPr>
                <w:color w:val="auto"/>
                <w:w w:val="100"/>
                <w:sz w:val="22"/>
              </w:rPr>
              <w:t>6</w:t>
            </w:r>
          </w:p>
        </w:tc>
        <w:tc>
          <w:tcPr>
            <w:tcW w:w="5329" w:type="dxa"/>
          </w:tcPr>
          <w:p>
            <w:pPr>
              <w:pStyle w:val="13"/>
              <w:spacing w:before="30" w:line="242" w:lineRule="auto"/>
              <w:ind w:left="108" w:right="96"/>
              <w:rPr>
                <w:color w:val="auto"/>
                <w:sz w:val="24"/>
              </w:rPr>
            </w:pPr>
            <w:r>
              <w:rPr>
                <w:color w:val="auto"/>
                <w:sz w:val="24"/>
              </w:rPr>
              <w:t>财政部 国家税务总局关于海峡两岸空中直航营业税和企业所得税政策的通知</w:t>
            </w:r>
          </w:p>
        </w:tc>
        <w:tc>
          <w:tcPr>
            <w:tcW w:w="2272" w:type="dxa"/>
          </w:tcPr>
          <w:p>
            <w:pPr>
              <w:pStyle w:val="13"/>
              <w:spacing w:before="186"/>
              <w:ind w:left="107"/>
              <w:rPr>
                <w:color w:val="auto"/>
                <w:sz w:val="24"/>
              </w:rPr>
            </w:pPr>
            <w:r>
              <w:rPr>
                <w:color w:val="auto"/>
                <w:sz w:val="24"/>
              </w:rPr>
              <w:t>财税〔2010〕63 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921" w:type="dxa"/>
          </w:tcPr>
          <w:p>
            <w:pPr>
              <w:pStyle w:val="13"/>
              <w:spacing w:before="7"/>
              <w:rPr>
                <w:rFonts w:ascii="黑体"/>
                <w:color w:val="auto"/>
                <w:sz w:val="25"/>
              </w:rPr>
            </w:pPr>
          </w:p>
          <w:p>
            <w:pPr>
              <w:pStyle w:val="13"/>
              <w:ind w:right="122"/>
              <w:jc w:val="center"/>
              <w:rPr>
                <w:color w:val="auto"/>
                <w:sz w:val="22"/>
              </w:rPr>
            </w:pPr>
            <w:r>
              <w:rPr>
                <w:color w:val="auto"/>
                <w:w w:val="100"/>
                <w:sz w:val="22"/>
              </w:rPr>
              <w:t>7</w:t>
            </w:r>
          </w:p>
        </w:tc>
        <w:tc>
          <w:tcPr>
            <w:tcW w:w="5329" w:type="dxa"/>
          </w:tcPr>
          <w:p>
            <w:pPr>
              <w:pStyle w:val="13"/>
              <w:spacing w:before="2" w:line="242" w:lineRule="auto"/>
              <w:ind w:left="108" w:right="-29"/>
              <w:rPr>
                <w:color w:val="auto"/>
                <w:sz w:val="24"/>
              </w:rPr>
            </w:pPr>
            <w:r>
              <w:rPr>
                <w:color w:val="auto"/>
                <w:spacing w:val="8"/>
                <w:sz w:val="24"/>
              </w:rPr>
              <w:t>财政部 国家税务总局关于边境地区一般贸易和</w:t>
            </w:r>
            <w:r>
              <w:rPr>
                <w:color w:val="auto"/>
                <w:spacing w:val="5"/>
                <w:sz w:val="24"/>
              </w:rPr>
              <w:t>边境小额贸易出口货物以人民币结算准予退</w:t>
            </w:r>
            <w:r>
              <w:rPr>
                <w:color w:val="auto"/>
                <w:sz w:val="24"/>
              </w:rPr>
              <w:t>（免</w:t>
            </w:r>
            <w:r>
              <w:rPr>
                <w:color w:val="auto"/>
                <w:spacing w:val="-12"/>
                <w:sz w:val="24"/>
              </w:rPr>
              <w:t>）</w:t>
            </w:r>
          </w:p>
          <w:p>
            <w:pPr>
              <w:pStyle w:val="13"/>
              <w:spacing w:before="3" w:line="289" w:lineRule="exact"/>
              <w:ind w:left="108"/>
              <w:rPr>
                <w:color w:val="auto"/>
                <w:sz w:val="24"/>
              </w:rPr>
            </w:pPr>
            <w:r>
              <w:rPr>
                <w:color w:val="auto"/>
                <w:sz w:val="24"/>
              </w:rPr>
              <w:t>税试点的补充通知</w:t>
            </w:r>
          </w:p>
        </w:tc>
        <w:tc>
          <w:tcPr>
            <w:tcW w:w="2272" w:type="dxa"/>
          </w:tcPr>
          <w:p>
            <w:pPr>
              <w:pStyle w:val="13"/>
              <w:spacing w:before="7"/>
              <w:rPr>
                <w:rFonts w:ascii="黑体"/>
                <w:color w:val="auto"/>
                <w:sz w:val="24"/>
              </w:rPr>
            </w:pPr>
          </w:p>
          <w:p>
            <w:pPr>
              <w:pStyle w:val="13"/>
              <w:ind w:left="107"/>
              <w:rPr>
                <w:color w:val="auto"/>
                <w:sz w:val="24"/>
              </w:rPr>
            </w:pPr>
            <w:r>
              <w:rPr>
                <w:color w:val="auto"/>
                <w:sz w:val="24"/>
              </w:rPr>
              <w:t>财税〔2011〕8 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21" w:type="dxa"/>
          </w:tcPr>
          <w:p>
            <w:pPr>
              <w:pStyle w:val="13"/>
              <w:spacing w:before="7"/>
              <w:rPr>
                <w:rFonts w:ascii="黑体"/>
                <w:color w:val="auto"/>
                <w:sz w:val="15"/>
              </w:rPr>
            </w:pPr>
          </w:p>
          <w:p>
            <w:pPr>
              <w:pStyle w:val="13"/>
              <w:spacing w:before="1"/>
              <w:ind w:right="122"/>
              <w:jc w:val="center"/>
              <w:rPr>
                <w:color w:val="auto"/>
                <w:sz w:val="22"/>
              </w:rPr>
            </w:pPr>
            <w:r>
              <w:rPr>
                <w:color w:val="auto"/>
                <w:w w:val="100"/>
                <w:sz w:val="22"/>
              </w:rPr>
              <w:t>8</w:t>
            </w:r>
          </w:p>
        </w:tc>
        <w:tc>
          <w:tcPr>
            <w:tcW w:w="5329" w:type="dxa"/>
          </w:tcPr>
          <w:p>
            <w:pPr>
              <w:pStyle w:val="13"/>
              <w:spacing w:before="31" w:line="242" w:lineRule="auto"/>
              <w:ind w:left="108" w:right="96"/>
              <w:rPr>
                <w:color w:val="auto"/>
                <w:sz w:val="24"/>
              </w:rPr>
            </w:pPr>
            <w:r>
              <w:rPr>
                <w:color w:val="auto"/>
                <w:sz w:val="24"/>
              </w:rPr>
              <w:t>财政部 国家税务总局关于出口货物劳务增值税和消费税政策的通知</w:t>
            </w:r>
          </w:p>
        </w:tc>
        <w:tc>
          <w:tcPr>
            <w:tcW w:w="2272" w:type="dxa"/>
          </w:tcPr>
          <w:p>
            <w:pPr>
              <w:pStyle w:val="13"/>
              <w:spacing w:before="187"/>
              <w:ind w:left="107"/>
              <w:rPr>
                <w:color w:val="auto"/>
                <w:sz w:val="24"/>
              </w:rPr>
            </w:pPr>
            <w:r>
              <w:rPr>
                <w:color w:val="auto"/>
                <w:sz w:val="24"/>
              </w:rPr>
              <w:t>财税〔2012〕39 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21" w:type="dxa"/>
          </w:tcPr>
          <w:p>
            <w:pPr>
              <w:pStyle w:val="13"/>
              <w:spacing w:before="9"/>
              <w:rPr>
                <w:rFonts w:ascii="黑体"/>
                <w:color w:val="auto"/>
                <w:sz w:val="15"/>
              </w:rPr>
            </w:pPr>
          </w:p>
          <w:p>
            <w:pPr>
              <w:pStyle w:val="13"/>
              <w:ind w:right="122"/>
              <w:jc w:val="center"/>
              <w:rPr>
                <w:color w:val="auto"/>
                <w:sz w:val="22"/>
              </w:rPr>
            </w:pPr>
            <w:r>
              <w:rPr>
                <w:color w:val="auto"/>
                <w:w w:val="100"/>
                <w:sz w:val="22"/>
              </w:rPr>
              <w:t>9</w:t>
            </w:r>
          </w:p>
        </w:tc>
        <w:tc>
          <w:tcPr>
            <w:tcW w:w="5329" w:type="dxa"/>
          </w:tcPr>
          <w:p>
            <w:pPr>
              <w:pStyle w:val="13"/>
              <w:spacing w:before="30" w:line="242" w:lineRule="auto"/>
              <w:ind w:left="108" w:right="96"/>
              <w:rPr>
                <w:color w:val="auto"/>
                <w:sz w:val="24"/>
              </w:rPr>
            </w:pPr>
            <w:r>
              <w:rPr>
                <w:color w:val="auto"/>
                <w:sz w:val="24"/>
              </w:rPr>
              <w:t>财政部 国家税务总局关于跨境电子商务零售出口税收政策的通知</w:t>
            </w:r>
          </w:p>
        </w:tc>
        <w:tc>
          <w:tcPr>
            <w:tcW w:w="2272" w:type="dxa"/>
          </w:tcPr>
          <w:p>
            <w:pPr>
              <w:pStyle w:val="13"/>
              <w:spacing w:before="186"/>
              <w:ind w:left="107"/>
              <w:rPr>
                <w:color w:val="auto"/>
                <w:sz w:val="24"/>
              </w:rPr>
            </w:pPr>
            <w:r>
              <w:rPr>
                <w:color w:val="auto"/>
                <w:sz w:val="24"/>
              </w:rPr>
              <w:t>财税〔2013〕96 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21" w:type="dxa"/>
          </w:tcPr>
          <w:p>
            <w:pPr>
              <w:pStyle w:val="13"/>
              <w:spacing w:before="7"/>
              <w:rPr>
                <w:rFonts w:ascii="黑体"/>
                <w:color w:val="auto"/>
                <w:sz w:val="15"/>
              </w:rPr>
            </w:pPr>
          </w:p>
          <w:p>
            <w:pPr>
              <w:pStyle w:val="13"/>
              <w:spacing w:before="1"/>
              <w:ind w:left="67" w:right="189"/>
              <w:jc w:val="center"/>
              <w:rPr>
                <w:color w:val="auto"/>
                <w:sz w:val="22"/>
              </w:rPr>
            </w:pPr>
            <w:r>
              <w:rPr>
                <w:color w:val="auto"/>
                <w:sz w:val="22"/>
              </w:rPr>
              <w:t>10</w:t>
            </w:r>
          </w:p>
        </w:tc>
        <w:tc>
          <w:tcPr>
            <w:tcW w:w="5329" w:type="dxa"/>
          </w:tcPr>
          <w:p>
            <w:pPr>
              <w:pStyle w:val="13"/>
              <w:spacing w:before="31" w:line="242" w:lineRule="auto"/>
              <w:ind w:left="108" w:right="96"/>
              <w:rPr>
                <w:color w:val="auto"/>
                <w:sz w:val="24"/>
              </w:rPr>
            </w:pPr>
            <w:r>
              <w:rPr>
                <w:color w:val="auto"/>
                <w:sz w:val="24"/>
              </w:rPr>
              <w:t>财政部 海关总署 国家税务总局关于在全国开展融资租赁货物出口退税政策试点的通知</w:t>
            </w:r>
          </w:p>
        </w:tc>
        <w:tc>
          <w:tcPr>
            <w:tcW w:w="2272" w:type="dxa"/>
          </w:tcPr>
          <w:p>
            <w:pPr>
              <w:pStyle w:val="13"/>
              <w:spacing w:before="187"/>
              <w:ind w:left="107"/>
              <w:rPr>
                <w:color w:val="auto"/>
                <w:sz w:val="24"/>
              </w:rPr>
            </w:pPr>
            <w:r>
              <w:rPr>
                <w:color w:val="auto"/>
                <w:sz w:val="24"/>
              </w:rPr>
              <w:t>财税〔2014〕62 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921" w:type="dxa"/>
          </w:tcPr>
          <w:p>
            <w:pPr>
              <w:pStyle w:val="13"/>
              <w:spacing w:before="8"/>
              <w:rPr>
                <w:rFonts w:ascii="黑体"/>
                <w:color w:val="auto"/>
                <w:sz w:val="25"/>
              </w:rPr>
            </w:pPr>
          </w:p>
          <w:p>
            <w:pPr>
              <w:pStyle w:val="13"/>
              <w:ind w:left="67" w:right="189"/>
              <w:jc w:val="center"/>
              <w:rPr>
                <w:color w:val="auto"/>
                <w:sz w:val="22"/>
              </w:rPr>
            </w:pPr>
            <w:r>
              <w:rPr>
                <w:color w:val="auto"/>
                <w:sz w:val="22"/>
              </w:rPr>
              <w:t>11</w:t>
            </w:r>
          </w:p>
        </w:tc>
        <w:tc>
          <w:tcPr>
            <w:tcW w:w="5329" w:type="dxa"/>
          </w:tcPr>
          <w:p>
            <w:pPr>
              <w:pStyle w:val="13"/>
              <w:spacing w:before="3"/>
              <w:ind w:left="108"/>
              <w:rPr>
                <w:color w:val="auto"/>
                <w:sz w:val="24"/>
              </w:rPr>
            </w:pPr>
            <w:r>
              <w:rPr>
                <w:color w:val="auto"/>
                <w:spacing w:val="-4"/>
                <w:sz w:val="24"/>
              </w:rPr>
              <w:t xml:space="preserve">财政部 国家税务总局 证监会关于 </w:t>
            </w:r>
            <w:r>
              <w:rPr>
                <w:color w:val="auto"/>
                <w:sz w:val="24"/>
              </w:rPr>
              <w:t>QFII</w:t>
            </w:r>
            <w:r>
              <w:rPr>
                <w:color w:val="auto"/>
                <w:spacing w:val="-40"/>
                <w:sz w:val="24"/>
              </w:rPr>
              <w:t xml:space="preserve"> 和 </w:t>
            </w:r>
            <w:r>
              <w:rPr>
                <w:color w:val="auto"/>
                <w:sz w:val="24"/>
              </w:rPr>
              <w:t>RQFII</w:t>
            </w:r>
          </w:p>
          <w:p>
            <w:pPr>
              <w:pStyle w:val="13"/>
              <w:spacing w:before="2" w:line="310" w:lineRule="atLeast"/>
              <w:ind w:left="108" w:right="96"/>
              <w:rPr>
                <w:color w:val="auto"/>
                <w:sz w:val="24"/>
              </w:rPr>
            </w:pPr>
            <w:r>
              <w:rPr>
                <w:color w:val="auto"/>
                <w:sz w:val="24"/>
              </w:rPr>
              <w:t>取得中国境内的股票等权益性投资资产转让所得暂免征收企业所得税问题的通知</w:t>
            </w:r>
          </w:p>
        </w:tc>
        <w:tc>
          <w:tcPr>
            <w:tcW w:w="2272" w:type="dxa"/>
          </w:tcPr>
          <w:p>
            <w:pPr>
              <w:pStyle w:val="13"/>
              <w:spacing w:before="8"/>
              <w:rPr>
                <w:rFonts w:ascii="黑体"/>
                <w:color w:val="auto"/>
                <w:sz w:val="24"/>
              </w:rPr>
            </w:pPr>
          </w:p>
          <w:p>
            <w:pPr>
              <w:pStyle w:val="13"/>
              <w:ind w:left="107"/>
              <w:rPr>
                <w:color w:val="auto"/>
                <w:sz w:val="24"/>
              </w:rPr>
            </w:pPr>
            <w:r>
              <w:rPr>
                <w:color w:val="auto"/>
                <w:sz w:val="24"/>
              </w:rPr>
              <w:t>财税〔2014〕79 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21" w:type="dxa"/>
          </w:tcPr>
          <w:p>
            <w:pPr>
              <w:pStyle w:val="13"/>
              <w:spacing w:before="8"/>
              <w:rPr>
                <w:rFonts w:ascii="黑体"/>
                <w:color w:val="auto"/>
                <w:sz w:val="15"/>
              </w:rPr>
            </w:pPr>
          </w:p>
          <w:p>
            <w:pPr>
              <w:pStyle w:val="13"/>
              <w:ind w:left="67" w:right="189"/>
              <w:jc w:val="center"/>
              <w:rPr>
                <w:color w:val="auto"/>
                <w:sz w:val="22"/>
              </w:rPr>
            </w:pPr>
            <w:r>
              <w:rPr>
                <w:color w:val="auto"/>
                <w:sz w:val="22"/>
              </w:rPr>
              <w:t>12</w:t>
            </w:r>
          </w:p>
        </w:tc>
        <w:tc>
          <w:tcPr>
            <w:tcW w:w="5329" w:type="dxa"/>
          </w:tcPr>
          <w:p>
            <w:pPr>
              <w:pStyle w:val="13"/>
              <w:spacing w:before="32" w:line="242" w:lineRule="auto"/>
              <w:ind w:left="108" w:right="96"/>
              <w:rPr>
                <w:color w:val="auto"/>
                <w:sz w:val="24"/>
              </w:rPr>
            </w:pPr>
            <w:r>
              <w:rPr>
                <w:color w:val="auto"/>
                <w:sz w:val="24"/>
              </w:rPr>
              <w:t>财政部 国家税务总局 证监会关于沪港股票市场交易互联互通机制试点有关税收政策的通知</w:t>
            </w:r>
          </w:p>
        </w:tc>
        <w:tc>
          <w:tcPr>
            <w:tcW w:w="2272" w:type="dxa"/>
          </w:tcPr>
          <w:p>
            <w:pPr>
              <w:pStyle w:val="13"/>
              <w:spacing w:before="188"/>
              <w:ind w:left="107"/>
              <w:rPr>
                <w:color w:val="auto"/>
                <w:sz w:val="24"/>
              </w:rPr>
            </w:pPr>
            <w:r>
              <w:rPr>
                <w:color w:val="auto"/>
                <w:sz w:val="24"/>
              </w:rPr>
              <w:t>财税〔2014〕81 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21" w:type="dxa"/>
          </w:tcPr>
          <w:p>
            <w:pPr>
              <w:pStyle w:val="13"/>
              <w:spacing w:before="7"/>
              <w:rPr>
                <w:rFonts w:ascii="黑体"/>
                <w:color w:val="auto"/>
                <w:sz w:val="15"/>
              </w:rPr>
            </w:pPr>
          </w:p>
          <w:p>
            <w:pPr>
              <w:pStyle w:val="13"/>
              <w:ind w:left="67" w:right="189"/>
              <w:jc w:val="center"/>
              <w:rPr>
                <w:color w:val="auto"/>
                <w:sz w:val="22"/>
              </w:rPr>
            </w:pPr>
            <w:r>
              <w:rPr>
                <w:color w:val="auto"/>
                <w:sz w:val="22"/>
              </w:rPr>
              <w:t>13</w:t>
            </w:r>
          </w:p>
        </w:tc>
        <w:tc>
          <w:tcPr>
            <w:tcW w:w="5329" w:type="dxa"/>
          </w:tcPr>
          <w:p>
            <w:pPr>
              <w:pStyle w:val="13"/>
              <w:spacing w:before="31" w:line="242" w:lineRule="auto"/>
              <w:ind w:left="108" w:right="96"/>
              <w:rPr>
                <w:color w:val="auto"/>
                <w:sz w:val="24"/>
              </w:rPr>
            </w:pPr>
            <w:r>
              <w:rPr>
                <w:color w:val="auto"/>
                <w:sz w:val="24"/>
              </w:rPr>
              <w:t>财政部 国家税务总局 证监会关于内地与香港基金互认有关税收政策的通知</w:t>
            </w:r>
          </w:p>
        </w:tc>
        <w:tc>
          <w:tcPr>
            <w:tcW w:w="2272" w:type="dxa"/>
          </w:tcPr>
          <w:p>
            <w:pPr>
              <w:pStyle w:val="13"/>
              <w:spacing w:before="187"/>
              <w:ind w:left="107"/>
              <w:rPr>
                <w:color w:val="auto"/>
                <w:sz w:val="24"/>
              </w:rPr>
            </w:pPr>
            <w:r>
              <w:rPr>
                <w:color w:val="auto"/>
                <w:spacing w:val="-8"/>
                <w:sz w:val="24"/>
              </w:rPr>
              <w:t>财税〔</w:t>
            </w:r>
            <w:r>
              <w:rPr>
                <w:color w:val="auto"/>
                <w:sz w:val="24"/>
              </w:rPr>
              <w:t>2015</w:t>
            </w:r>
            <w:r>
              <w:rPr>
                <w:color w:val="auto"/>
                <w:spacing w:val="-22"/>
                <w:sz w:val="24"/>
              </w:rPr>
              <w:t>〕</w:t>
            </w:r>
            <w:r>
              <w:rPr>
                <w:color w:val="auto"/>
                <w:sz w:val="24"/>
              </w:rPr>
              <w:t>125</w:t>
            </w:r>
            <w:r>
              <w:rPr>
                <w:color w:val="auto"/>
                <w:spacing w:val="-30"/>
                <w:sz w:val="24"/>
              </w:rPr>
              <w:t xml:space="preserve"> 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21" w:type="dxa"/>
          </w:tcPr>
          <w:p>
            <w:pPr>
              <w:pStyle w:val="13"/>
              <w:spacing w:before="8"/>
              <w:rPr>
                <w:rFonts w:ascii="黑体"/>
                <w:color w:val="auto"/>
                <w:sz w:val="15"/>
              </w:rPr>
            </w:pPr>
          </w:p>
          <w:p>
            <w:pPr>
              <w:pStyle w:val="13"/>
              <w:ind w:left="67" w:right="189"/>
              <w:jc w:val="center"/>
              <w:rPr>
                <w:color w:val="auto"/>
                <w:sz w:val="22"/>
              </w:rPr>
            </w:pPr>
            <w:r>
              <w:rPr>
                <w:color w:val="auto"/>
                <w:sz w:val="22"/>
              </w:rPr>
              <w:t>14</w:t>
            </w:r>
          </w:p>
        </w:tc>
        <w:tc>
          <w:tcPr>
            <w:tcW w:w="5329" w:type="dxa"/>
          </w:tcPr>
          <w:p>
            <w:pPr>
              <w:pStyle w:val="13"/>
              <w:spacing w:before="32" w:line="242" w:lineRule="auto"/>
              <w:ind w:left="108" w:right="96"/>
              <w:rPr>
                <w:color w:val="auto"/>
                <w:sz w:val="24"/>
              </w:rPr>
            </w:pPr>
            <w:r>
              <w:rPr>
                <w:color w:val="auto"/>
                <w:sz w:val="24"/>
              </w:rPr>
              <w:t>财政部 国家税务总局关于全面推开营业税改征增值税试点的通知</w:t>
            </w:r>
          </w:p>
        </w:tc>
        <w:tc>
          <w:tcPr>
            <w:tcW w:w="2272" w:type="dxa"/>
          </w:tcPr>
          <w:p>
            <w:pPr>
              <w:pStyle w:val="13"/>
              <w:spacing w:before="188"/>
              <w:ind w:left="107"/>
              <w:rPr>
                <w:color w:val="auto"/>
                <w:sz w:val="24"/>
              </w:rPr>
            </w:pPr>
            <w:r>
              <w:rPr>
                <w:color w:val="auto"/>
                <w:sz w:val="24"/>
              </w:rPr>
              <w:t>财税〔2016〕36 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21" w:type="dxa"/>
          </w:tcPr>
          <w:p>
            <w:pPr>
              <w:pStyle w:val="13"/>
              <w:spacing w:before="7"/>
              <w:rPr>
                <w:rFonts w:ascii="黑体"/>
                <w:color w:val="auto"/>
                <w:sz w:val="15"/>
              </w:rPr>
            </w:pPr>
          </w:p>
          <w:p>
            <w:pPr>
              <w:pStyle w:val="13"/>
              <w:ind w:left="67" w:right="189"/>
              <w:jc w:val="center"/>
              <w:rPr>
                <w:color w:val="auto"/>
                <w:sz w:val="22"/>
              </w:rPr>
            </w:pPr>
            <w:r>
              <w:rPr>
                <w:color w:val="auto"/>
                <w:sz w:val="22"/>
              </w:rPr>
              <w:t>15</w:t>
            </w:r>
          </w:p>
        </w:tc>
        <w:tc>
          <w:tcPr>
            <w:tcW w:w="5329" w:type="dxa"/>
          </w:tcPr>
          <w:p>
            <w:pPr>
              <w:pStyle w:val="13"/>
              <w:spacing w:before="31" w:line="242" w:lineRule="auto"/>
              <w:ind w:left="108" w:right="96"/>
              <w:rPr>
                <w:color w:val="auto"/>
                <w:sz w:val="24"/>
              </w:rPr>
            </w:pPr>
            <w:r>
              <w:rPr>
                <w:color w:val="auto"/>
                <w:sz w:val="24"/>
              </w:rPr>
              <w:t>财政部 国家税务总局关于金融机构同业往来等增值税政策的补充通知</w:t>
            </w:r>
          </w:p>
        </w:tc>
        <w:tc>
          <w:tcPr>
            <w:tcW w:w="2272" w:type="dxa"/>
          </w:tcPr>
          <w:p>
            <w:pPr>
              <w:pStyle w:val="13"/>
              <w:spacing w:before="187"/>
              <w:ind w:left="107"/>
              <w:rPr>
                <w:color w:val="auto"/>
                <w:sz w:val="24"/>
              </w:rPr>
            </w:pPr>
            <w:r>
              <w:rPr>
                <w:color w:val="auto"/>
                <w:sz w:val="24"/>
              </w:rPr>
              <w:t>财税〔2016〕70 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7" w:hRule="atLeast"/>
        </w:trPr>
        <w:tc>
          <w:tcPr>
            <w:tcW w:w="921" w:type="dxa"/>
          </w:tcPr>
          <w:p>
            <w:pPr>
              <w:pStyle w:val="13"/>
              <w:spacing w:before="8"/>
              <w:rPr>
                <w:rFonts w:ascii="黑体"/>
                <w:color w:val="auto"/>
                <w:sz w:val="15"/>
              </w:rPr>
            </w:pPr>
          </w:p>
          <w:p>
            <w:pPr>
              <w:pStyle w:val="13"/>
              <w:ind w:left="67" w:right="189"/>
              <w:jc w:val="center"/>
              <w:rPr>
                <w:color w:val="auto"/>
                <w:sz w:val="22"/>
              </w:rPr>
            </w:pPr>
            <w:r>
              <w:rPr>
                <w:color w:val="auto"/>
                <w:sz w:val="22"/>
              </w:rPr>
              <w:t>16</w:t>
            </w:r>
          </w:p>
        </w:tc>
        <w:tc>
          <w:tcPr>
            <w:tcW w:w="5329" w:type="dxa"/>
          </w:tcPr>
          <w:p>
            <w:pPr>
              <w:pStyle w:val="13"/>
              <w:spacing w:before="32" w:line="242" w:lineRule="auto"/>
              <w:ind w:left="108" w:right="96"/>
              <w:rPr>
                <w:color w:val="auto"/>
                <w:sz w:val="24"/>
              </w:rPr>
            </w:pPr>
            <w:r>
              <w:rPr>
                <w:color w:val="auto"/>
                <w:sz w:val="24"/>
              </w:rPr>
              <w:t>财政部 海关总署 国家税务总局关于融资租赁货物出口退税政策有关问题的通知</w:t>
            </w:r>
          </w:p>
        </w:tc>
        <w:tc>
          <w:tcPr>
            <w:tcW w:w="2272" w:type="dxa"/>
          </w:tcPr>
          <w:p>
            <w:pPr>
              <w:pStyle w:val="13"/>
              <w:spacing w:before="188"/>
              <w:ind w:left="107"/>
              <w:rPr>
                <w:color w:val="auto"/>
                <w:sz w:val="24"/>
              </w:rPr>
            </w:pPr>
            <w:r>
              <w:rPr>
                <w:color w:val="auto"/>
                <w:sz w:val="24"/>
              </w:rPr>
              <w:t>财税〔2016〕87 号</w:t>
            </w:r>
          </w:p>
        </w:tc>
      </w:tr>
    </w:tbl>
    <w:p>
      <w:pPr>
        <w:spacing w:after="0"/>
        <w:rPr>
          <w:color w:val="auto"/>
          <w:sz w:val="24"/>
        </w:rPr>
        <w:sectPr>
          <w:footerReference r:id="rId10" w:type="default"/>
          <w:footerReference r:id="rId11" w:type="even"/>
          <w:pgSz w:w="11910" w:h="16840"/>
          <w:pgMar w:top="1480" w:right="1260" w:bottom="1160" w:left="1480" w:header="0" w:footer="975" w:gutter="0"/>
          <w:pgNumType w:start="1"/>
          <w:cols w:space="720" w:num="1"/>
        </w:sectPr>
      </w:pPr>
    </w:p>
    <w:tbl>
      <w:tblPr>
        <w:tblStyle w:val="9"/>
        <w:tblW w:w="0" w:type="auto"/>
        <w:tblInd w:w="2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21"/>
        <w:gridCol w:w="5329"/>
        <w:gridCol w:w="22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21" w:type="dxa"/>
          </w:tcPr>
          <w:p>
            <w:pPr>
              <w:pStyle w:val="13"/>
              <w:spacing w:before="8"/>
              <w:rPr>
                <w:rFonts w:ascii="黑体"/>
                <w:color w:val="auto"/>
                <w:sz w:val="15"/>
              </w:rPr>
            </w:pPr>
          </w:p>
          <w:p>
            <w:pPr>
              <w:pStyle w:val="13"/>
              <w:ind w:left="282"/>
              <w:rPr>
                <w:color w:val="auto"/>
                <w:sz w:val="22"/>
              </w:rPr>
            </w:pPr>
            <w:r>
              <w:rPr>
                <w:color w:val="auto"/>
                <w:sz w:val="22"/>
              </w:rPr>
              <w:t>17</w:t>
            </w:r>
          </w:p>
        </w:tc>
        <w:tc>
          <w:tcPr>
            <w:tcW w:w="5329" w:type="dxa"/>
          </w:tcPr>
          <w:p>
            <w:pPr>
              <w:pStyle w:val="13"/>
              <w:spacing w:before="32" w:line="242" w:lineRule="auto"/>
              <w:ind w:left="108" w:right="96"/>
              <w:rPr>
                <w:color w:val="auto"/>
                <w:sz w:val="24"/>
              </w:rPr>
            </w:pPr>
            <w:r>
              <w:rPr>
                <w:color w:val="auto"/>
                <w:sz w:val="24"/>
              </w:rPr>
              <w:t>财政部 国家税务总局 证监会关于深港股票市场交易互联互通机制试点有关税收政策的通知</w:t>
            </w:r>
          </w:p>
        </w:tc>
        <w:tc>
          <w:tcPr>
            <w:tcW w:w="2272" w:type="dxa"/>
          </w:tcPr>
          <w:p>
            <w:pPr>
              <w:pStyle w:val="13"/>
              <w:spacing w:before="188"/>
              <w:ind w:left="107"/>
              <w:rPr>
                <w:color w:val="auto"/>
                <w:sz w:val="24"/>
              </w:rPr>
            </w:pPr>
            <w:r>
              <w:rPr>
                <w:color w:val="auto"/>
                <w:spacing w:val="-8"/>
                <w:sz w:val="24"/>
              </w:rPr>
              <w:t>财税〔</w:t>
            </w:r>
            <w:r>
              <w:rPr>
                <w:color w:val="auto"/>
                <w:sz w:val="24"/>
              </w:rPr>
              <w:t>2016</w:t>
            </w:r>
            <w:r>
              <w:rPr>
                <w:color w:val="auto"/>
                <w:spacing w:val="-22"/>
                <w:sz w:val="24"/>
              </w:rPr>
              <w:t>〕</w:t>
            </w:r>
            <w:r>
              <w:rPr>
                <w:color w:val="auto"/>
                <w:sz w:val="24"/>
              </w:rPr>
              <w:t>127</w:t>
            </w:r>
            <w:r>
              <w:rPr>
                <w:color w:val="auto"/>
                <w:spacing w:val="-30"/>
                <w:sz w:val="24"/>
              </w:rPr>
              <w:t xml:space="preserve"> 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21" w:type="dxa"/>
          </w:tcPr>
          <w:p>
            <w:pPr>
              <w:pStyle w:val="13"/>
              <w:spacing w:before="7"/>
              <w:rPr>
                <w:rFonts w:ascii="黑体"/>
                <w:color w:val="auto"/>
                <w:sz w:val="15"/>
              </w:rPr>
            </w:pPr>
          </w:p>
          <w:p>
            <w:pPr>
              <w:pStyle w:val="13"/>
              <w:ind w:left="282"/>
              <w:rPr>
                <w:color w:val="auto"/>
                <w:sz w:val="22"/>
              </w:rPr>
            </w:pPr>
            <w:r>
              <w:rPr>
                <w:color w:val="auto"/>
                <w:sz w:val="22"/>
              </w:rPr>
              <w:t>18</w:t>
            </w:r>
          </w:p>
        </w:tc>
        <w:tc>
          <w:tcPr>
            <w:tcW w:w="5329" w:type="dxa"/>
          </w:tcPr>
          <w:p>
            <w:pPr>
              <w:pStyle w:val="13"/>
              <w:spacing w:before="31" w:line="242" w:lineRule="auto"/>
              <w:ind w:left="108" w:right="96"/>
              <w:rPr>
                <w:color w:val="auto"/>
                <w:sz w:val="24"/>
              </w:rPr>
            </w:pPr>
            <w:r>
              <w:rPr>
                <w:color w:val="auto"/>
                <w:sz w:val="24"/>
              </w:rPr>
              <w:t>财政部 海关总署 税务总局关于完善启运港退税政策的通知</w:t>
            </w:r>
          </w:p>
        </w:tc>
        <w:tc>
          <w:tcPr>
            <w:tcW w:w="2272" w:type="dxa"/>
          </w:tcPr>
          <w:p>
            <w:pPr>
              <w:pStyle w:val="13"/>
              <w:spacing w:before="186"/>
              <w:ind w:left="107"/>
              <w:rPr>
                <w:color w:val="auto"/>
                <w:sz w:val="24"/>
              </w:rPr>
            </w:pPr>
            <w:r>
              <w:rPr>
                <w:color w:val="auto"/>
                <w:sz w:val="24"/>
              </w:rPr>
              <w:t>财税〔2018〕5 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21" w:type="dxa"/>
          </w:tcPr>
          <w:p>
            <w:pPr>
              <w:pStyle w:val="13"/>
              <w:spacing w:before="8"/>
              <w:rPr>
                <w:rFonts w:ascii="黑体"/>
                <w:color w:val="auto"/>
                <w:sz w:val="15"/>
              </w:rPr>
            </w:pPr>
          </w:p>
          <w:p>
            <w:pPr>
              <w:pStyle w:val="13"/>
              <w:ind w:left="282"/>
              <w:rPr>
                <w:color w:val="auto"/>
                <w:sz w:val="22"/>
              </w:rPr>
            </w:pPr>
            <w:r>
              <w:rPr>
                <w:color w:val="auto"/>
                <w:sz w:val="22"/>
              </w:rPr>
              <w:t>19</w:t>
            </w:r>
          </w:p>
        </w:tc>
        <w:tc>
          <w:tcPr>
            <w:tcW w:w="5329" w:type="dxa"/>
          </w:tcPr>
          <w:p>
            <w:pPr>
              <w:pStyle w:val="13"/>
              <w:spacing w:before="32" w:line="242" w:lineRule="auto"/>
              <w:ind w:left="108" w:right="96"/>
              <w:rPr>
                <w:color w:val="auto"/>
                <w:sz w:val="24"/>
              </w:rPr>
            </w:pPr>
            <w:r>
              <w:rPr>
                <w:color w:val="auto"/>
                <w:sz w:val="24"/>
              </w:rPr>
              <w:t>财政部 税务总局 证监会关于支持原油等货物期货市场对外开放税收政策的通知</w:t>
            </w:r>
          </w:p>
        </w:tc>
        <w:tc>
          <w:tcPr>
            <w:tcW w:w="2272" w:type="dxa"/>
          </w:tcPr>
          <w:p>
            <w:pPr>
              <w:pStyle w:val="13"/>
              <w:spacing w:before="188"/>
              <w:ind w:left="107"/>
              <w:rPr>
                <w:color w:val="auto"/>
                <w:sz w:val="24"/>
              </w:rPr>
            </w:pPr>
            <w:r>
              <w:rPr>
                <w:color w:val="auto"/>
                <w:sz w:val="24"/>
              </w:rPr>
              <w:t>财税〔2018〕21 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921" w:type="dxa"/>
          </w:tcPr>
          <w:p>
            <w:pPr>
              <w:pStyle w:val="13"/>
              <w:spacing w:before="8"/>
              <w:rPr>
                <w:rFonts w:ascii="黑体"/>
                <w:color w:val="auto"/>
                <w:sz w:val="25"/>
              </w:rPr>
            </w:pPr>
          </w:p>
          <w:p>
            <w:pPr>
              <w:pStyle w:val="13"/>
              <w:spacing w:before="1"/>
              <w:ind w:left="282"/>
              <w:rPr>
                <w:color w:val="auto"/>
                <w:sz w:val="22"/>
              </w:rPr>
            </w:pPr>
            <w:r>
              <w:rPr>
                <w:color w:val="auto"/>
                <w:sz w:val="22"/>
              </w:rPr>
              <w:t>20</w:t>
            </w:r>
          </w:p>
        </w:tc>
        <w:tc>
          <w:tcPr>
            <w:tcW w:w="5329" w:type="dxa"/>
          </w:tcPr>
          <w:p>
            <w:pPr>
              <w:pStyle w:val="13"/>
              <w:spacing w:before="2" w:line="242" w:lineRule="auto"/>
              <w:ind w:left="108" w:right="96"/>
              <w:rPr>
                <w:color w:val="auto"/>
                <w:sz w:val="24"/>
              </w:rPr>
            </w:pPr>
            <w:r>
              <w:rPr>
                <w:color w:val="auto"/>
                <w:sz w:val="24"/>
              </w:rPr>
              <w:t>财政部 税务总局 国家发展改革委 商务部关于扩大境外投资者以分配利润直接投资暂不征收预</w:t>
            </w:r>
          </w:p>
          <w:p>
            <w:pPr>
              <w:pStyle w:val="13"/>
              <w:spacing w:before="3" w:line="290" w:lineRule="exact"/>
              <w:ind w:left="108"/>
              <w:rPr>
                <w:color w:val="auto"/>
                <w:sz w:val="24"/>
              </w:rPr>
            </w:pPr>
            <w:r>
              <w:rPr>
                <w:color w:val="auto"/>
                <w:sz w:val="24"/>
              </w:rPr>
              <w:t>提所得税政策适用范围的通知</w:t>
            </w:r>
          </w:p>
        </w:tc>
        <w:tc>
          <w:tcPr>
            <w:tcW w:w="2272" w:type="dxa"/>
          </w:tcPr>
          <w:p>
            <w:pPr>
              <w:pStyle w:val="13"/>
              <w:spacing w:before="6"/>
              <w:rPr>
                <w:rFonts w:ascii="黑体"/>
                <w:color w:val="auto"/>
                <w:sz w:val="24"/>
              </w:rPr>
            </w:pPr>
          </w:p>
          <w:p>
            <w:pPr>
              <w:pStyle w:val="13"/>
              <w:ind w:left="107"/>
              <w:rPr>
                <w:color w:val="auto"/>
                <w:sz w:val="24"/>
              </w:rPr>
            </w:pPr>
            <w:r>
              <w:rPr>
                <w:color w:val="auto"/>
                <w:spacing w:val="-8"/>
                <w:sz w:val="24"/>
              </w:rPr>
              <w:t>财税〔</w:t>
            </w:r>
            <w:r>
              <w:rPr>
                <w:color w:val="auto"/>
                <w:sz w:val="24"/>
              </w:rPr>
              <w:t>2018</w:t>
            </w:r>
            <w:r>
              <w:rPr>
                <w:color w:val="auto"/>
                <w:spacing w:val="-22"/>
                <w:sz w:val="24"/>
              </w:rPr>
              <w:t>〕</w:t>
            </w:r>
            <w:r>
              <w:rPr>
                <w:color w:val="auto"/>
                <w:sz w:val="24"/>
              </w:rPr>
              <w:t>102</w:t>
            </w:r>
            <w:r>
              <w:rPr>
                <w:color w:val="auto"/>
                <w:spacing w:val="-30"/>
                <w:sz w:val="24"/>
              </w:rPr>
              <w:t xml:space="preserve"> 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21" w:type="dxa"/>
          </w:tcPr>
          <w:p>
            <w:pPr>
              <w:pStyle w:val="13"/>
              <w:spacing w:before="7"/>
              <w:rPr>
                <w:rFonts w:ascii="黑体"/>
                <w:color w:val="auto"/>
                <w:sz w:val="15"/>
              </w:rPr>
            </w:pPr>
          </w:p>
          <w:p>
            <w:pPr>
              <w:pStyle w:val="13"/>
              <w:ind w:left="282"/>
              <w:rPr>
                <w:color w:val="auto"/>
                <w:sz w:val="22"/>
              </w:rPr>
            </w:pPr>
            <w:r>
              <w:rPr>
                <w:color w:val="auto"/>
                <w:sz w:val="22"/>
              </w:rPr>
              <w:t>21</w:t>
            </w:r>
          </w:p>
        </w:tc>
        <w:tc>
          <w:tcPr>
            <w:tcW w:w="5329" w:type="dxa"/>
          </w:tcPr>
          <w:p>
            <w:pPr>
              <w:pStyle w:val="13"/>
              <w:spacing w:before="30" w:line="242" w:lineRule="auto"/>
              <w:ind w:left="108" w:right="96"/>
              <w:rPr>
                <w:color w:val="auto"/>
                <w:sz w:val="24"/>
              </w:rPr>
            </w:pPr>
            <w:r>
              <w:rPr>
                <w:color w:val="auto"/>
                <w:sz w:val="24"/>
              </w:rPr>
              <w:t>财政部 税务总局 商务部 海关总署关于跨境电子商务综合试验区零售出口货物税收政策的通知</w:t>
            </w:r>
          </w:p>
        </w:tc>
        <w:tc>
          <w:tcPr>
            <w:tcW w:w="2272" w:type="dxa"/>
          </w:tcPr>
          <w:p>
            <w:pPr>
              <w:pStyle w:val="13"/>
              <w:spacing w:before="186"/>
              <w:ind w:left="107"/>
              <w:rPr>
                <w:color w:val="auto"/>
                <w:sz w:val="24"/>
              </w:rPr>
            </w:pPr>
            <w:r>
              <w:rPr>
                <w:color w:val="auto"/>
                <w:spacing w:val="-8"/>
                <w:sz w:val="24"/>
              </w:rPr>
              <w:t>财税〔</w:t>
            </w:r>
            <w:r>
              <w:rPr>
                <w:color w:val="auto"/>
                <w:sz w:val="24"/>
              </w:rPr>
              <w:t>2018</w:t>
            </w:r>
            <w:r>
              <w:rPr>
                <w:color w:val="auto"/>
                <w:spacing w:val="-22"/>
                <w:sz w:val="24"/>
              </w:rPr>
              <w:t>〕</w:t>
            </w:r>
            <w:r>
              <w:rPr>
                <w:color w:val="auto"/>
                <w:sz w:val="24"/>
              </w:rPr>
              <w:t>103</w:t>
            </w:r>
            <w:r>
              <w:rPr>
                <w:color w:val="auto"/>
                <w:spacing w:val="-30"/>
                <w:sz w:val="24"/>
              </w:rPr>
              <w:t xml:space="preserve"> 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21" w:type="dxa"/>
          </w:tcPr>
          <w:p>
            <w:pPr>
              <w:pStyle w:val="13"/>
              <w:spacing w:before="8"/>
              <w:rPr>
                <w:rFonts w:ascii="黑体"/>
                <w:color w:val="auto"/>
                <w:sz w:val="15"/>
              </w:rPr>
            </w:pPr>
          </w:p>
          <w:p>
            <w:pPr>
              <w:pStyle w:val="13"/>
              <w:ind w:left="282"/>
              <w:rPr>
                <w:color w:val="auto"/>
                <w:sz w:val="22"/>
              </w:rPr>
            </w:pPr>
            <w:r>
              <w:rPr>
                <w:color w:val="auto"/>
                <w:sz w:val="22"/>
              </w:rPr>
              <w:t>22</w:t>
            </w:r>
          </w:p>
        </w:tc>
        <w:tc>
          <w:tcPr>
            <w:tcW w:w="5329" w:type="dxa"/>
          </w:tcPr>
          <w:p>
            <w:pPr>
              <w:pStyle w:val="13"/>
              <w:spacing w:before="31" w:line="242" w:lineRule="auto"/>
              <w:ind w:left="108" w:right="96"/>
              <w:rPr>
                <w:color w:val="auto"/>
                <w:sz w:val="24"/>
              </w:rPr>
            </w:pPr>
            <w:r>
              <w:rPr>
                <w:color w:val="auto"/>
                <w:sz w:val="24"/>
              </w:rPr>
              <w:t>财政部 税务总局关于境外机构投资境内债券市场企业所得税 增值税政策的通知</w:t>
            </w:r>
          </w:p>
        </w:tc>
        <w:tc>
          <w:tcPr>
            <w:tcW w:w="2272" w:type="dxa"/>
          </w:tcPr>
          <w:p>
            <w:pPr>
              <w:pStyle w:val="13"/>
              <w:spacing w:before="187"/>
              <w:ind w:left="107"/>
              <w:rPr>
                <w:color w:val="auto"/>
                <w:sz w:val="24"/>
              </w:rPr>
            </w:pPr>
            <w:r>
              <w:rPr>
                <w:color w:val="auto"/>
                <w:spacing w:val="-8"/>
                <w:sz w:val="24"/>
              </w:rPr>
              <w:t>财税〔</w:t>
            </w:r>
            <w:r>
              <w:rPr>
                <w:color w:val="auto"/>
                <w:sz w:val="24"/>
              </w:rPr>
              <w:t>2018</w:t>
            </w:r>
            <w:r>
              <w:rPr>
                <w:color w:val="auto"/>
                <w:spacing w:val="-22"/>
                <w:sz w:val="24"/>
              </w:rPr>
              <w:t>〕</w:t>
            </w:r>
            <w:r>
              <w:rPr>
                <w:color w:val="auto"/>
                <w:sz w:val="24"/>
              </w:rPr>
              <w:t>108</w:t>
            </w:r>
            <w:r>
              <w:rPr>
                <w:color w:val="auto"/>
                <w:spacing w:val="-30"/>
                <w:sz w:val="24"/>
              </w:rPr>
              <w:t xml:space="preserve"> 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21" w:type="dxa"/>
          </w:tcPr>
          <w:p>
            <w:pPr>
              <w:pStyle w:val="13"/>
              <w:spacing w:before="7"/>
              <w:rPr>
                <w:rFonts w:ascii="黑体"/>
                <w:color w:val="auto"/>
                <w:sz w:val="15"/>
              </w:rPr>
            </w:pPr>
          </w:p>
          <w:p>
            <w:pPr>
              <w:pStyle w:val="13"/>
              <w:ind w:left="282"/>
              <w:rPr>
                <w:color w:val="auto"/>
                <w:sz w:val="22"/>
              </w:rPr>
            </w:pPr>
            <w:r>
              <w:rPr>
                <w:color w:val="auto"/>
                <w:sz w:val="22"/>
              </w:rPr>
              <w:t>23</w:t>
            </w:r>
          </w:p>
        </w:tc>
        <w:tc>
          <w:tcPr>
            <w:tcW w:w="5329" w:type="dxa"/>
          </w:tcPr>
          <w:p>
            <w:pPr>
              <w:pStyle w:val="13"/>
              <w:spacing w:before="30" w:line="242" w:lineRule="auto"/>
              <w:ind w:left="108" w:right="96"/>
              <w:rPr>
                <w:color w:val="auto"/>
                <w:sz w:val="24"/>
              </w:rPr>
            </w:pPr>
            <w:r>
              <w:rPr>
                <w:color w:val="auto"/>
                <w:sz w:val="24"/>
              </w:rPr>
              <w:t>财政部 海关总署 税务总局关于在粤港澳大湾区实行有关增值税政策的通知</w:t>
            </w:r>
          </w:p>
        </w:tc>
        <w:tc>
          <w:tcPr>
            <w:tcW w:w="2272" w:type="dxa"/>
          </w:tcPr>
          <w:p>
            <w:pPr>
              <w:pStyle w:val="13"/>
              <w:spacing w:before="186"/>
              <w:ind w:left="107"/>
              <w:rPr>
                <w:color w:val="auto"/>
                <w:sz w:val="24"/>
              </w:rPr>
            </w:pPr>
            <w:r>
              <w:rPr>
                <w:color w:val="auto"/>
                <w:sz w:val="24"/>
              </w:rPr>
              <w:t>财税〔2020〕48 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921" w:type="dxa"/>
          </w:tcPr>
          <w:p>
            <w:pPr>
              <w:pStyle w:val="13"/>
              <w:spacing w:before="8"/>
              <w:rPr>
                <w:rFonts w:ascii="黑体"/>
                <w:color w:val="auto"/>
                <w:sz w:val="15"/>
              </w:rPr>
            </w:pPr>
          </w:p>
          <w:p>
            <w:pPr>
              <w:pStyle w:val="13"/>
              <w:ind w:left="282"/>
              <w:rPr>
                <w:color w:val="auto"/>
                <w:sz w:val="22"/>
              </w:rPr>
            </w:pPr>
            <w:r>
              <w:rPr>
                <w:color w:val="auto"/>
                <w:sz w:val="22"/>
              </w:rPr>
              <w:t>24</w:t>
            </w:r>
          </w:p>
        </w:tc>
        <w:tc>
          <w:tcPr>
            <w:tcW w:w="5329" w:type="dxa"/>
          </w:tcPr>
          <w:p>
            <w:pPr>
              <w:pStyle w:val="13"/>
              <w:spacing w:before="31" w:line="242" w:lineRule="auto"/>
              <w:ind w:left="108" w:right="96"/>
              <w:rPr>
                <w:color w:val="auto"/>
                <w:sz w:val="24"/>
              </w:rPr>
            </w:pPr>
            <w:r>
              <w:rPr>
                <w:color w:val="auto"/>
                <w:sz w:val="24"/>
              </w:rPr>
              <w:t>财政部 海关总署 税务总局关于海南自由贸易港试行启运港退税政策的通知</w:t>
            </w:r>
          </w:p>
        </w:tc>
        <w:tc>
          <w:tcPr>
            <w:tcW w:w="2272" w:type="dxa"/>
          </w:tcPr>
          <w:p>
            <w:pPr>
              <w:pStyle w:val="13"/>
              <w:spacing w:before="187"/>
              <w:ind w:left="107"/>
              <w:rPr>
                <w:color w:val="auto"/>
                <w:sz w:val="24"/>
              </w:rPr>
            </w:pPr>
            <w:r>
              <w:rPr>
                <w:color w:val="auto"/>
                <w:sz w:val="24"/>
              </w:rPr>
              <w:t>财税〔2021〕1 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21" w:type="dxa"/>
          </w:tcPr>
          <w:p>
            <w:pPr>
              <w:pStyle w:val="13"/>
              <w:spacing w:before="7"/>
              <w:rPr>
                <w:rFonts w:ascii="黑体"/>
                <w:color w:val="auto"/>
                <w:sz w:val="15"/>
              </w:rPr>
            </w:pPr>
          </w:p>
          <w:p>
            <w:pPr>
              <w:pStyle w:val="13"/>
              <w:ind w:left="282"/>
              <w:rPr>
                <w:color w:val="auto"/>
                <w:sz w:val="22"/>
              </w:rPr>
            </w:pPr>
            <w:r>
              <w:rPr>
                <w:color w:val="auto"/>
                <w:sz w:val="22"/>
              </w:rPr>
              <w:t>25</w:t>
            </w:r>
          </w:p>
        </w:tc>
        <w:tc>
          <w:tcPr>
            <w:tcW w:w="5329" w:type="dxa"/>
          </w:tcPr>
          <w:p>
            <w:pPr>
              <w:pStyle w:val="13"/>
              <w:spacing w:before="30" w:line="242" w:lineRule="auto"/>
              <w:ind w:left="108" w:right="96"/>
              <w:rPr>
                <w:color w:val="auto"/>
                <w:sz w:val="24"/>
              </w:rPr>
            </w:pPr>
            <w:r>
              <w:rPr>
                <w:color w:val="auto"/>
                <w:sz w:val="24"/>
              </w:rPr>
              <w:t>财政部 海关总署 税务总局关于中国（上海）自由贸易试验区临港新片区有关增值税政策的通知</w:t>
            </w:r>
          </w:p>
        </w:tc>
        <w:tc>
          <w:tcPr>
            <w:tcW w:w="2272" w:type="dxa"/>
          </w:tcPr>
          <w:p>
            <w:pPr>
              <w:pStyle w:val="13"/>
              <w:spacing w:before="186"/>
              <w:ind w:left="107"/>
              <w:rPr>
                <w:color w:val="auto"/>
                <w:sz w:val="24"/>
              </w:rPr>
            </w:pPr>
            <w:r>
              <w:rPr>
                <w:color w:val="auto"/>
                <w:sz w:val="24"/>
              </w:rPr>
              <w:t>财税〔2021〕3 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21" w:type="dxa"/>
          </w:tcPr>
          <w:p>
            <w:pPr>
              <w:pStyle w:val="13"/>
              <w:spacing w:before="8"/>
              <w:rPr>
                <w:rFonts w:ascii="黑体"/>
                <w:color w:val="auto"/>
                <w:sz w:val="15"/>
              </w:rPr>
            </w:pPr>
          </w:p>
          <w:p>
            <w:pPr>
              <w:pStyle w:val="13"/>
              <w:ind w:left="282"/>
              <w:rPr>
                <w:color w:val="auto"/>
                <w:sz w:val="22"/>
              </w:rPr>
            </w:pPr>
            <w:r>
              <w:rPr>
                <w:color w:val="auto"/>
                <w:sz w:val="22"/>
              </w:rPr>
              <w:t>26</w:t>
            </w:r>
          </w:p>
        </w:tc>
        <w:tc>
          <w:tcPr>
            <w:tcW w:w="5329" w:type="dxa"/>
          </w:tcPr>
          <w:p>
            <w:pPr>
              <w:pStyle w:val="13"/>
              <w:spacing w:before="31" w:line="242" w:lineRule="auto"/>
              <w:ind w:left="108" w:right="96"/>
              <w:rPr>
                <w:color w:val="auto"/>
                <w:sz w:val="24"/>
              </w:rPr>
            </w:pPr>
            <w:r>
              <w:rPr>
                <w:color w:val="auto"/>
                <w:sz w:val="24"/>
              </w:rPr>
              <w:t>财政部 海关总署 税务总局关于陆路启运港退税试点政策的通知</w:t>
            </w:r>
          </w:p>
        </w:tc>
        <w:tc>
          <w:tcPr>
            <w:tcW w:w="2272" w:type="dxa"/>
          </w:tcPr>
          <w:p>
            <w:pPr>
              <w:pStyle w:val="13"/>
              <w:spacing w:before="187"/>
              <w:ind w:left="107"/>
              <w:rPr>
                <w:color w:val="auto"/>
                <w:sz w:val="24"/>
              </w:rPr>
            </w:pPr>
            <w:r>
              <w:rPr>
                <w:color w:val="auto"/>
                <w:sz w:val="24"/>
              </w:rPr>
              <w:t>财税〔2022〕9 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21" w:type="dxa"/>
          </w:tcPr>
          <w:p>
            <w:pPr>
              <w:pStyle w:val="13"/>
              <w:spacing w:before="7"/>
              <w:rPr>
                <w:rFonts w:ascii="黑体"/>
                <w:color w:val="auto"/>
                <w:sz w:val="15"/>
              </w:rPr>
            </w:pPr>
          </w:p>
          <w:p>
            <w:pPr>
              <w:pStyle w:val="13"/>
              <w:ind w:left="282"/>
              <w:rPr>
                <w:color w:val="auto"/>
                <w:sz w:val="22"/>
              </w:rPr>
            </w:pPr>
            <w:r>
              <w:rPr>
                <w:color w:val="auto"/>
                <w:sz w:val="22"/>
              </w:rPr>
              <w:t>27</w:t>
            </w:r>
          </w:p>
        </w:tc>
        <w:tc>
          <w:tcPr>
            <w:tcW w:w="5329" w:type="dxa"/>
          </w:tcPr>
          <w:p>
            <w:pPr>
              <w:pStyle w:val="13"/>
              <w:spacing w:before="30" w:line="242" w:lineRule="auto"/>
              <w:ind w:left="108" w:right="96"/>
              <w:rPr>
                <w:color w:val="auto"/>
                <w:sz w:val="24"/>
              </w:rPr>
            </w:pPr>
            <w:r>
              <w:rPr>
                <w:color w:val="auto"/>
                <w:sz w:val="24"/>
              </w:rPr>
              <w:t>国家税务总局关于发布《适用增值税零税率应税服务退（免）税管理办法》的公告</w:t>
            </w:r>
          </w:p>
        </w:tc>
        <w:tc>
          <w:tcPr>
            <w:tcW w:w="2272" w:type="dxa"/>
          </w:tcPr>
          <w:p>
            <w:pPr>
              <w:pStyle w:val="13"/>
              <w:spacing w:before="186"/>
              <w:ind w:left="107"/>
              <w:rPr>
                <w:color w:val="auto"/>
                <w:sz w:val="24"/>
              </w:rPr>
            </w:pPr>
            <w:r>
              <w:rPr>
                <w:color w:val="auto"/>
                <w:sz w:val="24"/>
              </w:rPr>
              <w:t>2014 年第 11 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921" w:type="dxa"/>
          </w:tcPr>
          <w:p>
            <w:pPr>
              <w:pStyle w:val="13"/>
              <w:rPr>
                <w:rFonts w:ascii="黑体"/>
                <w:color w:val="auto"/>
                <w:sz w:val="22"/>
              </w:rPr>
            </w:pPr>
          </w:p>
          <w:p>
            <w:pPr>
              <w:pStyle w:val="13"/>
              <w:spacing w:before="11"/>
              <w:rPr>
                <w:rFonts w:ascii="黑体"/>
                <w:color w:val="auto"/>
                <w:sz w:val="27"/>
              </w:rPr>
            </w:pPr>
          </w:p>
          <w:p>
            <w:pPr>
              <w:pStyle w:val="13"/>
              <w:ind w:left="282"/>
              <w:rPr>
                <w:color w:val="auto"/>
                <w:sz w:val="22"/>
              </w:rPr>
            </w:pPr>
            <w:r>
              <w:rPr>
                <w:color w:val="auto"/>
                <w:sz w:val="22"/>
              </w:rPr>
              <w:t>28</w:t>
            </w:r>
          </w:p>
        </w:tc>
        <w:tc>
          <w:tcPr>
            <w:tcW w:w="5329" w:type="dxa"/>
          </w:tcPr>
          <w:p>
            <w:pPr>
              <w:pStyle w:val="13"/>
              <w:rPr>
                <w:rFonts w:ascii="黑体"/>
                <w:color w:val="auto"/>
                <w:sz w:val="24"/>
              </w:rPr>
            </w:pPr>
          </w:p>
          <w:p>
            <w:pPr>
              <w:pStyle w:val="13"/>
              <w:spacing w:before="163" w:line="242" w:lineRule="auto"/>
              <w:ind w:left="108" w:right="96"/>
              <w:rPr>
                <w:color w:val="auto"/>
                <w:sz w:val="24"/>
              </w:rPr>
            </w:pPr>
            <w:r>
              <w:rPr>
                <w:color w:val="auto"/>
                <w:sz w:val="24"/>
              </w:rPr>
              <w:t>国家税务总局关于发布《融资租赁货物出口退税管理办法》的公告</w:t>
            </w:r>
          </w:p>
        </w:tc>
        <w:tc>
          <w:tcPr>
            <w:tcW w:w="2272" w:type="dxa"/>
          </w:tcPr>
          <w:p>
            <w:pPr>
              <w:pStyle w:val="13"/>
              <w:spacing w:before="2" w:line="242" w:lineRule="auto"/>
              <w:ind w:left="107" w:right="95"/>
              <w:rPr>
                <w:color w:val="auto"/>
                <w:sz w:val="24"/>
              </w:rPr>
            </w:pPr>
            <w:r>
              <w:rPr>
                <w:color w:val="auto"/>
                <w:sz w:val="24"/>
              </w:rPr>
              <w:t>国家税务总局公告2014</w:t>
            </w:r>
            <w:r>
              <w:rPr>
                <w:color w:val="auto"/>
                <w:spacing w:val="-30"/>
                <w:sz w:val="24"/>
              </w:rPr>
              <w:t xml:space="preserve"> 年第 </w:t>
            </w:r>
            <w:r>
              <w:rPr>
                <w:color w:val="auto"/>
                <w:sz w:val="24"/>
              </w:rPr>
              <w:t>56</w:t>
            </w:r>
            <w:r>
              <w:rPr>
                <w:color w:val="auto"/>
                <w:spacing w:val="-20"/>
                <w:sz w:val="24"/>
              </w:rPr>
              <w:t xml:space="preserve"> 号发布,国家税务总局公</w:t>
            </w:r>
            <w:r>
              <w:rPr>
                <w:color w:val="auto"/>
                <w:spacing w:val="33"/>
                <w:sz w:val="24"/>
              </w:rPr>
              <w:t>告</w:t>
            </w:r>
            <w:r>
              <w:rPr>
                <w:color w:val="auto"/>
                <w:sz w:val="24"/>
              </w:rPr>
              <w:t>2018</w:t>
            </w:r>
            <w:r>
              <w:rPr>
                <w:color w:val="auto"/>
                <w:spacing w:val="-18"/>
                <w:sz w:val="24"/>
              </w:rPr>
              <w:t xml:space="preserve"> 年第</w:t>
            </w:r>
            <w:r>
              <w:rPr>
                <w:color w:val="auto"/>
                <w:sz w:val="24"/>
              </w:rPr>
              <w:t>31</w:t>
            </w:r>
            <w:r>
              <w:rPr>
                <w:color w:val="auto"/>
                <w:spacing w:val="-35"/>
                <w:sz w:val="24"/>
              </w:rPr>
              <w:t xml:space="preserve"> 号修</w:t>
            </w:r>
          </w:p>
          <w:p>
            <w:pPr>
              <w:pStyle w:val="13"/>
              <w:spacing w:before="6" w:line="289" w:lineRule="exact"/>
              <w:ind w:left="107"/>
              <w:rPr>
                <w:color w:val="auto"/>
                <w:sz w:val="24"/>
              </w:rPr>
            </w:pPr>
            <w:r>
              <w:rPr>
                <w:color w:val="auto"/>
                <w:sz w:val="24"/>
              </w:rPr>
              <w:t>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21" w:type="dxa"/>
          </w:tcPr>
          <w:p>
            <w:pPr>
              <w:pStyle w:val="13"/>
              <w:spacing w:before="7"/>
              <w:rPr>
                <w:rFonts w:ascii="黑体"/>
                <w:color w:val="auto"/>
                <w:sz w:val="15"/>
              </w:rPr>
            </w:pPr>
          </w:p>
          <w:p>
            <w:pPr>
              <w:pStyle w:val="13"/>
              <w:spacing w:before="1"/>
              <w:ind w:left="282"/>
              <w:rPr>
                <w:color w:val="auto"/>
                <w:sz w:val="22"/>
              </w:rPr>
            </w:pPr>
            <w:r>
              <w:rPr>
                <w:color w:val="auto"/>
                <w:sz w:val="22"/>
              </w:rPr>
              <w:t>29</w:t>
            </w:r>
          </w:p>
        </w:tc>
        <w:tc>
          <w:tcPr>
            <w:tcW w:w="5329" w:type="dxa"/>
          </w:tcPr>
          <w:p>
            <w:pPr>
              <w:pStyle w:val="13"/>
              <w:spacing w:before="31" w:line="242" w:lineRule="auto"/>
              <w:ind w:left="108" w:right="96"/>
              <w:rPr>
                <w:color w:val="auto"/>
                <w:sz w:val="24"/>
              </w:rPr>
            </w:pPr>
            <w:r>
              <w:rPr>
                <w:color w:val="auto"/>
                <w:sz w:val="24"/>
              </w:rPr>
              <w:t>国家税务总局关于部分税务行政审批事项取消后有关管理问题的公告</w:t>
            </w:r>
          </w:p>
        </w:tc>
        <w:tc>
          <w:tcPr>
            <w:tcW w:w="2272" w:type="dxa"/>
          </w:tcPr>
          <w:p>
            <w:pPr>
              <w:pStyle w:val="13"/>
              <w:spacing w:before="187"/>
              <w:ind w:left="107"/>
              <w:rPr>
                <w:color w:val="auto"/>
                <w:sz w:val="24"/>
              </w:rPr>
            </w:pPr>
            <w:r>
              <w:rPr>
                <w:color w:val="auto"/>
                <w:sz w:val="24"/>
              </w:rPr>
              <w:t>2015 年第 56 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21" w:type="dxa"/>
          </w:tcPr>
          <w:p>
            <w:pPr>
              <w:pStyle w:val="13"/>
              <w:spacing w:before="9"/>
              <w:rPr>
                <w:rFonts w:ascii="黑体"/>
                <w:color w:val="auto"/>
                <w:sz w:val="15"/>
              </w:rPr>
            </w:pPr>
          </w:p>
          <w:p>
            <w:pPr>
              <w:pStyle w:val="13"/>
              <w:ind w:left="282"/>
              <w:rPr>
                <w:color w:val="auto"/>
                <w:sz w:val="22"/>
              </w:rPr>
            </w:pPr>
            <w:r>
              <w:rPr>
                <w:color w:val="auto"/>
                <w:sz w:val="22"/>
              </w:rPr>
              <w:t>30</w:t>
            </w:r>
          </w:p>
        </w:tc>
        <w:tc>
          <w:tcPr>
            <w:tcW w:w="5329" w:type="dxa"/>
          </w:tcPr>
          <w:p>
            <w:pPr>
              <w:pStyle w:val="13"/>
              <w:spacing w:before="30" w:line="242" w:lineRule="auto"/>
              <w:ind w:left="108" w:right="96"/>
              <w:rPr>
                <w:color w:val="auto"/>
                <w:sz w:val="24"/>
              </w:rPr>
            </w:pPr>
            <w:r>
              <w:rPr>
                <w:color w:val="auto"/>
                <w:sz w:val="24"/>
              </w:rPr>
              <w:t>国家税务总局关于《适用增值税零税率应税服务退（免）税管理办法》的补充公告</w:t>
            </w:r>
          </w:p>
        </w:tc>
        <w:tc>
          <w:tcPr>
            <w:tcW w:w="2272" w:type="dxa"/>
          </w:tcPr>
          <w:p>
            <w:pPr>
              <w:pStyle w:val="13"/>
              <w:spacing w:before="186"/>
              <w:ind w:left="107"/>
              <w:rPr>
                <w:color w:val="auto"/>
                <w:sz w:val="24"/>
              </w:rPr>
            </w:pPr>
            <w:r>
              <w:rPr>
                <w:color w:val="auto"/>
                <w:sz w:val="24"/>
              </w:rPr>
              <w:t>2015 年第 88 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921" w:type="dxa"/>
          </w:tcPr>
          <w:p>
            <w:pPr>
              <w:pStyle w:val="13"/>
              <w:rPr>
                <w:rFonts w:ascii="黑体"/>
                <w:color w:val="auto"/>
                <w:sz w:val="22"/>
              </w:rPr>
            </w:pPr>
          </w:p>
          <w:p>
            <w:pPr>
              <w:pStyle w:val="13"/>
              <w:spacing w:before="11"/>
              <w:rPr>
                <w:rFonts w:ascii="黑体"/>
                <w:color w:val="auto"/>
                <w:sz w:val="27"/>
              </w:rPr>
            </w:pPr>
          </w:p>
          <w:p>
            <w:pPr>
              <w:pStyle w:val="13"/>
              <w:ind w:left="282"/>
              <w:rPr>
                <w:color w:val="auto"/>
                <w:sz w:val="22"/>
              </w:rPr>
            </w:pPr>
            <w:r>
              <w:rPr>
                <w:color w:val="auto"/>
                <w:sz w:val="22"/>
              </w:rPr>
              <w:t>31</w:t>
            </w:r>
          </w:p>
        </w:tc>
        <w:tc>
          <w:tcPr>
            <w:tcW w:w="5329" w:type="dxa"/>
          </w:tcPr>
          <w:p>
            <w:pPr>
              <w:pStyle w:val="13"/>
              <w:rPr>
                <w:rFonts w:ascii="黑体"/>
                <w:color w:val="auto"/>
                <w:sz w:val="24"/>
              </w:rPr>
            </w:pPr>
          </w:p>
          <w:p>
            <w:pPr>
              <w:pStyle w:val="13"/>
              <w:spacing w:before="163" w:line="242" w:lineRule="auto"/>
              <w:ind w:left="108" w:right="96"/>
              <w:rPr>
                <w:color w:val="auto"/>
                <w:sz w:val="24"/>
              </w:rPr>
            </w:pPr>
            <w:r>
              <w:rPr>
                <w:color w:val="auto"/>
                <w:sz w:val="24"/>
              </w:rPr>
              <w:t>国家税务总局关于发布《市场采购贸易方式出口货物免税管理办法（试行）》的公告</w:t>
            </w:r>
          </w:p>
        </w:tc>
        <w:tc>
          <w:tcPr>
            <w:tcW w:w="2272" w:type="dxa"/>
          </w:tcPr>
          <w:p>
            <w:pPr>
              <w:pStyle w:val="13"/>
              <w:spacing w:before="2" w:line="242" w:lineRule="auto"/>
              <w:ind w:left="107" w:right="95"/>
              <w:rPr>
                <w:color w:val="auto"/>
                <w:sz w:val="24"/>
              </w:rPr>
            </w:pPr>
            <w:r>
              <w:rPr>
                <w:color w:val="auto"/>
                <w:sz w:val="24"/>
              </w:rPr>
              <w:t>国家税务总局公告2015</w:t>
            </w:r>
            <w:r>
              <w:rPr>
                <w:color w:val="auto"/>
                <w:spacing w:val="-30"/>
                <w:sz w:val="24"/>
              </w:rPr>
              <w:t xml:space="preserve"> 年第 </w:t>
            </w:r>
            <w:r>
              <w:rPr>
                <w:color w:val="auto"/>
                <w:sz w:val="24"/>
              </w:rPr>
              <w:t>89</w:t>
            </w:r>
            <w:r>
              <w:rPr>
                <w:color w:val="auto"/>
                <w:spacing w:val="-20"/>
                <w:sz w:val="24"/>
              </w:rPr>
              <w:t xml:space="preserve"> 号发</w:t>
            </w:r>
            <w:r>
              <w:rPr>
                <w:color w:val="auto"/>
                <w:spacing w:val="-17"/>
                <w:sz w:val="24"/>
              </w:rPr>
              <w:t>布，国家税务总局公</w:t>
            </w:r>
            <w:r>
              <w:rPr>
                <w:color w:val="auto"/>
                <w:spacing w:val="33"/>
                <w:sz w:val="24"/>
              </w:rPr>
              <w:t>告</w:t>
            </w:r>
            <w:r>
              <w:rPr>
                <w:color w:val="auto"/>
                <w:sz w:val="24"/>
              </w:rPr>
              <w:t>2018</w:t>
            </w:r>
            <w:r>
              <w:rPr>
                <w:color w:val="auto"/>
                <w:spacing w:val="-18"/>
                <w:sz w:val="24"/>
              </w:rPr>
              <w:t xml:space="preserve"> 年第</w:t>
            </w:r>
            <w:r>
              <w:rPr>
                <w:color w:val="auto"/>
                <w:sz w:val="24"/>
              </w:rPr>
              <w:t>31</w:t>
            </w:r>
            <w:r>
              <w:rPr>
                <w:color w:val="auto"/>
                <w:spacing w:val="-35"/>
                <w:sz w:val="24"/>
              </w:rPr>
              <w:t xml:space="preserve"> 号修</w:t>
            </w:r>
          </w:p>
          <w:p>
            <w:pPr>
              <w:pStyle w:val="13"/>
              <w:spacing w:before="6" w:line="290" w:lineRule="exact"/>
              <w:ind w:left="107"/>
              <w:rPr>
                <w:color w:val="auto"/>
                <w:sz w:val="24"/>
              </w:rPr>
            </w:pPr>
            <w:r>
              <w:rPr>
                <w:color w:val="auto"/>
                <w:sz w:val="24"/>
              </w:rPr>
              <w:t>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21" w:type="dxa"/>
          </w:tcPr>
          <w:p>
            <w:pPr>
              <w:pStyle w:val="13"/>
              <w:spacing w:before="7"/>
              <w:rPr>
                <w:rFonts w:ascii="黑体"/>
                <w:color w:val="auto"/>
                <w:sz w:val="15"/>
              </w:rPr>
            </w:pPr>
          </w:p>
          <w:p>
            <w:pPr>
              <w:pStyle w:val="13"/>
              <w:ind w:left="282"/>
              <w:rPr>
                <w:color w:val="auto"/>
                <w:sz w:val="22"/>
              </w:rPr>
            </w:pPr>
            <w:r>
              <w:rPr>
                <w:color w:val="auto"/>
                <w:sz w:val="22"/>
              </w:rPr>
              <w:t>32</w:t>
            </w:r>
          </w:p>
        </w:tc>
        <w:tc>
          <w:tcPr>
            <w:tcW w:w="5329" w:type="dxa"/>
          </w:tcPr>
          <w:p>
            <w:pPr>
              <w:pStyle w:val="13"/>
              <w:spacing w:before="30" w:line="242" w:lineRule="auto"/>
              <w:ind w:left="108" w:right="96"/>
              <w:rPr>
                <w:color w:val="auto"/>
                <w:sz w:val="24"/>
              </w:rPr>
            </w:pPr>
            <w:r>
              <w:rPr>
                <w:color w:val="auto"/>
                <w:sz w:val="24"/>
              </w:rPr>
              <w:t>国家税务总局关于发布《营业税改征增值税跨境应税行为增值税免税管理办法（试行）》的公告</w:t>
            </w:r>
          </w:p>
        </w:tc>
        <w:tc>
          <w:tcPr>
            <w:tcW w:w="2272" w:type="dxa"/>
          </w:tcPr>
          <w:p>
            <w:pPr>
              <w:pStyle w:val="13"/>
              <w:spacing w:before="186"/>
              <w:ind w:left="107"/>
              <w:rPr>
                <w:color w:val="auto"/>
                <w:sz w:val="24"/>
              </w:rPr>
            </w:pPr>
            <w:r>
              <w:rPr>
                <w:color w:val="auto"/>
                <w:sz w:val="24"/>
              </w:rPr>
              <w:t>2016 年第 29 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8" w:hRule="atLeast"/>
        </w:trPr>
        <w:tc>
          <w:tcPr>
            <w:tcW w:w="921" w:type="dxa"/>
          </w:tcPr>
          <w:p>
            <w:pPr>
              <w:pStyle w:val="13"/>
              <w:spacing w:before="8"/>
              <w:rPr>
                <w:rFonts w:ascii="黑体"/>
                <w:color w:val="auto"/>
                <w:sz w:val="15"/>
              </w:rPr>
            </w:pPr>
          </w:p>
          <w:p>
            <w:pPr>
              <w:pStyle w:val="13"/>
              <w:ind w:left="282"/>
              <w:rPr>
                <w:color w:val="auto"/>
                <w:sz w:val="22"/>
              </w:rPr>
            </w:pPr>
            <w:r>
              <w:rPr>
                <w:color w:val="auto"/>
                <w:sz w:val="22"/>
              </w:rPr>
              <w:t>33</w:t>
            </w:r>
          </w:p>
        </w:tc>
        <w:tc>
          <w:tcPr>
            <w:tcW w:w="5329" w:type="dxa"/>
          </w:tcPr>
          <w:p>
            <w:pPr>
              <w:pStyle w:val="13"/>
              <w:spacing w:before="32" w:line="242" w:lineRule="auto"/>
              <w:ind w:left="108" w:right="96"/>
              <w:rPr>
                <w:color w:val="auto"/>
                <w:sz w:val="24"/>
              </w:rPr>
            </w:pPr>
            <w:r>
              <w:rPr>
                <w:color w:val="auto"/>
                <w:sz w:val="24"/>
              </w:rPr>
              <w:t>国家税务总局关于调整完善外贸综合服务企业办理出口货物退（免）税有关事项的公告</w:t>
            </w:r>
          </w:p>
        </w:tc>
        <w:tc>
          <w:tcPr>
            <w:tcW w:w="2272" w:type="dxa"/>
          </w:tcPr>
          <w:p>
            <w:pPr>
              <w:pStyle w:val="13"/>
              <w:spacing w:before="188"/>
              <w:ind w:left="107"/>
              <w:rPr>
                <w:color w:val="auto"/>
                <w:sz w:val="24"/>
              </w:rPr>
            </w:pPr>
            <w:r>
              <w:rPr>
                <w:color w:val="auto"/>
                <w:sz w:val="24"/>
              </w:rPr>
              <w:t>2017 年第 35 号</w:t>
            </w:r>
          </w:p>
        </w:tc>
      </w:tr>
    </w:tbl>
    <w:p>
      <w:pPr>
        <w:spacing w:after="0"/>
        <w:rPr>
          <w:color w:val="auto"/>
          <w:sz w:val="24"/>
        </w:rPr>
        <w:sectPr>
          <w:pgSz w:w="11910" w:h="16840"/>
          <w:pgMar w:top="1420" w:right="1260" w:bottom="1080" w:left="1480" w:header="0" w:footer="895" w:gutter="0"/>
          <w:cols w:space="720" w:num="1"/>
        </w:sectPr>
      </w:pPr>
    </w:p>
    <w:tbl>
      <w:tblPr>
        <w:tblStyle w:val="9"/>
        <w:tblW w:w="0" w:type="auto"/>
        <w:tblInd w:w="2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21"/>
        <w:gridCol w:w="5329"/>
        <w:gridCol w:w="22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21" w:type="dxa"/>
          </w:tcPr>
          <w:p>
            <w:pPr>
              <w:pStyle w:val="13"/>
              <w:spacing w:before="8"/>
              <w:rPr>
                <w:rFonts w:ascii="黑体"/>
                <w:color w:val="auto"/>
                <w:sz w:val="15"/>
              </w:rPr>
            </w:pPr>
          </w:p>
          <w:p>
            <w:pPr>
              <w:pStyle w:val="13"/>
              <w:ind w:left="282"/>
              <w:rPr>
                <w:color w:val="auto"/>
                <w:sz w:val="22"/>
              </w:rPr>
            </w:pPr>
            <w:r>
              <w:rPr>
                <w:color w:val="auto"/>
                <w:sz w:val="22"/>
              </w:rPr>
              <w:t>34</w:t>
            </w:r>
          </w:p>
        </w:tc>
        <w:tc>
          <w:tcPr>
            <w:tcW w:w="5329" w:type="dxa"/>
          </w:tcPr>
          <w:p>
            <w:pPr>
              <w:pStyle w:val="13"/>
              <w:spacing w:before="32" w:line="242" w:lineRule="auto"/>
              <w:ind w:left="108" w:right="96"/>
              <w:rPr>
                <w:color w:val="auto"/>
                <w:sz w:val="24"/>
              </w:rPr>
            </w:pPr>
            <w:r>
              <w:rPr>
                <w:color w:val="auto"/>
                <w:sz w:val="24"/>
              </w:rPr>
              <w:t>国家税务总局关于明确中外合作办学等若干增值税征管问题的公告</w:t>
            </w:r>
          </w:p>
        </w:tc>
        <w:tc>
          <w:tcPr>
            <w:tcW w:w="2272" w:type="dxa"/>
          </w:tcPr>
          <w:p>
            <w:pPr>
              <w:pStyle w:val="13"/>
              <w:spacing w:before="188"/>
              <w:ind w:left="107"/>
              <w:rPr>
                <w:color w:val="auto"/>
                <w:sz w:val="24"/>
              </w:rPr>
            </w:pPr>
            <w:r>
              <w:rPr>
                <w:color w:val="auto"/>
                <w:sz w:val="24"/>
              </w:rPr>
              <w:t>2018 年第 42 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921" w:type="dxa"/>
          </w:tcPr>
          <w:p>
            <w:pPr>
              <w:pStyle w:val="13"/>
              <w:spacing w:before="8"/>
              <w:rPr>
                <w:rFonts w:ascii="黑体"/>
                <w:color w:val="auto"/>
                <w:sz w:val="25"/>
              </w:rPr>
            </w:pPr>
          </w:p>
          <w:p>
            <w:pPr>
              <w:pStyle w:val="13"/>
              <w:spacing w:before="1"/>
              <w:ind w:left="282"/>
              <w:rPr>
                <w:color w:val="auto"/>
                <w:sz w:val="22"/>
              </w:rPr>
            </w:pPr>
            <w:r>
              <w:rPr>
                <w:color w:val="auto"/>
                <w:sz w:val="22"/>
              </w:rPr>
              <w:t>35</w:t>
            </w:r>
          </w:p>
        </w:tc>
        <w:tc>
          <w:tcPr>
            <w:tcW w:w="5329" w:type="dxa"/>
          </w:tcPr>
          <w:p>
            <w:pPr>
              <w:pStyle w:val="13"/>
              <w:spacing w:before="2" w:line="242" w:lineRule="auto"/>
              <w:ind w:left="108" w:right="96"/>
              <w:rPr>
                <w:color w:val="auto"/>
                <w:sz w:val="24"/>
              </w:rPr>
            </w:pPr>
            <w:r>
              <w:rPr>
                <w:color w:val="auto"/>
                <w:sz w:val="24"/>
              </w:rPr>
              <w:t>国家税务总局关于扩大境外投资者以分配利润直接投资暂不征收预提所得税政策适用范围有关问</w:t>
            </w:r>
          </w:p>
          <w:p>
            <w:pPr>
              <w:pStyle w:val="13"/>
              <w:spacing w:before="3" w:line="290" w:lineRule="exact"/>
              <w:ind w:left="108"/>
              <w:rPr>
                <w:color w:val="auto"/>
                <w:sz w:val="24"/>
              </w:rPr>
            </w:pPr>
            <w:r>
              <w:rPr>
                <w:color w:val="auto"/>
                <w:sz w:val="24"/>
              </w:rPr>
              <w:t>题的公告</w:t>
            </w:r>
          </w:p>
        </w:tc>
        <w:tc>
          <w:tcPr>
            <w:tcW w:w="2272" w:type="dxa"/>
          </w:tcPr>
          <w:p>
            <w:pPr>
              <w:pStyle w:val="13"/>
              <w:spacing w:before="6"/>
              <w:rPr>
                <w:rFonts w:ascii="黑体"/>
                <w:color w:val="auto"/>
                <w:sz w:val="24"/>
              </w:rPr>
            </w:pPr>
          </w:p>
          <w:p>
            <w:pPr>
              <w:pStyle w:val="13"/>
              <w:ind w:left="107"/>
              <w:rPr>
                <w:color w:val="auto"/>
                <w:sz w:val="24"/>
              </w:rPr>
            </w:pPr>
            <w:r>
              <w:rPr>
                <w:color w:val="auto"/>
                <w:sz w:val="24"/>
              </w:rPr>
              <w:t>2018 年第 53 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21" w:type="dxa"/>
          </w:tcPr>
          <w:p>
            <w:pPr>
              <w:pStyle w:val="13"/>
              <w:spacing w:before="7"/>
              <w:rPr>
                <w:rFonts w:ascii="黑体"/>
                <w:color w:val="auto"/>
                <w:sz w:val="15"/>
              </w:rPr>
            </w:pPr>
          </w:p>
          <w:p>
            <w:pPr>
              <w:pStyle w:val="13"/>
              <w:ind w:left="282"/>
              <w:rPr>
                <w:color w:val="auto"/>
                <w:sz w:val="22"/>
              </w:rPr>
            </w:pPr>
            <w:r>
              <w:rPr>
                <w:color w:val="auto"/>
                <w:sz w:val="22"/>
              </w:rPr>
              <w:t>36</w:t>
            </w:r>
          </w:p>
        </w:tc>
        <w:tc>
          <w:tcPr>
            <w:tcW w:w="5329" w:type="dxa"/>
          </w:tcPr>
          <w:p>
            <w:pPr>
              <w:pStyle w:val="13"/>
              <w:spacing w:before="30" w:line="242" w:lineRule="auto"/>
              <w:ind w:left="108" w:right="96"/>
              <w:rPr>
                <w:color w:val="auto"/>
                <w:sz w:val="24"/>
              </w:rPr>
            </w:pPr>
            <w:r>
              <w:rPr>
                <w:color w:val="auto"/>
                <w:sz w:val="24"/>
              </w:rPr>
              <w:t>国家税务总局关于发布《启运港退（免）税管理办法（2018 年 12 月 28 日修订）》的公告</w:t>
            </w:r>
          </w:p>
        </w:tc>
        <w:tc>
          <w:tcPr>
            <w:tcW w:w="2272" w:type="dxa"/>
          </w:tcPr>
          <w:p>
            <w:pPr>
              <w:pStyle w:val="13"/>
              <w:spacing w:before="186"/>
              <w:ind w:left="107"/>
              <w:rPr>
                <w:color w:val="auto"/>
                <w:sz w:val="24"/>
              </w:rPr>
            </w:pPr>
            <w:r>
              <w:rPr>
                <w:color w:val="auto"/>
                <w:sz w:val="24"/>
              </w:rPr>
              <w:t>2018 年第 66 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21" w:type="dxa"/>
          </w:tcPr>
          <w:p>
            <w:pPr>
              <w:pStyle w:val="13"/>
              <w:spacing w:before="8"/>
              <w:rPr>
                <w:rFonts w:ascii="黑体"/>
                <w:color w:val="auto"/>
                <w:sz w:val="15"/>
              </w:rPr>
            </w:pPr>
          </w:p>
          <w:p>
            <w:pPr>
              <w:pStyle w:val="13"/>
              <w:ind w:left="282"/>
              <w:rPr>
                <w:color w:val="auto"/>
                <w:sz w:val="22"/>
              </w:rPr>
            </w:pPr>
            <w:r>
              <w:rPr>
                <w:color w:val="auto"/>
                <w:sz w:val="22"/>
              </w:rPr>
              <w:t>37</w:t>
            </w:r>
          </w:p>
        </w:tc>
        <w:tc>
          <w:tcPr>
            <w:tcW w:w="5329" w:type="dxa"/>
          </w:tcPr>
          <w:p>
            <w:pPr>
              <w:pStyle w:val="13"/>
              <w:spacing w:before="31" w:line="242" w:lineRule="auto"/>
              <w:ind w:left="108" w:right="96"/>
              <w:rPr>
                <w:color w:val="auto"/>
                <w:sz w:val="24"/>
              </w:rPr>
            </w:pPr>
            <w:r>
              <w:rPr>
                <w:color w:val="auto"/>
                <w:sz w:val="24"/>
              </w:rPr>
              <w:t>国家税务总局 财政部 海关总署关于在综合保税区推广增值税一般纳税人资格试点的公告</w:t>
            </w:r>
          </w:p>
        </w:tc>
        <w:tc>
          <w:tcPr>
            <w:tcW w:w="2272" w:type="dxa"/>
          </w:tcPr>
          <w:p>
            <w:pPr>
              <w:pStyle w:val="13"/>
              <w:spacing w:before="187"/>
              <w:ind w:left="107"/>
              <w:rPr>
                <w:color w:val="auto"/>
                <w:sz w:val="24"/>
              </w:rPr>
            </w:pPr>
            <w:r>
              <w:rPr>
                <w:color w:val="auto"/>
                <w:sz w:val="24"/>
              </w:rPr>
              <w:t>2019 年第 29 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21" w:type="dxa"/>
          </w:tcPr>
          <w:p>
            <w:pPr>
              <w:pStyle w:val="13"/>
              <w:spacing w:before="7"/>
              <w:rPr>
                <w:rFonts w:ascii="黑体"/>
                <w:color w:val="auto"/>
                <w:sz w:val="15"/>
              </w:rPr>
            </w:pPr>
          </w:p>
          <w:p>
            <w:pPr>
              <w:pStyle w:val="13"/>
              <w:ind w:left="282"/>
              <w:rPr>
                <w:color w:val="auto"/>
                <w:sz w:val="22"/>
              </w:rPr>
            </w:pPr>
            <w:r>
              <w:rPr>
                <w:color w:val="auto"/>
                <w:sz w:val="22"/>
              </w:rPr>
              <w:t>38</w:t>
            </w:r>
          </w:p>
        </w:tc>
        <w:tc>
          <w:tcPr>
            <w:tcW w:w="5329" w:type="dxa"/>
          </w:tcPr>
          <w:p>
            <w:pPr>
              <w:pStyle w:val="13"/>
              <w:spacing w:before="30" w:line="242" w:lineRule="auto"/>
              <w:ind w:left="108" w:right="96"/>
              <w:rPr>
                <w:color w:val="auto"/>
                <w:sz w:val="24"/>
              </w:rPr>
            </w:pPr>
            <w:r>
              <w:rPr>
                <w:color w:val="auto"/>
                <w:sz w:val="24"/>
              </w:rPr>
              <w:t>国家税务总局关于发布《非居民纳税人享受协定待遇管理办法》的公告</w:t>
            </w:r>
          </w:p>
        </w:tc>
        <w:tc>
          <w:tcPr>
            <w:tcW w:w="2272" w:type="dxa"/>
          </w:tcPr>
          <w:p>
            <w:pPr>
              <w:pStyle w:val="13"/>
              <w:spacing w:before="186"/>
              <w:ind w:left="107"/>
              <w:rPr>
                <w:color w:val="auto"/>
                <w:sz w:val="24"/>
              </w:rPr>
            </w:pPr>
            <w:r>
              <w:rPr>
                <w:color w:val="auto"/>
                <w:sz w:val="24"/>
              </w:rPr>
              <w:t>2019 年第 35 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21" w:type="dxa"/>
          </w:tcPr>
          <w:p>
            <w:pPr>
              <w:pStyle w:val="13"/>
              <w:spacing w:before="8"/>
              <w:rPr>
                <w:rFonts w:ascii="黑体"/>
                <w:color w:val="auto"/>
                <w:sz w:val="15"/>
              </w:rPr>
            </w:pPr>
          </w:p>
          <w:p>
            <w:pPr>
              <w:pStyle w:val="13"/>
              <w:ind w:left="282"/>
              <w:rPr>
                <w:color w:val="auto"/>
                <w:sz w:val="22"/>
              </w:rPr>
            </w:pPr>
            <w:r>
              <w:rPr>
                <w:color w:val="auto"/>
                <w:sz w:val="22"/>
              </w:rPr>
              <w:t>39</w:t>
            </w:r>
          </w:p>
        </w:tc>
        <w:tc>
          <w:tcPr>
            <w:tcW w:w="5329" w:type="dxa"/>
          </w:tcPr>
          <w:p>
            <w:pPr>
              <w:pStyle w:val="13"/>
              <w:spacing w:before="31" w:line="242" w:lineRule="auto"/>
              <w:ind w:left="108" w:right="96"/>
              <w:rPr>
                <w:color w:val="auto"/>
                <w:sz w:val="24"/>
              </w:rPr>
            </w:pPr>
            <w:r>
              <w:rPr>
                <w:color w:val="auto"/>
                <w:sz w:val="24"/>
              </w:rPr>
              <w:t>国家税务总局关于跨境电子商务综合试验区零售出口企业所得税核定征收有关问题的公告</w:t>
            </w:r>
          </w:p>
        </w:tc>
        <w:tc>
          <w:tcPr>
            <w:tcW w:w="2272" w:type="dxa"/>
          </w:tcPr>
          <w:p>
            <w:pPr>
              <w:pStyle w:val="13"/>
              <w:spacing w:before="187"/>
              <w:ind w:left="107"/>
              <w:rPr>
                <w:color w:val="auto"/>
                <w:sz w:val="24"/>
              </w:rPr>
            </w:pPr>
            <w:r>
              <w:rPr>
                <w:color w:val="auto"/>
                <w:sz w:val="24"/>
              </w:rPr>
              <w:t>2019 年第 36 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21" w:type="dxa"/>
          </w:tcPr>
          <w:p>
            <w:pPr>
              <w:pStyle w:val="13"/>
              <w:spacing w:before="7"/>
              <w:rPr>
                <w:rFonts w:ascii="黑体"/>
                <w:color w:val="auto"/>
                <w:sz w:val="15"/>
              </w:rPr>
            </w:pPr>
          </w:p>
          <w:p>
            <w:pPr>
              <w:pStyle w:val="13"/>
              <w:ind w:left="282"/>
              <w:rPr>
                <w:color w:val="auto"/>
                <w:sz w:val="22"/>
              </w:rPr>
            </w:pPr>
            <w:r>
              <w:rPr>
                <w:color w:val="auto"/>
                <w:sz w:val="22"/>
              </w:rPr>
              <w:t>40</w:t>
            </w:r>
          </w:p>
        </w:tc>
        <w:tc>
          <w:tcPr>
            <w:tcW w:w="5329" w:type="dxa"/>
          </w:tcPr>
          <w:p>
            <w:pPr>
              <w:pStyle w:val="13"/>
              <w:spacing w:before="30" w:line="242" w:lineRule="auto"/>
              <w:ind w:left="108" w:right="96"/>
              <w:rPr>
                <w:color w:val="auto"/>
                <w:sz w:val="24"/>
              </w:rPr>
            </w:pPr>
            <w:r>
              <w:rPr>
                <w:color w:val="auto"/>
                <w:sz w:val="24"/>
              </w:rPr>
              <w:t>国家税务总局关于优化整合出口退税信息系统更好服务纳税人有关事项的公告</w:t>
            </w:r>
          </w:p>
        </w:tc>
        <w:tc>
          <w:tcPr>
            <w:tcW w:w="2272" w:type="dxa"/>
          </w:tcPr>
          <w:p>
            <w:pPr>
              <w:pStyle w:val="13"/>
              <w:spacing w:before="186"/>
              <w:ind w:left="107"/>
              <w:rPr>
                <w:color w:val="auto"/>
                <w:sz w:val="24"/>
              </w:rPr>
            </w:pPr>
            <w:r>
              <w:rPr>
                <w:color w:val="auto"/>
                <w:sz w:val="24"/>
              </w:rPr>
              <w:t>2021 年第 15 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921" w:type="dxa"/>
          </w:tcPr>
          <w:p>
            <w:pPr>
              <w:pStyle w:val="13"/>
              <w:spacing w:before="8"/>
              <w:rPr>
                <w:rFonts w:ascii="黑体"/>
                <w:color w:val="auto"/>
                <w:sz w:val="15"/>
              </w:rPr>
            </w:pPr>
          </w:p>
          <w:p>
            <w:pPr>
              <w:pStyle w:val="13"/>
              <w:ind w:left="282"/>
              <w:rPr>
                <w:color w:val="auto"/>
                <w:sz w:val="22"/>
              </w:rPr>
            </w:pPr>
            <w:r>
              <w:rPr>
                <w:color w:val="auto"/>
                <w:sz w:val="22"/>
              </w:rPr>
              <w:t>41</w:t>
            </w:r>
          </w:p>
        </w:tc>
        <w:tc>
          <w:tcPr>
            <w:tcW w:w="5329" w:type="dxa"/>
          </w:tcPr>
          <w:p>
            <w:pPr>
              <w:pStyle w:val="13"/>
              <w:spacing w:before="31" w:line="242" w:lineRule="auto"/>
              <w:ind w:left="108" w:right="96"/>
              <w:rPr>
                <w:color w:val="auto"/>
                <w:sz w:val="24"/>
              </w:rPr>
            </w:pPr>
            <w:r>
              <w:rPr>
                <w:color w:val="auto"/>
                <w:sz w:val="24"/>
              </w:rPr>
              <w:t>国家税务总局关于进一步便利出口退税办理 促进外贸平稳发展有关事项的公告</w:t>
            </w:r>
          </w:p>
        </w:tc>
        <w:tc>
          <w:tcPr>
            <w:tcW w:w="2272" w:type="dxa"/>
          </w:tcPr>
          <w:p>
            <w:pPr>
              <w:pStyle w:val="13"/>
              <w:spacing w:before="187"/>
              <w:ind w:left="107"/>
              <w:rPr>
                <w:color w:val="auto"/>
                <w:sz w:val="24"/>
              </w:rPr>
            </w:pPr>
            <w:r>
              <w:rPr>
                <w:color w:val="auto"/>
                <w:sz w:val="24"/>
              </w:rPr>
              <w:t>2022 年第 9 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21" w:type="dxa"/>
          </w:tcPr>
          <w:p>
            <w:pPr>
              <w:pStyle w:val="13"/>
              <w:spacing w:before="7"/>
              <w:rPr>
                <w:rFonts w:ascii="黑体"/>
                <w:color w:val="auto"/>
                <w:sz w:val="15"/>
              </w:rPr>
            </w:pPr>
          </w:p>
          <w:p>
            <w:pPr>
              <w:pStyle w:val="13"/>
              <w:ind w:left="282"/>
              <w:rPr>
                <w:color w:val="auto"/>
                <w:sz w:val="22"/>
              </w:rPr>
            </w:pPr>
            <w:r>
              <w:rPr>
                <w:color w:val="auto"/>
                <w:sz w:val="22"/>
              </w:rPr>
              <w:t>42</w:t>
            </w:r>
          </w:p>
        </w:tc>
        <w:tc>
          <w:tcPr>
            <w:tcW w:w="5329" w:type="dxa"/>
          </w:tcPr>
          <w:p>
            <w:pPr>
              <w:pStyle w:val="13"/>
              <w:spacing w:before="30" w:line="242" w:lineRule="auto"/>
              <w:ind w:left="108" w:right="96"/>
              <w:rPr>
                <w:color w:val="auto"/>
                <w:sz w:val="24"/>
              </w:rPr>
            </w:pPr>
            <w:r>
              <w:rPr>
                <w:color w:val="auto"/>
                <w:sz w:val="24"/>
              </w:rPr>
              <w:t>税务总局等十部门关于进一步加大出口退税支持力度 促进外贸平稳发展的通知</w:t>
            </w:r>
          </w:p>
        </w:tc>
        <w:tc>
          <w:tcPr>
            <w:tcW w:w="2272" w:type="dxa"/>
          </w:tcPr>
          <w:p>
            <w:pPr>
              <w:pStyle w:val="13"/>
              <w:spacing w:before="30" w:line="242" w:lineRule="auto"/>
              <w:ind w:left="107" w:right="-15"/>
              <w:rPr>
                <w:color w:val="auto"/>
                <w:sz w:val="24"/>
              </w:rPr>
            </w:pPr>
            <w:r>
              <w:rPr>
                <w:color w:val="auto"/>
                <w:sz w:val="24"/>
              </w:rPr>
              <w:t>税总货劳发〔2022〕36</w:t>
            </w:r>
            <w:r>
              <w:rPr>
                <w:color w:val="auto"/>
                <w:spacing w:val="-30"/>
                <w:sz w:val="24"/>
              </w:rPr>
              <w:t xml:space="preserve"> 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21" w:type="dxa"/>
          </w:tcPr>
          <w:p>
            <w:pPr>
              <w:pStyle w:val="13"/>
              <w:spacing w:before="8"/>
              <w:rPr>
                <w:rFonts w:ascii="黑体"/>
                <w:color w:val="auto"/>
                <w:sz w:val="15"/>
              </w:rPr>
            </w:pPr>
          </w:p>
          <w:p>
            <w:pPr>
              <w:pStyle w:val="13"/>
              <w:ind w:left="282"/>
              <w:rPr>
                <w:color w:val="auto"/>
                <w:sz w:val="22"/>
              </w:rPr>
            </w:pPr>
            <w:r>
              <w:rPr>
                <w:color w:val="auto"/>
                <w:sz w:val="22"/>
              </w:rPr>
              <w:t>43</w:t>
            </w:r>
          </w:p>
        </w:tc>
        <w:tc>
          <w:tcPr>
            <w:tcW w:w="5329" w:type="dxa"/>
          </w:tcPr>
          <w:p>
            <w:pPr>
              <w:pStyle w:val="13"/>
              <w:spacing w:before="187"/>
              <w:ind w:left="108"/>
              <w:rPr>
                <w:color w:val="auto"/>
                <w:sz w:val="24"/>
              </w:rPr>
            </w:pPr>
            <w:r>
              <w:rPr>
                <w:color w:val="auto"/>
                <w:sz w:val="24"/>
              </w:rPr>
              <w:t>关于加快推进市场采购贸易方式试点工作的函</w:t>
            </w:r>
          </w:p>
        </w:tc>
        <w:tc>
          <w:tcPr>
            <w:tcW w:w="2272" w:type="dxa"/>
          </w:tcPr>
          <w:p>
            <w:pPr>
              <w:pStyle w:val="13"/>
              <w:spacing w:before="31" w:line="242" w:lineRule="auto"/>
              <w:ind w:left="107" w:right="112"/>
              <w:rPr>
                <w:color w:val="auto"/>
                <w:sz w:val="24"/>
              </w:rPr>
            </w:pPr>
            <w:r>
              <w:rPr>
                <w:color w:val="auto"/>
                <w:sz w:val="24"/>
              </w:rPr>
              <w:t>商贸函〔2020〕425 号</w:t>
            </w:r>
          </w:p>
        </w:tc>
      </w:tr>
    </w:tbl>
    <w:p>
      <w:pPr>
        <w:rPr>
          <w:color w:val="auto"/>
        </w:rPr>
      </w:pPr>
    </w:p>
    <w:sectPr>
      <w:pgSz w:w="11910" w:h="16840"/>
      <w:pgMar w:top="1420" w:right="1260" w:bottom="1080" w:left="1480" w:header="0" w:footer="975"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86"/>
    <w:family w:val="swiss"/>
    <w:pitch w:val="default"/>
    <w:sig w:usb0="00000000" w:usb1="00000000" w:usb2="00000001" w:usb3="00000000" w:csb0="0000019F" w:csb1="00000000"/>
  </w:font>
  <w:font w:name="Calibri">
    <w:altName w:val="DejaVu Sans"/>
    <w:panose1 w:val="020F0502020204030204"/>
    <w:charset w:val="86"/>
    <w:family w:val="swiss"/>
    <w:pitch w:val="default"/>
    <w:sig w:usb0="00000000" w:usb1="00000000" w:usb2="00000001" w:usb3="00000000" w:csb0="0000019F" w:csb1="00000000"/>
  </w:font>
  <w:font w:name="Calibri">
    <w:altName w:val="DejaVu Sans"/>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黑体简体">
    <w:altName w:val="方正小标宋简体"/>
    <w:panose1 w:val="03000509000000000000"/>
    <w:charset w:val="86"/>
    <w:family w:val="script"/>
    <w:pitch w:val="default"/>
    <w:sig w:usb0="00000000" w:usb1="00000000" w:usb2="00000000" w:usb3="00000000" w:csb0="00040000" w:csb1="00000000"/>
  </w:font>
  <w:font w:name="方正楷体简体">
    <w:altName w:val="方正楷体_GBK"/>
    <w:panose1 w:val="03000509000000000000"/>
    <w:charset w:val="86"/>
    <w:family w:val="script"/>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anumGothic">
    <w:panose1 w:val="020D0604000000000000"/>
    <w:charset w:val="81"/>
    <w:family w:val="auto"/>
    <w:pitch w:val="default"/>
    <w:sig w:usb0="900002A7" w:usb1="29D7FCFB" w:usb2="00000010" w:usb3="00000000" w:csb0="00080001"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5"/>
                            <w:rPr>
                              <w:rFonts w:hint="default" w:ascii="Times New Roman" w:hAnsi="Times New Roman" w:cs="Times New Roman" w:eastAsiaTheme="minorEastAsia"/>
                              <w:sz w:val="24"/>
                              <w:szCs w:val="24"/>
                              <w:lang w:val="en-US" w:eastAsia="zh-CN"/>
                            </w:rPr>
                          </w:pP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r>
                            <w:rPr>
                              <w:rFonts w:hint="default" w:ascii="Times New Roman" w:hAnsi="Times New Roman" w:cs="Times New Roman"/>
                              <w:sz w:val="24"/>
                              <w:szCs w:val="24"/>
                              <w:lang w:val="en-US" w:eastAsia="zh-CN"/>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CzSVju0AAAAAUBAAAPAAAAAAAAAAEAIAAAADgAAABkcnMvZG93bnJldi54bWxQ&#10;SwECFAAUAAAACACHTuJAR9cchCICAAA4BAAADgAAAAAAAAABACAAAAA1AQAAZHJzL2Uyb0RvYy54&#10;bWxQSwUGAAAAAAYABgBZAQAAyQUAAAAA&#10;">
              <v:fill on="f" focussize="0,0"/>
              <v:stroke on="f" weight="0.5pt"/>
              <v:imagedata o:title=""/>
              <o:lock v:ext="edit" aspectratio="f"/>
              <v:textbox inset="0mm,0mm,0mm,0mm" style="mso-fit-shape-to-text:t;">
                <w:txbxContent>
                  <w:p>
                    <w:pPr>
                      <w:pStyle w:val="5"/>
                      <w:rPr>
                        <w:rFonts w:hint="default" w:ascii="Times New Roman" w:hAnsi="Times New Roman" w:cs="Times New Roman" w:eastAsiaTheme="minorEastAsia"/>
                        <w:sz w:val="24"/>
                        <w:szCs w:val="24"/>
                        <w:lang w:val="en-US" w:eastAsia="zh-CN"/>
                      </w:rPr>
                    </w:pP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r>
                      <w:rPr>
                        <w:rFonts w:hint="default" w:ascii="Times New Roman" w:hAnsi="Times New Roman" w:cs="Times New Roman"/>
                        <w:sz w:val="24"/>
                        <w:szCs w:val="24"/>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0" w:line="14" w:lineRule="auto"/>
      <w:ind w:left="0" w:firstLine="0"/>
      <w:rPr>
        <w:sz w:val="20"/>
      </w:rPr>
    </w:pPr>
    <w:r>
      <mc:AlternateContent>
        <mc:Choice Requires="wps">
          <w:drawing>
            <wp:anchor distT="0" distB="0" distL="114300" distR="114300" simplePos="0" relativeHeight="251659264" behindDoc="1" locked="0" layoutInCell="1" allowOverlap="1">
              <wp:simplePos x="0" y="0"/>
              <wp:positionH relativeFrom="page">
                <wp:posOffset>3738880</wp:posOffset>
              </wp:positionH>
              <wp:positionV relativeFrom="page">
                <wp:posOffset>9921240</wp:posOffset>
              </wp:positionV>
              <wp:extent cx="82550" cy="152400"/>
              <wp:effectExtent l="0" t="0" r="0" b="0"/>
              <wp:wrapNone/>
              <wp:docPr id="2" name="文本框 1026"/>
              <wp:cNvGraphicFramePr/>
              <a:graphic xmlns:a="http://schemas.openxmlformats.org/drawingml/2006/main">
                <a:graphicData uri="http://schemas.microsoft.com/office/word/2010/wordprocessingShape">
                  <wps:wsp>
                    <wps:cNvSpPr txBox="true"/>
                    <wps:spPr>
                      <a:xfrm>
                        <a:off x="0" y="0"/>
                        <a:ext cx="82550" cy="152400"/>
                      </a:xfrm>
                      <a:prstGeom prst="rect">
                        <a:avLst/>
                      </a:prstGeom>
                      <a:noFill/>
                      <a:ln>
                        <a:noFill/>
                      </a:ln>
                    </wps:spPr>
                    <wps:txbx>
                      <w:txbxContent>
                        <w:p>
                          <w:pPr>
                            <w:spacing w:before="12"/>
                            <w:ind w:left="20" w:right="0" w:firstLine="0"/>
                            <w:jc w:val="left"/>
                            <w:rPr>
                              <w:rFonts w:ascii="Times New Roman"/>
                              <w:sz w:val="18"/>
                            </w:rPr>
                          </w:pPr>
                          <w:r>
                            <w:rPr>
                              <w:rFonts w:ascii="Times New Roman"/>
                              <w:sz w:val="18"/>
                            </w:rPr>
                            <w:t>1</w:t>
                          </w:r>
                        </w:p>
                      </w:txbxContent>
                    </wps:txbx>
                    <wps:bodyPr lIns="0" tIns="0" rIns="0" bIns="0" upright="true"/>
                  </wps:wsp>
                </a:graphicData>
              </a:graphic>
            </wp:anchor>
          </w:drawing>
        </mc:Choice>
        <mc:Fallback>
          <w:pict>
            <v:shape id="文本框 1026" o:spid="_x0000_s1026" o:spt="202" type="#_x0000_t202" style="position:absolute;left:0pt;margin-left:294.4pt;margin-top:781.2pt;height:12pt;width:6.5pt;mso-position-horizontal-relative:page;mso-position-vertical-relative:page;z-index:-251657216;mso-width-relative:page;mso-height-relative:page;" filled="f" stroked="f" coordsize="21600,21600" o:gfxdata="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BYAAABkcnMvUEsBAhQAFAAA&#10;AAgAh07iQAsR1pPaAAAADQEAAA8AAAAAAAAAAQAgAAAAOAAAAGRycy9kb3ducmV2LnhtbFBLAQIU&#10;ABQAAAAIAIdO4kAOr0QaogEAACsDAAAOAAAAAAAAAAEAIAAAAD8BAABkcnMvZTJvRG9jLnhtbFBL&#10;BQYAAAAABgAGAFkBAABTBQAAAAA=&#10;">
              <v:fill on="f" focussize="0,0"/>
              <v:stroke on="f"/>
              <v:imagedata o:title=""/>
              <o:lock v:ext="edit" aspectratio="f"/>
              <v:textbox inset="0mm,0mm,0mm,0mm">
                <w:txbxContent>
                  <w:p>
                    <w:pPr>
                      <w:spacing w:before="12"/>
                      <w:ind w:left="20" w:right="0" w:firstLine="0"/>
                      <w:jc w:val="left"/>
                      <w:rPr>
                        <w:rFonts w:ascii="Times New Roman"/>
                        <w:sz w:val="18"/>
                      </w:rPr>
                    </w:pPr>
                    <w:r>
                      <w:rPr>
                        <w:rFonts w:ascii="Times New Roman"/>
                        <w:sz w:val="18"/>
                      </w:rPr>
                      <w:t>1</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0" w:line="14" w:lineRule="auto"/>
      <w:ind w:left="0" w:firstLine="0"/>
      <w:rPr>
        <w:sz w:val="20"/>
      </w:rPr>
    </w:pPr>
    <w:r>
      <mc:AlternateContent>
        <mc:Choice Requires="wps">
          <w:drawing>
            <wp:anchor distT="0" distB="0" distL="114300" distR="114300" simplePos="0" relativeHeight="251660288" behindDoc="1" locked="0" layoutInCell="1" allowOverlap="1">
              <wp:simplePos x="0" y="0"/>
              <wp:positionH relativeFrom="page">
                <wp:posOffset>3738880</wp:posOffset>
              </wp:positionH>
              <wp:positionV relativeFrom="page">
                <wp:posOffset>9921240</wp:posOffset>
              </wp:positionV>
              <wp:extent cx="82550" cy="152400"/>
              <wp:effectExtent l="0" t="0" r="0" b="0"/>
              <wp:wrapNone/>
              <wp:docPr id="4" name="文本框 1027"/>
              <wp:cNvGraphicFramePr/>
              <a:graphic xmlns:a="http://schemas.openxmlformats.org/drawingml/2006/main">
                <a:graphicData uri="http://schemas.microsoft.com/office/word/2010/wordprocessingShape">
                  <wps:wsp>
                    <wps:cNvSpPr txBox="true"/>
                    <wps:spPr>
                      <a:xfrm>
                        <a:off x="0" y="0"/>
                        <a:ext cx="82550" cy="152400"/>
                      </a:xfrm>
                      <a:prstGeom prst="rect">
                        <a:avLst/>
                      </a:prstGeom>
                      <a:noFill/>
                      <a:ln>
                        <a:noFill/>
                      </a:ln>
                    </wps:spPr>
                    <wps:txbx>
                      <w:txbxContent>
                        <w:p>
                          <w:pPr>
                            <w:spacing w:before="12"/>
                            <w:ind w:left="20" w:right="0" w:firstLine="0"/>
                            <w:jc w:val="left"/>
                            <w:rPr>
                              <w:rFonts w:ascii="Times New Roman"/>
                              <w:sz w:val="18"/>
                            </w:rPr>
                          </w:pPr>
                          <w:r>
                            <w:rPr>
                              <w:rFonts w:ascii="Times New Roman"/>
                              <w:sz w:val="18"/>
                            </w:rPr>
                            <w:t>2</w:t>
                          </w:r>
                        </w:p>
                      </w:txbxContent>
                    </wps:txbx>
                    <wps:bodyPr lIns="0" tIns="0" rIns="0" bIns="0" upright="true"/>
                  </wps:wsp>
                </a:graphicData>
              </a:graphic>
            </wp:anchor>
          </w:drawing>
        </mc:Choice>
        <mc:Fallback>
          <w:pict>
            <v:shape id="文本框 1027" o:spid="_x0000_s1026" o:spt="202" type="#_x0000_t202" style="position:absolute;left:0pt;margin-left:294.4pt;margin-top:781.2pt;height:12pt;width:6.5pt;mso-position-horizontal-relative:page;mso-position-vertical-relative:page;z-index:-251656192;mso-width-relative:page;mso-height-relative:page;" filled="f" stroked="f" coordsize="21600,21600" o:gfxdata="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WAAAAZHJzL1BLAQIUABQA&#10;AAAIAIdO4kALEdaT2gAAAA0BAAAPAAAAAAAAAAEAIAAAADgAAABkcnMvZG93bnJldi54bWxQSwEC&#10;FAAUAAAACACHTuJAJPRI96MBAAArAwAADgAAAAAAAAABACAAAAA/AQAAZHJzL2Uyb0RvYy54bWxQ&#10;SwUGAAAAAAYABgBZAQAAVAUAAAAA&#10;">
              <v:fill on="f" focussize="0,0"/>
              <v:stroke on="f"/>
              <v:imagedata o:title=""/>
              <o:lock v:ext="edit" aspectratio="f"/>
              <v:textbox inset="0mm,0mm,0mm,0mm">
                <w:txbxContent>
                  <w:p>
                    <w:pPr>
                      <w:spacing w:before="12"/>
                      <w:ind w:left="20" w:right="0" w:firstLine="0"/>
                      <w:jc w:val="left"/>
                      <w:rPr>
                        <w:rFonts w:ascii="Times New Roman"/>
                        <w:sz w:val="18"/>
                      </w:rPr>
                    </w:pPr>
                    <w:r>
                      <w:rPr>
                        <w:rFonts w:ascii="Times New Roman"/>
                        <w:sz w:val="18"/>
                      </w:rPr>
                      <w:t>2</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0" w:line="14" w:lineRule="auto"/>
      <w:ind w:left="0" w:firstLine="0"/>
      <w:rPr>
        <w:sz w:val="20"/>
      </w:rPr>
    </w:pPr>
    <w:r>
      <mc:AlternateContent>
        <mc:Choice Requires="wps">
          <w:drawing>
            <wp:anchor distT="0" distB="0" distL="114300" distR="114300" simplePos="0" relativeHeight="251662336" behindDoc="1" locked="0" layoutInCell="1" allowOverlap="1">
              <wp:simplePos x="0" y="0"/>
              <wp:positionH relativeFrom="page">
                <wp:posOffset>3697605</wp:posOffset>
              </wp:positionH>
              <wp:positionV relativeFrom="page">
                <wp:posOffset>9921240</wp:posOffset>
              </wp:positionV>
              <wp:extent cx="166370" cy="152400"/>
              <wp:effectExtent l="0" t="0" r="0" b="0"/>
              <wp:wrapNone/>
              <wp:docPr id="8" name="文本框 1028"/>
              <wp:cNvGraphicFramePr/>
              <a:graphic xmlns:a="http://schemas.openxmlformats.org/drawingml/2006/main">
                <a:graphicData uri="http://schemas.microsoft.com/office/word/2010/wordprocessingShape">
                  <wps:wsp>
                    <wps:cNvSpPr txBox="true"/>
                    <wps:spPr>
                      <a:xfrm>
                        <a:off x="0" y="0"/>
                        <a:ext cx="166370" cy="152400"/>
                      </a:xfrm>
                      <a:prstGeom prst="rect">
                        <a:avLst/>
                      </a:prstGeom>
                      <a:noFill/>
                      <a:ln>
                        <a:noFill/>
                      </a:ln>
                    </wps:spPr>
                    <wps:txbx>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61</w:t>
                          </w:r>
                          <w:r>
                            <w:fldChar w:fldCharType="end"/>
                          </w:r>
                        </w:p>
                      </w:txbxContent>
                    </wps:txbx>
                    <wps:bodyPr lIns="0" tIns="0" rIns="0" bIns="0" upright="true"/>
                  </wps:wsp>
                </a:graphicData>
              </a:graphic>
            </wp:anchor>
          </w:drawing>
        </mc:Choice>
        <mc:Fallback>
          <w:pict>
            <v:shape id="文本框 1028" o:spid="_x0000_s1026" o:spt="202" type="#_x0000_t202" style="position:absolute;left:0pt;margin-left:291.15pt;margin-top:781.2pt;height:12pt;width:13.1pt;mso-position-horizontal-relative:page;mso-position-vertical-relative:page;z-index:-251654144;mso-width-relative:page;mso-height-relative:page;" filled="f" stroked="f" coordsize="21600,21600" o:gfxdata="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FgAAAGRycy9QSwECFAAU&#10;AAAACACHTuJA6fJ/GdsAAAANAQAADwAAAAAAAAABACAAAAA4AAAAZHJzL2Rvd25yZXYueG1sUEsB&#10;AhQAFAAAAAgAh07iQEiulv+jAQAALAMAAA4AAAAAAAAAAQAgAAAAQAEAAGRycy9lMm9Eb2MueG1s&#10;UEsFBgAAAAAGAAYAWQEAAFUFAAAAAA==&#10;">
              <v:fill on="f" focussize="0,0"/>
              <v:stroke on="f"/>
              <v:imagedata o:title=""/>
              <o:lock v:ext="edit" aspectratio="f"/>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61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0" w:line="14" w:lineRule="auto"/>
      <w:ind w:left="0" w:firstLine="0"/>
      <w:rPr>
        <w:sz w:val="20"/>
      </w:rPr>
    </w:pPr>
    <w:r>
      <mc:AlternateContent>
        <mc:Choice Requires="wps">
          <w:drawing>
            <wp:anchor distT="0" distB="0" distL="114300" distR="114300" simplePos="0" relativeHeight="251661312" behindDoc="1" locked="0" layoutInCell="1" allowOverlap="1">
              <wp:simplePos x="0" y="0"/>
              <wp:positionH relativeFrom="page">
                <wp:posOffset>3697605</wp:posOffset>
              </wp:positionH>
              <wp:positionV relativeFrom="page">
                <wp:posOffset>9921240</wp:posOffset>
              </wp:positionV>
              <wp:extent cx="166370" cy="152400"/>
              <wp:effectExtent l="0" t="0" r="0" b="0"/>
              <wp:wrapNone/>
              <wp:docPr id="6" name="文本框 1029"/>
              <wp:cNvGraphicFramePr/>
              <a:graphic xmlns:a="http://schemas.openxmlformats.org/drawingml/2006/main">
                <a:graphicData uri="http://schemas.microsoft.com/office/word/2010/wordprocessingShape">
                  <wps:wsp>
                    <wps:cNvSpPr txBox="true"/>
                    <wps:spPr>
                      <a:xfrm>
                        <a:off x="0" y="0"/>
                        <a:ext cx="166370" cy="152400"/>
                      </a:xfrm>
                      <a:prstGeom prst="rect">
                        <a:avLst/>
                      </a:prstGeom>
                      <a:noFill/>
                      <a:ln>
                        <a:noFill/>
                      </a:ln>
                    </wps:spPr>
                    <wps:txbx>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60</w:t>
                          </w:r>
                          <w:r>
                            <w:fldChar w:fldCharType="end"/>
                          </w:r>
                        </w:p>
                      </w:txbxContent>
                    </wps:txbx>
                    <wps:bodyPr lIns="0" tIns="0" rIns="0" bIns="0" upright="true"/>
                  </wps:wsp>
                </a:graphicData>
              </a:graphic>
            </wp:anchor>
          </w:drawing>
        </mc:Choice>
        <mc:Fallback>
          <w:pict>
            <v:shape id="文本框 1029" o:spid="_x0000_s1026" o:spt="202" type="#_x0000_t202" style="position:absolute;left:0pt;margin-left:291.15pt;margin-top:781.2pt;height:12pt;width:13.1pt;mso-position-horizontal-relative:page;mso-position-vertical-relative:page;z-index:-251655168;mso-width-relative:page;mso-height-relative:page;" filled="f" stroked="f" coordsize="21600,21600" o:gfxdata="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BYAAABkcnMvUEsBAhQA&#10;FAAAAAgAh07iQOnyfxnbAAAADQEAAA8AAAAAAAAAAQAgAAAAOAAAAGRycy9kb3ducmV2LnhtbFBL&#10;AQIUABQAAAAIAIdO4kAML4QxpAEAACwDAAAOAAAAAAAAAAEAIAAAAEABAABkcnMvZTJvRG9jLnht&#10;bFBLBQYAAAAABgAGAFkBAABWBQAAAAA=&#10;">
              <v:fill on="f" focussize="0,0"/>
              <v:stroke on="f"/>
              <v:imagedata o:title=""/>
              <o:lock v:ext="edit" aspectratio="f"/>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60</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0" w:line="14" w:lineRule="auto"/>
      <w:ind w:left="0" w:firstLine="0"/>
      <w:rPr>
        <w:sz w:val="20"/>
      </w:rPr>
    </w:pPr>
    <w:r>
      <mc:AlternateContent>
        <mc:Choice Requires="wps">
          <w:drawing>
            <wp:anchor distT="0" distB="0" distL="114300" distR="114300" simplePos="0" relativeHeight="251663360" behindDoc="1" locked="0" layoutInCell="1" allowOverlap="1">
              <wp:simplePos x="0" y="0"/>
              <wp:positionH relativeFrom="page">
                <wp:posOffset>3724910</wp:posOffset>
              </wp:positionH>
              <wp:positionV relativeFrom="page">
                <wp:posOffset>9932670</wp:posOffset>
              </wp:positionV>
              <wp:extent cx="109220" cy="139700"/>
              <wp:effectExtent l="0" t="0" r="0" b="0"/>
              <wp:wrapNone/>
              <wp:docPr id="10" name="文本框 1030"/>
              <wp:cNvGraphicFramePr/>
              <a:graphic xmlns:a="http://schemas.openxmlformats.org/drawingml/2006/main">
                <a:graphicData uri="http://schemas.microsoft.com/office/word/2010/wordprocessingShape">
                  <wps:wsp>
                    <wps:cNvSpPr txBox="true"/>
                    <wps:spPr>
                      <a:xfrm>
                        <a:off x="0" y="0"/>
                        <a:ext cx="109220" cy="139700"/>
                      </a:xfrm>
                      <a:prstGeom prst="rect">
                        <a:avLst/>
                      </a:prstGeom>
                      <a:noFill/>
                      <a:ln>
                        <a:noFill/>
                      </a:ln>
                    </wps:spPr>
                    <wps:txbx>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1</w:t>
                          </w:r>
                          <w:r>
                            <w:fldChar w:fldCharType="end"/>
                          </w:r>
                        </w:p>
                      </w:txbxContent>
                    </wps:txbx>
                    <wps:bodyPr lIns="0" tIns="0" rIns="0" bIns="0" upright="true"/>
                  </wps:wsp>
                </a:graphicData>
              </a:graphic>
            </wp:anchor>
          </w:drawing>
        </mc:Choice>
        <mc:Fallback>
          <w:pict>
            <v:shape id="文本框 1030" o:spid="_x0000_s1026" o:spt="202" type="#_x0000_t202" style="position:absolute;left:0pt;margin-left:293.3pt;margin-top:782.1pt;height:11pt;width:8.6pt;mso-position-horizontal-relative:page;mso-position-vertical-relative:page;z-index:-251653120;mso-width-relative:page;mso-height-relative:page;" filled="f" stroked="f" coordsize="21600,21600" o:gfxdata="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BYAAABkcnMvUEsBAhQAFAAA&#10;AAgAh07iQO5q0x7aAAAADQEAAA8AAAAAAAAAAQAgAAAAOAAAAGRycy9kb3ducmV2LnhtbFBLAQIU&#10;ABQAAAAIAIdO4kCruVv+ogEAAC0DAAAOAAAAAAAAAAEAIAAAAD8BAABkcnMvZTJvRG9jLnhtbFBL&#10;BQYAAAAABgAGAFkBAABTBQAAAAA=&#10;">
              <v:fill on="f" focussize="0,0"/>
              <v:stroke on="f"/>
              <v:imagedata o:title=""/>
              <o:lock v:ext="edit" aspectratio="f"/>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1</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0" w:line="14" w:lineRule="auto"/>
      <w:ind w:left="0" w:firstLine="0"/>
      <w:rPr>
        <w:sz w:val="20"/>
      </w:rPr>
    </w:pPr>
    <w:r>
      <mc:AlternateContent>
        <mc:Choice Requires="wps">
          <w:drawing>
            <wp:anchor distT="0" distB="0" distL="114300" distR="114300" simplePos="0" relativeHeight="251664384" behindDoc="1" locked="0" layoutInCell="1" allowOverlap="1">
              <wp:simplePos x="0" y="0"/>
              <wp:positionH relativeFrom="page">
                <wp:posOffset>3737610</wp:posOffset>
              </wp:positionH>
              <wp:positionV relativeFrom="page">
                <wp:posOffset>9932670</wp:posOffset>
              </wp:positionV>
              <wp:extent cx="83820" cy="139700"/>
              <wp:effectExtent l="0" t="0" r="0" b="0"/>
              <wp:wrapNone/>
              <wp:docPr id="12" name="文本框 1031"/>
              <wp:cNvGraphicFramePr/>
              <a:graphic xmlns:a="http://schemas.openxmlformats.org/drawingml/2006/main">
                <a:graphicData uri="http://schemas.microsoft.com/office/word/2010/wordprocessingShape">
                  <wps:wsp>
                    <wps:cNvSpPr txBox="true"/>
                    <wps:spPr>
                      <a:xfrm>
                        <a:off x="0" y="0"/>
                        <a:ext cx="83820" cy="139700"/>
                      </a:xfrm>
                      <a:prstGeom prst="rect">
                        <a:avLst/>
                      </a:prstGeom>
                      <a:noFill/>
                      <a:ln>
                        <a:noFill/>
                      </a:ln>
                    </wps:spPr>
                    <wps:txbx>
                      <w:txbxContent>
                        <w:p>
                          <w:pPr>
                            <w:spacing w:before="0" w:line="203" w:lineRule="exact"/>
                            <w:ind w:left="20" w:right="0" w:firstLine="0"/>
                            <w:jc w:val="left"/>
                            <w:rPr>
                              <w:rFonts w:ascii="Calibri"/>
                              <w:sz w:val="18"/>
                            </w:rPr>
                          </w:pPr>
                          <w:r>
                            <w:rPr>
                              <w:rFonts w:ascii="Calibri"/>
                              <w:sz w:val="18"/>
                            </w:rPr>
                            <w:t>2</w:t>
                          </w:r>
                        </w:p>
                      </w:txbxContent>
                    </wps:txbx>
                    <wps:bodyPr lIns="0" tIns="0" rIns="0" bIns="0" upright="true"/>
                  </wps:wsp>
                </a:graphicData>
              </a:graphic>
            </wp:anchor>
          </w:drawing>
        </mc:Choice>
        <mc:Fallback>
          <w:pict>
            <v:shape id="文本框 1031" o:spid="_x0000_s1026" o:spt="202" type="#_x0000_t202" style="position:absolute;left:0pt;margin-left:294.3pt;margin-top:782.1pt;height:11pt;width:6.6pt;mso-position-horizontal-relative:page;mso-position-vertical-relative:page;z-index:-251652096;mso-width-relative:page;mso-height-relative:page;" filled="f" stroked="f" coordsize="21600,21600" o:gfxdata="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BYAAABkcnMvUEsBAhQAFAAA&#10;AAgAh07iQAgvx1LZAAAADQEAAA8AAAAAAAAAAQAgAAAAOAAAAGRycy9kb3ducmV2LnhtbFBLAQIU&#10;ABQAAAAIAIdO4kAmNqPqowEAACwDAAAOAAAAAAAAAAEAIAAAAD4BAABkcnMvZTJvRG9jLnhtbFBL&#10;BQYAAAAABgAGAFkBAABTBQAAAAA=&#10;">
              <v:fill on="f" focussize="0,0"/>
              <v:stroke on="f"/>
              <v:imagedata o:title=""/>
              <o:lock v:ext="edit" aspectratio="f"/>
              <v:textbox inset="0mm,0mm,0mm,0mm">
                <w:txbxContent>
                  <w:p>
                    <w:pPr>
                      <w:spacing w:before="0" w:line="203" w:lineRule="exact"/>
                      <w:ind w:left="20" w:right="0" w:firstLine="0"/>
                      <w:jc w:val="left"/>
                      <w:rPr>
                        <w:rFonts w:ascii="Calibri"/>
                        <w:sz w:val="18"/>
                      </w:rPr>
                    </w:pPr>
                    <w:r>
                      <w:rPr>
                        <w:rFonts w:ascii="Calibri"/>
                        <w:sz w:val="18"/>
                      </w:rPr>
                      <w:t>2</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5EC3C5"/>
    <w:multiLevelType w:val="multilevel"/>
    <w:tmpl w:val="825EC3C5"/>
    <w:lvl w:ilvl="0" w:tentative="0">
      <w:start w:val="1"/>
      <w:numFmt w:val="decimal"/>
      <w:lvlText w:val="%1."/>
      <w:lvlJc w:val="left"/>
      <w:pPr>
        <w:ind w:left="320" w:hanging="322"/>
        <w:jc w:val="left"/>
      </w:pPr>
      <w:rPr>
        <w:rFonts w:hint="default" w:ascii="仿宋_GB2312" w:hAnsi="仿宋_GB2312" w:eastAsia="仿宋_GB2312" w:cs="仿宋_GB2312"/>
        <w:spacing w:val="-2"/>
        <w:w w:val="99"/>
        <w:sz w:val="30"/>
        <w:szCs w:val="30"/>
        <w:lang w:val="zh-CN" w:eastAsia="zh-CN" w:bidi="zh-CN"/>
      </w:rPr>
    </w:lvl>
    <w:lvl w:ilvl="1" w:tentative="0">
      <w:start w:val="0"/>
      <w:numFmt w:val="bullet"/>
      <w:lvlText w:val="•"/>
      <w:lvlJc w:val="left"/>
      <w:pPr>
        <w:ind w:left="1204" w:hanging="322"/>
      </w:pPr>
      <w:rPr>
        <w:rFonts w:hint="default"/>
        <w:lang w:val="zh-CN" w:eastAsia="zh-CN" w:bidi="zh-CN"/>
      </w:rPr>
    </w:lvl>
    <w:lvl w:ilvl="2" w:tentative="0">
      <w:start w:val="0"/>
      <w:numFmt w:val="bullet"/>
      <w:lvlText w:val="•"/>
      <w:lvlJc w:val="left"/>
      <w:pPr>
        <w:ind w:left="2089" w:hanging="322"/>
      </w:pPr>
      <w:rPr>
        <w:rFonts w:hint="default"/>
        <w:lang w:val="zh-CN" w:eastAsia="zh-CN" w:bidi="zh-CN"/>
      </w:rPr>
    </w:lvl>
    <w:lvl w:ilvl="3" w:tentative="0">
      <w:start w:val="0"/>
      <w:numFmt w:val="bullet"/>
      <w:lvlText w:val="•"/>
      <w:lvlJc w:val="left"/>
      <w:pPr>
        <w:ind w:left="2973" w:hanging="322"/>
      </w:pPr>
      <w:rPr>
        <w:rFonts w:hint="default"/>
        <w:lang w:val="zh-CN" w:eastAsia="zh-CN" w:bidi="zh-CN"/>
      </w:rPr>
    </w:lvl>
    <w:lvl w:ilvl="4" w:tentative="0">
      <w:start w:val="0"/>
      <w:numFmt w:val="bullet"/>
      <w:lvlText w:val="•"/>
      <w:lvlJc w:val="left"/>
      <w:pPr>
        <w:ind w:left="3858" w:hanging="322"/>
      </w:pPr>
      <w:rPr>
        <w:rFonts w:hint="default"/>
        <w:lang w:val="zh-CN" w:eastAsia="zh-CN" w:bidi="zh-CN"/>
      </w:rPr>
    </w:lvl>
    <w:lvl w:ilvl="5" w:tentative="0">
      <w:start w:val="0"/>
      <w:numFmt w:val="bullet"/>
      <w:lvlText w:val="•"/>
      <w:lvlJc w:val="left"/>
      <w:pPr>
        <w:ind w:left="4743" w:hanging="322"/>
      </w:pPr>
      <w:rPr>
        <w:rFonts w:hint="default"/>
        <w:lang w:val="zh-CN" w:eastAsia="zh-CN" w:bidi="zh-CN"/>
      </w:rPr>
    </w:lvl>
    <w:lvl w:ilvl="6" w:tentative="0">
      <w:start w:val="0"/>
      <w:numFmt w:val="bullet"/>
      <w:lvlText w:val="•"/>
      <w:lvlJc w:val="left"/>
      <w:pPr>
        <w:ind w:left="5627" w:hanging="322"/>
      </w:pPr>
      <w:rPr>
        <w:rFonts w:hint="default"/>
        <w:lang w:val="zh-CN" w:eastAsia="zh-CN" w:bidi="zh-CN"/>
      </w:rPr>
    </w:lvl>
    <w:lvl w:ilvl="7" w:tentative="0">
      <w:start w:val="0"/>
      <w:numFmt w:val="bullet"/>
      <w:lvlText w:val="•"/>
      <w:lvlJc w:val="left"/>
      <w:pPr>
        <w:ind w:left="6512" w:hanging="322"/>
      </w:pPr>
      <w:rPr>
        <w:rFonts w:hint="default"/>
        <w:lang w:val="zh-CN" w:eastAsia="zh-CN" w:bidi="zh-CN"/>
      </w:rPr>
    </w:lvl>
    <w:lvl w:ilvl="8" w:tentative="0">
      <w:start w:val="0"/>
      <w:numFmt w:val="bullet"/>
      <w:lvlText w:val="•"/>
      <w:lvlJc w:val="left"/>
      <w:pPr>
        <w:ind w:left="7396" w:hanging="322"/>
      </w:pPr>
      <w:rPr>
        <w:rFonts w:hint="default"/>
        <w:lang w:val="zh-CN" w:eastAsia="zh-CN" w:bidi="zh-CN"/>
      </w:rPr>
    </w:lvl>
  </w:abstractNum>
  <w:abstractNum w:abstractNumId="1">
    <w:nsid w:val="87B75F0A"/>
    <w:multiLevelType w:val="multilevel"/>
    <w:tmpl w:val="87B75F0A"/>
    <w:lvl w:ilvl="0" w:tentative="0">
      <w:start w:val="1"/>
      <w:numFmt w:val="decimal"/>
      <w:lvlText w:val="（%1）"/>
      <w:lvlJc w:val="left"/>
      <w:pPr>
        <w:ind w:left="320" w:hanging="819"/>
        <w:jc w:val="left"/>
      </w:pPr>
      <w:rPr>
        <w:rFonts w:hint="default" w:ascii="仿宋_GB2312" w:hAnsi="仿宋_GB2312" w:eastAsia="仿宋_GB2312" w:cs="仿宋_GB2312"/>
        <w:spacing w:val="5"/>
        <w:w w:val="99"/>
        <w:sz w:val="30"/>
        <w:szCs w:val="30"/>
        <w:lang w:val="zh-CN" w:eastAsia="zh-CN" w:bidi="zh-CN"/>
      </w:rPr>
    </w:lvl>
    <w:lvl w:ilvl="1" w:tentative="0">
      <w:start w:val="0"/>
      <w:numFmt w:val="bullet"/>
      <w:lvlText w:val="•"/>
      <w:lvlJc w:val="left"/>
      <w:pPr>
        <w:ind w:left="1204" w:hanging="819"/>
      </w:pPr>
      <w:rPr>
        <w:rFonts w:hint="default"/>
        <w:lang w:val="zh-CN" w:eastAsia="zh-CN" w:bidi="zh-CN"/>
      </w:rPr>
    </w:lvl>
    <w:lvl w:ilvl="2" w:tentative="0">
      <w:start w:val="0"/>
      <w:numFmt w:val="bullet"/>
      <w:lvlText w:val="•"/>
      <w:lvlJc w:val="left"/>
      <w:pPr>
        <w:ind w:left="2089" w:hanging="819"/>
      </w:pPr>
      <w:rPr>
        <w:rFonts w:hint="default"/>
        <w:lang w:val="zh-CN" w:eastAsia="zh-CN" w:bidi="zh-CN"/>
      </w:rPr>
    </w:lvl>
    <w:lvl w:ilvl="3" w:tentative="0">
      <w:start w:val="0"/>
      <w:numFmt w:val="bullet"/>
      <w:lvlText w:val="•"/>
      <w:lvlJc w:val="left"/>
      <w:pPr>
        <w:ind w:left="2973" w:hanging="819"/>
      </w:pPr>
      <w:rPr>
        <w:rFonts w:hint="default"/>
        <w:lang w:val="zh-CN" w:eastAsia="zh-CN" w:bidi="zh-CN"/>
      </w:rPr>
    </w:lvl>
    <w:lvl w:ilvl="4" w:tentative="0">
      <w:start w:val="0"/>
      <w:numFmt w:val="bullet"/>
      <w:lvlText w:val="•"/>
      <w:lvlJc w:val="left"/>
      <w:pPr>
        <w:ind w:left="3858" w:hanging="819"/>
      </w:pPr>
      <w:rPr>
        <w:rFonts w:hint="default"/>
        <w:lang w:val="zh-CN" w:eastAsia="zh-CN" w:bidi="zh-CN"/>
      </w:rPr>
    </w:lvl>
    <w:lvl w:ilvl="5" w:tentative="0">
      <w:start w:val="0"/>
      <w:numFmt w:val="bullet"/>
      <w:lvlText w:val="•"/>
      <w:lvlJc w:val="left"/>
      <w:pPr>
        <w:ind w:left="4743" w:hanging="819"/>
      </w:pPr>
      <w:rPr>
        <w:rFonts w:hint="default"/>
        <w:lang w:val="zh-CN" w:eastAsia="zh-CN" w:bidi="zh-CN"/>
      </w:rPr>
    </w:lvl>
    <w:lvl w:ilvl="6" w:tentative="0">
      <w:start w:val="0"/>
      <w:numFmt w:val="bullet"/>
      <w:lvlText w:val="•"/>
      <w:lvlJc w:val="left"/>
      <w:pPr>
        <w:ind w:left="5627" w:hanging="819"/>
      </w:pPr>
      <w:rPr>
        <w:rFonts w:hint="default"/>
        <w:lang w:val="zh-CN" w:eastAsia="zh-CN" w:bidi="zh-CN"/>
      </w:rPr>
    </w:lvl>
    <w:lvl w:ilvl="7" w:tentative="0">
      <w:start w:val="0"/>
      <w:numFmt w:val="bullet"/>
      <w:lvlText w:val="•"/>
      <w:lvlJc w:val="left"/>
      <w:pPr>
        <w:ind w:left="6512" w:hanging="819"/>
      </w:pPr>
      <w:rPr>
        <w:rFonts w:hint="default"/>
        <w:lang w:val="zh-CN" w:eastAsia="zh-CN" w:bidi="zh-CN"/>
      </w:rPr>
    </w:lvl>
    <w:lvl w:ilvl="8" w:tentative="0">
      <w:start w:val="0"/>
      <w:numFmt w:val="bullet"/>
      <w:lvlText w:val="•"/>
      <w:lvlJc w:val="left"/>
      <w:pPr>
        <w:ind w:left="7396" w:hanging="819"/>
      </w:pPr>
      <w:rPr>
        <w:rFonts w:hint="default"/>
        <w:lang w:val="zh-CN" w:eastAsia="zh-CN" w:bidi="zh-CN"/>
      </w:rPr>
    </w:lvl>
  </w:abstractNum>
  <w:abstractNum w:abstractNumId="2">
    <w:nsid w:val="883B3669"/>
    <w:multiLevelType w:val="multilevel"/>
    <w:tmpl w:val="883B3669"/>
    <w:lvl w:ilvl="0" w:tentative="0">
      <w:start w:val="1"/>
      <w:numFmt w:val="decimal"/>
      <w:lvlText w:val="（%1）"/>
      <w:lvlJc w:val="left"/>
      <w:pPr>
        <w:ind w:left="320" w:hanging="819"/>
        <w:jc w:val="left"/>
      </w:pPr>
      <w:rPr>
        <w:rFonts w:hint="default" w:ascii="仿宋_GB2312" w:hAnsi="仿宋_GB2312" w:eastAsia="仿宋_GB2312" w:cs="仿宋_GB2312"/>
        <w:spacing w:val="5"/>
        <w:w w:val="99"/>
        <w:sz w:val="30"/>
        <w:szCs w:val="30"/>
        <w:lang w:val="zh-CN" w:eastAsia="zh-CN" w:bidi="zh-CN"/>
      </w:rPr>
    </w:lvl>
    <w:lvl w:ilvl="1" w:tentative="0">
      <w:start w:val="0"/>
      <w:numFmt w:val="bullet"/>
      <w:lvlText w:val="•"/>
      <w:lvlJc w:val="left"/>
      <w:pPr>
        <w:ind w:left="1204" w:hanging="819"/>
      </w:pPr>
      <w:rPr>
        <w:rFonts w:hint="default"/>
        <w:lang w:val="zh-CN" w:eastAsia="zh-CN" w:bidi="zh-CN"/>
      </w:rPr>
    </w:lvl>
    <w:lvl w:ilvl="2" w:tentative="0">
      <w:start w:val="0"/>
      <w:numFmt w:val="bullet"/>
      <w:lvlText w:val="•"/>
      <w:lvlJc w:val="left"/>
      <w:pPr>
        <w:ind w:left="2089" w:hanging="819"/>
      </w:pPr>
      <w:rPr>
        <w:rFonts w:hint="default"/>
        <w:lang w:val="zh-CN" w:eastAsia="zh-CN" w:bidi="zh-CN"/>
      </w:rPr>
    </w:lvl>
    <w:lvl w:ilvl="3" w:tentative="0">
      <w:start w:val="0"/>
      <w:numFmt w:val="bullet"/>
      <w:lvlText w:val="•"/>
      <w:lvlJc w:val="left"/>
      <w:pPr>
        <w:ind w:left="2973" w:hanging="819"/>
      </w:pPr>
      <w:rPr>
        <w:rFonts w:hint="default"/>
        <w:lang w:val="zh-CN" w:eastAsia="zh-CN" w:bidi="zh-CN"/>
      </w:rPr>
    </w:lvl>
    <w:lvl w:ilvl="4" w:tentative="0">
      <w:start w:val="0"/>
      <w:numFmt w:val="bullet"/>
      <w:lvlText w:val="•"/>
      <w:lvlJc w:val="left"/>
      <w:pPr>
        <w:ind w:left="3858" w:hanging="819"/>
      </w:pPr>
      <w:rPr>
        <w:rFonts w:hint="default"/>
        <w:lang w:val="zh-CN" w:eastAsia="zh-CN" w:bidi="zh-CN"/>
      </w:rPr>
    </w:lvl>
    <w:lvl w:ilvl="5" w:tentative="0">
      <w:start w:val="0"/>
      <w:numFmt w:val="bullet"/>
      <w:lvlText w:val="•"/>
      <w:lvlJc w:val="left"/>
      <w:pPr>
        <w:ind w:left="4743" w:hanging="819"/>
      </w:pPr>
      <w:rPr>
        <w:rFonts w:hint="default"/>
        <w:lang w:val="zh-CN" w:eastAsia="zh-CN" w:bidi="zh-CN"/>
      </w:rPr>
    </w:lvl>
    <w:lvl w:ilvl="6" w:tentative="0">
      <w:start w:val="0"/>
      <w:numFmt w:val="bullet"/>
      <w:lvlText w:val="•"/>
      <w:lvlJc w:val="left"/>
      <w:pPr>
        <w:ind w:left="5627" w:hanging="819"/>
      </w:pPr>
      <w:rPr>
        <w:rFonts w:hint="default"/>
        <w:lang w:val="zh-CN" w:eastAsia="zh-CN" w:bidi="zh-CN"/>
      </w:rPr>
    </w:lvl>
    <w:lvl w:ilvl="7" w:tentative="0">
      <w:start w:val="0"/>
      <w:numFmt w:val="bullet"/>
      <w:lvlText w:val="•"/>
      <w:lvlJc w:val="left"/>
      <w:pPr>
        <w:ind w:left="6512" w:hanging="819"/>
      </w:pPr>
      <w:rPr>
        <w:rFonts w:hint="default"/>
        <w:lang w:val="zh-CN" w:eastAsia="zh-CN" w:bidi="zh-CN"/>
      </w:rPr>
    </w:lvl>
    <w:lvl w:ilvl="8" w:tentative="0">
      <w:start w:val="0"/>
      <w:numFmt w:val="bullet"/>
      <w:lvlText w:val="•"/>
      <w:lvlJc w:val="left"/>
      <w:pPr>
        <w:ind w:left="7396" w:hanging="819"/>
      </w:pPr>
      <w:rPr>
        <w:rFonts w:hint="default"/>
        <w:lang w:val="zh-CN" w:eastAsia="zh-CN" w:bidi="zh-CN"/>
      </w:rPr>
    </w:lvl>
  </w:abstractNum>
  <w:abstractNum w:abstractNumId="3">
    <w:nsid w:val="95E682A1"/>
    <w:multiLevelType w:val="multilevel"/>
    <w:tmpl w:val="95E682A1"/>
    <w:lvl w:ilvl="0" w:tentative="0">
      <w:start w:val="1"/>
      <w:numFmt w:val="decimal"/>
      <w:lvlText w:val="（%1）"/>
      <w:lvlJc w:val="left"/>
      <w:pPr>
        <w:ind w:left="1760" w:hanging="800"/>
        <w:jc w:val="left"/>
      </w:pPr>
      <w:rPr>
        <w:rFonts w:hint="default" w:ascii="仿宋_GB2312" w:hAnsi="仿宋_GB2312" w:eastAsia="仿宋_GB2312" w:cs="仿宋_GB2312"/>
        <w:spacing w:val="-15"/>
        <w:w w:val="99"/>
        <w:sz w:val="30"/>
        <w:szCs w:val="30"/>
        <w:lang w:val="zh-CN" w:eastAsia="zh-CN" w:bidi="zh-CN"/>
      </w:rPr>
    </w:lvl>
    <w:lvl w:ilvl="1" w:tentative="0">
      <w:start w:val="0"/>
      <w:numFmt w:val="bullet"/>
      <w:lvlText w:val="•"/>
      <w:lvlJc w:val="left"/>
      <w:pPr>
        <w:ind w:left="2500" w:hanging="800"/>
      </w:pPr>
      <w:rPr>
        <w:rFonts w:hint="default"/>
        <w:lang w:val="zh-CN" w:eastAsia="zh-CN" w:bidi="zh-CN"/>
      </w:rPr>
    </w:lvl>
    <w:lvl w:ilvl="2" w:tentative="0">
      <w:start w:val="0"/>
      <w:numFmt w:val="bullet"/>
      <w:lvlText w:val="•"/>
      <w:lvlJc w:val="left"/>
      <w:pPr>
        <w:ind w:left="3241" w:hanging="800"/>
      </w:pPr>
      <w:rPr>
        <w:rFonts w:hint="default"/>
        <w:lang w:val="zh-CN" w:eastAsia="zh-CN" w:bidi="zh-CN"/>
      </w:rPr>
    </w:lvl>
    <w:lvl w:ilvl="3" w:tentative="0">
      <w:start w:val="0"/>
      <w:numFmt w:val="bullet"/>
      <w:lvlText w:val="•"/>
      <w:lvlJc w:val="left"/>
      <w:pPr>
        <w:ind w:left="3981" w:hanging="800"/>
      </w:pPr>
      <w:rPr>
        <w:rFonts w:hint="default"/>
        <w:lang w:val="zh-CN" w:eastAsia="zh-CN" w:bidi="zh-CN"/>
      </w:rPr>
    </w:lvl>
    <w:lvl w:ilvl="4" w:tentative="0">
      <w:start w:val="0"/>
      <w:numFmt w:val="bullet"/>
      <w:lvlText w:val="•"/>
      <w:lvlJc w:val="left"/>
      <w:pPr>
        <w:ind w:left="4722" w:hanging="800"/>
      </w:pPr>
      <w:rPr>
        <w:rFonts w:hint="default"/>
        <w:lang w:val="zh-CN" w:eastAsia="zh-CN" w:bidi="zh-CN"/>
      </w:rPr>
    </w:lvl>
    <w:lvl w:ilvl="5" w:tentative="0">
      <w:start w:val="0"/>
      <w:numFmt w:val="bullet"/>
      <w:lvlText w:val="•"/>
      <w:lvlJc w:val="left"/>
      <w:pPr>
        <w:ind w:left="5463" w:hanging="800"/>
      </w:pPr>
      <w:rPr>
        <w:rFonts w:hint="default"/>
        <w:lang w:val="zh-CN" w:eastAsia="zh-CN" w:bidi="zh-CN"/>
      </w:rPr>
    </w:lvl>
    <w:lvl w:ilvl="6" w:tentative="0">
      <w:start w:val="0"/>
      <w:numFmt w:val="bullet"/>
      <w:lvlText w:val="•"/>
      <w:lvlJc w:val="left"/>
      <w:pPr>
        <w:ind w:left="6203" w:hanging="800"/>
      </w:pPr>
      <w:rPr>
        <w:rFonts w:hint="default"/>
        <w:lang w:val="zh-CN" w:eastAsia="zh-CN" w:bidi="zh-CN"/>
      </w:rPr>
    </w:lvl>
    <w:lvl w:ilvl="7" w:tentative="0">
      <w:start w:val="0"/>
      <w:numFmt w:val="bullet"/>
      <w:lvlText w:val="•"/>
      <w:lvlJc w:val="left"/>
      <w:pPr>
        <w:ind w:left="6944" w:hanging="800"/>
      </w:pPr>
      <w:rPr>
        <w:rFonts w:hint="default"/>
        <w:lang w:val="zh-CN" w:eastAsia="zh-CN" w:bidi="zh-CN"/>
      </w:rPr>
    </w:lvl>
    <w:lvl w:ilvl="8" w:tentative="0">
      <w:start w:val="0"/>
      <w:numFmt w:val="bullet"/>
      <w:lvlText w:val="•"/>
      <w:lvlJc w:val="left"/>
      <w:pPr>
        <w:ind w:left="7684" w:hanging="800"/>
      </w:pPr>
      <w:rPr>
        <w:rFonts w:hint="default"/>
        <w:lang w:val="zh-CN" w:eastAsia="zh-CN" w:bidi="zh-CN"/>
      </w:rPr>
    </w:lvl>
  </w:abstractNum>
  <w:abstractNum w:abstractNumId="4">
    <w:nsid w:val="98CD717A"/>
    <w:multiLevelType w:val="multilevel"/>
    <w:tmpl w:val="98CD717A"/>
    <w:lvl w:ilvl="0" w:tentative="0">
      <w:start w:val="1"/>
      <w:numFmt w:val="decimal"/>
      <w:lvlText w:val="%1."/>
      <w:lvlJc w:val="left"/>
      <w:pPr>
        <w:ind w:left="320" w:hanging="322"/>
        <w:jc w:val="left"/>
      </w:pPr>
      <w:rPr>
        <w:rFonts w:hint="default" w:ascii="黑体" w:hAnsi="黑体" w:eastAsia="黑体" w:cs="黑体"/>
        <w:spacing w:val="-16"/>
        <w:w w:val="99"/>
        <w:sz w:val="30"/>
        <w:szCs w:val="30"/>
        <w:lang w:val="zh-CN" w:eastAsia="zh-CN" w:bidi="zh-CN"/>
      </w:rPr>
    </w:lvl>
    <w:lvl w:ilvl="1" w:tentative="0">
      <w:start w:val="0"/>
      <w:numFmt w:val="bullet"/>
      <w:lvlText w:val="•"/>
      <w:lvlJc w:val="left"/>
      <w:pPr>
        <w:ind w:left="1204" w:hanging="322"/>
      </w:pPr>
      <w:rPr>
        <w:rFonts w:hint="default"/>
        <w:lang w:val="zh-CN" w:eastAsia="zh-CN" w:bidi="zh-CN"/>
      </w:rPr>
    </w:lvl>
    <w:lvl w:ilvl="2" w:tentative="0">
      <w:start w:val="0"/>
      <w:numFmt w:val="bullet"/>
      <w:lvlText w:val="•"/>
      <w:lvlJc w:val="left"/>
      <w:pPr>
        <w:ind w:left="2089" w:hanging="322"/>
      </w:pPr>
      <w:rPr>
        <w:rFonts w:hint="default"/>
        <w:lang w:val="zh-CN" w:eastAsia="zh-CN" w:bidi="zh-CN"/>
      </w:rPr>
    </w:lvl>
    <w:lvl w:ilvl="3" w:tentative="0">
      <w:start w:val="0"/>
      <w:numFmt w:val="bullet"/>
      <w:lvlText w:val="•"/>
      <w:lvlJc w:val="left"/>
      <w:pPr>
        <w:ind w:left="2973" w:hanging="322"/>
      </w:pPr>
      <w:rPr>
        <w:rFonts w:hint="default"/>
        <w:lang w:val="zh-CN" w:eastAsia="zh-CN" w:bidi="zh-CN"/>
      </w:rPr>
    </w:lvl>
    <w:lvl w:ilvl="4" w:tentative="0">
      <w:start w:val="0"/>
      <w:numFmt w:val="bullet"/>
      <w:lvlText w:val="•"/>
      <w:lvlJc w:val="left"/>
      <w:pPr>
        <w:ind w:left="3858" w:hanging="322"/>
      </w:pPr>
      <w:rPr>
        <w:rFonts w:hint="default"/>
        <w:lang w:val="zh-CN" w:eastAsia="zh-CN" w:bidi="zh-CN"/>
      </w:rPr>
    </w:lvl>
    <w:lvl w:ilvl="5" w:tentative="0">
      <w:start w:val="0"/>
      <w:numFmt w:val="bullet"/>
      <w:lvlText w:val="•"/>
      <w:lvlJc w:val="left"/>
      <w:pPr>
        <w:ind w:left="4743" w:hanging="322"/>
      </w:pPr>
      <w:rPr>
        <w:rFonts w:hint="default"/>
        <w:lang w:val="zh-CN" w:eastAsia="zh-CN" w:bidi="zh-CN"/>
      </w:rPr>
    </w:lvl>
    <w:lvl w:ilvl="6" w:tentative="0">
      <w:start w:val="0"/>
      <w:numFmt w:val="bullet"/>
      <w:lvlText w:val="•"/>
      <w:lvlJc w:val="left"/>
      <w:pPr>
        <w:ind w:left="5627" w:hanging="322"/>
      </w:pPr>
      <w:rPr>
        <w:rFonts w:hint="default"/>
        <w:lang w:val="zh-CN" w:eastAsia="zh-CN" w:bidi="zh-CN"/>
      </w:rPr>
    </w:lvl>
    <w:lvl w:ilvl="7" w:tentative="0">
      <w:start w:val="0"/>
      <w:numFmt w:val="bullet"/>
      <w:lvlText w:val="•"/>
      <w:lvlJc w:val="left"/>
      <w:pPr>
        <w:ind w:left="6512" w:hanging="322"/>
      </w:pPr>
      <w:rPr>
        <w:rFonts w:hint="default"/>
        <w:lang w:val="zh-CN" w:eastAsia="zh-CN" w:bidi="zh-CN"/>
      </w:rPr>
    </w:lvl>
    <w:lvl w:ilvl="8" w:tentative="0">
      <w:start w:val="0"/>
      <w:numFmt w:val="bullet"/>
      <w:lvlText w:val="•"/>
      <w:lvlJc w:val="left"/>
      <w:pPr>
        <w:ind w:left="7396" w:hanging="322"/>
      </w:pPr>
      <w:rPr>
        <w:rFonts w:hint="default"/>
        <w:lang w:val="zh-CN" w:eastAsia="zh-CN" w:bidi="zh-CN"/>
      </w:rPr>
    </w:lvl>
  </w:abstractNum>
  <w:abstractNum w:abstractNumId="5">
    <w:nsid w:val="9C7198AA"/>
    <w:multiLevelType w:val="multilevel"/>
    <w:tmpl w:val="9C7198AA"/>
    <w:lvl w:ilvl="0" w:tentative="0">
      <w:start w:val="3"/>
      <w:numFmt w:val="decimal"/>
      <w:lvlText w:val="%1."/>
      <w:lvlJc w:val="left"/>
      <w:pPr>
        <w:ind w:left="1282" w:hanging="322"/>
        <w:jc w:val="left"/>
      </w:pPr>
      <w:rPr>
        <w:rFonts w:hint="default" w:ascii="仿宋_GB2312" w:hAnsi="仿宋_GB2312" w:eastAsia="仿宋_GB2312" w:cs="仿宋_GB2312"/>
        <w:spacing w:val="-2"/>
        <w:w w:val="99"/>
        <w:sz w:val="30"/>
        <w:szCs w:val="30"/>
        <w:lang w:val="zh-CN" w:eastAsia="zh-CN" w:bidi="zh-CN"/>
      </w:rPr>
    </w:lvl>
    <w:lvl w:ilvl="1" w:tentative="0">
      <w:start w:val="0"/>
      <w:numFmt w:val="bullet"/>
      <w:lvlText w:val="•"/>
      <w:lvlJc w:val="left"/>
      <w:pPr>
        <w:ind w:left="2068" w:hanging="322"/>
      </w:pPr>
      <w:rPr>
        <w:rFonts w:hint="default"/>
        <w:lang w:val="zh-CN" w:eastAsia="zh-CN" w:bidi="zh-CN"/>
      </w:rPr>
    </w:lvl>
    <w:lvl w:ilvl="2" w:tentative="0">
      <w:start w:val="0"/>
      <w:numFmt w:val="bullet"/>
      <w:lvlText w:val="•"/>
      <w:lvlJc w:val="left"/>
      <w:pPr>
        <w:ind w:left="2857" w:hanging="322"/>
      </w:pPr>
      <w:rPr>
        <w:rFonts w:hint="default"/>
        <w:lang w:val="zh-CN" w:eastAsia="zh-CN" w:bidi="zh-CN"/>
      </w:rPr>
    </w:lvl>
    <w:lvl w:ilvl="3" w:tentative="0">
      <w:start w:val="0"/>
      <w:numFmt w:val="bullet"/>
      <w:lvlText w:val="•"/>
      <w:lvlJc w:val="left"/>
      <w:pPr>
        <w:ind w:left="3645" w:hanging="322"/>
      </w:pPr>
      <w:rPr>
        <w:rFonts w:hint="default"/>
        <w:lang w:val="zh-CN" w:eastAsia="zh-CN" w:bidi="zh-CN"/>
      </w:rPr>
    </w:lvl>
    <w:lvl w:ilvl="4" w:tentative="0">
      <w:start w:val="0"/>
      <w:numFmt w:val="bullet"/>
      <w:lvlText w:val="•"/>
      <w:lvlJc w:val="left"/>
      <w:pPr>
        <w:ind w:left="4434" w:hanging="322"/>
      </w:pPr>
      <w:rPr>
        <w:rFonts w:hint="default"/>
        <w:lang w:val="zh-CN" w:eastAsia="zh-CN" w:bidi="zh-CN"/>
      </w:rPr>
    </w:lvl>
    <w:lvl w:ilvl="5" w:tentative="0">
      <w:start w:val="0"/>
      <w:numFmt w:val="bullet"/>
      <w:lvlText w:val="•"/>
      <w:lvlJc w:val="left"/>
      <w:pPr>
        <w:ind w:left="5223" w:hanging="322"/>
      </w:pPr>
      <w:rPr>
        <w:rFonts w:hint="default"/>
        <w:lang w:val="zh-CN" w:eastAsia="zh-CN" w:bidi="zh-CN"/>
      </w:rPr>
    </w:lvl>
    <w:lvl w:ilvl="6" w:tentative="0">
      <w:start w:val="0"/>
      <w:numFmt w:val="bullet"/>
      <w:lvlText w:val="•"/>
      <w:lvlJc w:val="left"/>
      <w:pPr>
        <w:ind w:left="6011" w:hanging="322"/>
      </w:pPr>
      <w:rPr>
        <w:rFonts w:hint="default"/>
        <w:lang w:val="zh-CN" w:eastAsia="zh-CN" w:bidi="zh-CN"/>
      </w:rPr>
    </w:lvl>
    <w:lvl w:ilvl="7" w:tentative="0">
      <w:start w:val="0"/>
      <w:numFmt w:val="bullet"/>
      <w:lvlText w:val="•"/>
      <w:lvlJc w:val="left"/>
      <w:pPr>
        <w:ind w:left="6800" w:hanging="322"/>
      </w:pPr>
      <w:rPr>
        <w:rFonts w:hint="default"/>
        <w:lang w:val="zh-CN" w:eastAsia="zh-CN" w:bidi="zh-CN"/>
      </w:rPr>
    </w:lvl>
    <w:lvl w:ilvl="8" w:tentative="0">
      <w:start w:val="0"/>
      <w:numFmt w:val="bullet"/>
      <w:lvlText w:val="•"/>
      <w:lvlJc w:val="left"/>
      <w:pPr>
        <w:ind w:left="7588" w:hanging="322"/>
      </w:pPr>
      <w:rPr>
        <w:rFonts w:hint="default"/>
        <w:lang w:val="zh-CN" w:eastAsia="zh-CN" w:bidi="zh-CN"/>
      </w:rPr>
    </w:lvl>
  </w:abstractNum>
  <w:abstractNum w:abstractNumId="6">
    <w:nsid w:val="9D7EB8E6"/>
    <w:multiLevelType w:val="multilevel"/>
    <w:tmpl w:val="9D7EB8E6"/>
    <w:lvl w:ilvl="0" w:tentative="0">
      <w:start w:val="1"/>
      <w:numFmt w:val="decimal"/>
      <w:lvlText w:val="（%1）"/>
      <w:lvlJc w:val="left"/>
      <w:pPr>
        <w:ind w:left="1760" w:hanging="800"/>
        <w:jc w:val="left"/>
      </w:pPr>
      <w:rPr>
        <w:rFonts w:hint="default" w:ascii="仿宋_GB2312" w:hAnsi="仿宋_GB2312" w:eastAsia="仿宋_GB2312" w:cs="仿宋_GB2312"/>
        <w:w w:val="99"/>
        <w:sz w:val="30"/>
        <w:szCs w:val="30"/>
        <w:lang w:val="zh-CN" w:eastAsia="zh-CN" w:bidi="zh-CN"/>
      </w:rPr>
    </w:lvl>
    <w:lvl w:ilvl="1" w:tentative="0">
      <w:start w:val="0"/>
      <w:numFmt w:val="bullet"/>
      <w:lvlText w:val="•"/>
      <w:lvlJc w:val="left"/>
      <w:pPr>
        <w:ind w:left="2500" w:hanging="800"/>
      </w:pPr>
      <w:rPr>
        <w:rFonts w:hint="default"/>
        <w:lang w:val="zh-CN" w:eastAsia="zh-CN" w:bidi="zh-CN"/>
      </w:rPr>
    </w:lvl>
    <w:lvl w:ilvl="2" w:tentative="0">
      <w:start w:val="0"/>
      <w:numFmt w:val="bullet"/>
      <w:lvlText w:val="•"/>
      <w:lvlJc w:val="left"/>
      <w:pPr>
        <w:ind w:left="3241" w:hanging="800"/>
      </w:pPr>
      <w:rPr>
        <w:rFonts w:hint="default"/>
        <w:lang w:val="zh-CN" w:eastAsia="zh-CN" w:bidi="zh-CN"/>
      </w:rPr>
    </w:lvl>
    <w:lvl w:ilvl="3" w:tentative="0">
      <w:start w:val="0"/>
      <w:numFmt w:val="bullet"/>
      <w:lvlText w:val="•"/>
      <w:lvlJc w:val="left"/>
      <w:pPr>
        <w:ind w:left="3981" w:hanging="800"/>
      </w:pPr>
      <w:rPr>
        <w:rFonts w:hint="default"/>
        <w:lang w:val="zh-CN" w:eastAsia="zh-CN" w:bidi="zh-CN"/>
      </w:rPr>
    </w:lvl>
    <w:lvl w:ilvl="4" w:tentative="0">
      <w:start w:val="0"/>
      <w:numFmt w:val="bullet"/>
      <w:lvlText w:val="•"/>
      <w:lvlJc w:val="left"/>
      <w:pPr>
        <w:ind w:left="4722" w:hanging="800"/>
      </w:pPr>
      <w:rPr>
        <w:rFonts w:hint="default"/>
        <w:lang w:val="zh-CN" w:eastAsia="zh-CN" w:bidi="zh-CN"/>
      </w:rPr>
    </w:lvl>
    <w:lvl w:ilvl="5" w:tentative="0">
      <w:start w:val="0"/>
      <w:numFmt w:val="bullet"/>
      <w:lvlText w:val="•"/>
      <w:lvlJc w:val="left"/>
      <w:pPr>
        <w:ind w:left="5463" w:hanging="800"/>
      </w:pPr>
      <w:rPr>
        <w:rFonts w:hint="default"/>
        <w:lang w:val="zh-CN" w:eastAsia="zh-CN" w:bidi="zh-CN"/>
      </w:rPr>
    </w:lvl>
    <w:lvl w:ilvl="6" w:tentative="0">
      <w:start w:val="0"/>
      <w:numFmt w:val="bullet"/>
      <w:lvlText w:val="•"/>
      <w:lvlJc w:val="left"/>
      <w:pPr>
        <w:ind w:left="6203" w:hanging="800"/>
      </w:pPr>
      <w:rPr>
        <w:rFonts w:hint="default"/>
        <w:lang w:val="zh-CN" w:eastAsia="zh-CN" w:bidi="zh-CN"/>
      </w:rPr>
    </w:lvl>
    <w:lvl w:ilvl="7" w:tentative="0">
      <w:start w:val="0"/>
      <w:numFmt w:val="bullet"/>
      <w:lvlText w:val="•"/>
      <w:lvlJc w:val="left"/>
      <w:pPr>
        <w:ind w:left="6944" w:hanging="800"/>
      </w:pPr>
      <w:rPr>
        <w:rFonts w:hint="default"/>
        <w:lang w:val="zh-CN" w:eastAsia="zh-CN" w:bidi="zh-CN"/>
      </w:rPr>
    </w:lvl>
    <w:lvl w:ilvl="8" w:tentative="0">
      <w:start w:val="0"/>
      <w:numFmt w:val="bullet"/>
      <w:lvlText w:val="•"/>
      <w:lvlJc w:val="left"/>
      <w:pPr>
        <w:ind w:left="7684" w:hanging="800"/>
      </w:pPr>
      <w:rPr>
        <w:rFonts w:hint="default"/>
        <w:lang w:val="zh-CN" w:eastAsia="zh-CN" w:bidi="zh-CN"/>
      </w:rPr>
    </w:lvl>
  </w:abstractNum>
  <w:abstractNum w:abstractNumId="7">
    <w:nsid w:val="9DFC6F65"/>
    <w:multiLevelType w:val="multilevel"/>
    <w:tmpl w:val="9DFC6F65"/>
    <w:lvl w:ilvl="0" w:tentative="0">
      <w:start w:val="1"/>
      <w:numFmt w:val="decimal"/>
      <w:lvlText w:val="（%1）"/>
      <w:lvlJc w:val="left"/>
      <w:pPr>
        <w:ind w:left="1760" w:hanging="800"/>
        <w:jc w:val="left"/>
      </w:pPr>
      <w:rPr>
        <w:rFonts w:hint="default" w:ascii="仿宋_GB2312" w:hAnsi="仿宋_GB2312" w:eastAsia="仿宋_GB2312" w:cs="仿宋_GB2312"/>
        <w:w w:val="99"/>
        <w:sz w:val="30"/>
        <w:szCs w:val="30"/>
        <w:lang w:val="zh-CN" w:eastAsia="zh-CN" w:bidi="zh-CN"/>
      </w:rPr>
    </w:lvl>
    <w:lvl w:ilvl="1" w:tentative="0">
      <w:start w:val="0"/>
      <w:numFmt w:val="bullet"/>
      <w:lvlText w:val="•"/>
      <w:lvlJc w:val="left"/>
      <w:pPr>
        <w:ind w:left="2500" w:hanging="800"/>
      </w:pPr>
      <w:rPr>
        <w:rFonts w:hint="default"/>
        <w:lang w:val="zh-CN" w:eastAsia="zh-CN" w:bidi="zh-CN"/>
      </w:rPr>
    </w:lvl>
    <w:lvl w:ilvl="2" w:tentative="0">
      <w:start w:val="0"/>
      <w:numFmt w:val="bullet"/>
      <w:lvlText w:val="•"/>
      <w:lvlJc w:val="left"/>
      <w:pPr>
        <w:ind w:left="3241" w:hanging="800"/>
      </w:pPr>
      <w:rPr>
        <w:rFonts w:hint="default"/>
        <w:lang w:val="zh-CN" w:eastAsia="zh-CN" w:bidi="zh-CN"/>
      </w:rPr>
    </w:lvl>
    <w:lvl w:ilvl="3" w:tentative="0">
      <w:start w:val="0"/>
      <w:numFmt w:val="bullet"/>
      <w:lvlText w:val="•"/>
      <w:lvlJc w:val="left"/>
      <w:pPr>
        <w:ind w:left="3981" w:hanging="800"/>
      </w:pPr>
      <w:rPr>
        <w:rFonts w:hint="default"/>
        <w:lang w:val="zh-CN" w:eastAsia="zh-CN" w:bidi="zh-CN"/>
      </w:rPr>
    </w:lvl>
    <w:lvl w:ilvl="4" w:tentative="0">
      <w:start w:val="0"/>
      <w:numFmt w:val="bullet"/>
      <w:lvlText w:val="•"/>
      <w:lvlJc w:val="left"/>
      <w:pPr>
        <w:ind w:left="4722" w:hanging="800"/>
      </w:pPr>
      <w:rPr>
        <w:rFonts w:hint="default"/>
        <w:lang w:val="zh-CN" w:eastAsia="zh-CN" w:bidi="zh-CN"/>
      </w:rPr>
    </w:lvl>
    <w:lvl w:ilvl="5" w:tentative="0">
      <w:start w:val="0"/>
      <w:numFmt w:val="bullet"/>
      <w:lvlText w:val="•"/>
      <w:lvlJc w:val="left"/>
      <w:pPr>
        <w:ind w:left="5463" w:hanging="800"/>
      </w:pPr>
      <w:rPr>
        <w:rFonts w:hint="default"/>
        <w:lang w:val="zh-CN" w:eastAsia="zh-CN" w:bidi="zh-CN"/>
      </w:rPr>
    </w:lvl>
    <w:lvl w:ilvl="6" w:tentative="0">
      <w:start w:val="0"/>
      <w:numFmt w:val="bullet"/>
      <w:lvlText w:val="•"/>
      <w:lvlJc w:val="left"/>
      <w:pPr>
        <w:ind w:left="6203" w:hanging="800"/>
      </w:pPr>
      <w:rPr>
        <w:rFonts w:hint="default"/>
        <w:lang w:val="zh-CN" w:eastAsia="zh-CN" w:bidi="zh-CN"/>
      </w:rPr>
    </w:lvl>
    <w:lvl w:ilvl="7" w:tentative="0">
      <w:start w:val="0"/>
      <w:numFmt w:val="bullet"/>
      <w:lvlText w:val="•"/>
      <w:lvlJc w:val="left"/>
      <w:pPr>
        <w:ind w:left="6944" w:hanging="800"/>
      </w:pPr>
      <w:rPr>
        <w:rFonts w:hint="default"/>
        <w:lang w:val="zh-CN" w:eastAsia="zh-CN" w:bidi="zh-CN"/>
      </w:rPr>
    </w:lvl>
    <w:lvl w:ilvl="8" w:tentative="0">
      <w:start w:val="0"/>
      <w:numFmt w:val="bullet"/>
      <w:lvlText w:val="•"/>
      <w:lvlJc w:val="left"/>
      <w:pPr>
        <w:ind w:left="7684" w:hanging="800"/>
      </w:pPr>
      <w:rPr>
        <w:rFonts w:hint="default"/>
        <w:lang w:val="zh-CN" w:eastAsia="zh-CN" w:bidi="zh-CN"/>
      </w:rPr>
    </w:lvl>
  </w:abstractNum>
  <w:abstractNum w:abstractNumId="8">
    <w:nsid w:val="9F81B9F9"/>
    <w:multiLevelType w:val="multilevel"/>
    <w:tmpl w:val="9F81B9F9"/>
    <w:lvl w:ilvl="0" w:tentative="0">
      <w:start w:val="1"/>
      <w:numFmt w:val="decimal"/>
      <w:lvlText w:val="（%1）"/>
      <w:lvlJc w:val="left"/>
      <w:pPr>
        <w:ind w:left="320" w:hanging="800"/>
        <w:jc w:val="left"/>
      </w:pPr>
      <w:rPr>
        <w:rFonts w:hint="default" w:ascii="仿宋_GB2312" w:hAnsi="仿宋_GB2312" w:eastAsia="仿宋_GB2312" w:cs="仿宋_GB2312"/>
        <w:spacing w:val="-15"/>
        <w:w w:val="99"/>
        <w:sz w:val="30"/>
        <w:szCs w:val="30"/>
        <w:lang w:val="zh-CN" w:eastAsia="zh-CN" w:bidi="zh-CN"/>
      </w:rPr>
    </w:lvl>
    <w:lvl w:ilvl="1" w:tentative="0">
      <w:start w:val="0"/>
      <w:numFmt w:val="bullet"/>
      <w:lvlText w:val="•"/>
      <w:lvlJc w:val="left"/>
      <w:pPr>
        <w:ind w:left="1204" w:hanging="800"/>
      </w:pPr>
      <w:rPr>
        <w:rFonts w:hint="default"/>
        <w:lang w:val="zh-CN" w:eastAsia="zh-CN" w:bidi="zh-CN"/>
      </w:rPr>
    </w:lvl>
    <w:lvl w:ilvl="2" w:tentative="0">
      <w:start w:val="0"/>
      <w:numFmt w:val="bullet"/>
      <w:lvlText w:val="•"/>
      <w:lvlJc w:val="left"/>
      <w:pPr>
        <w:ind w:left="2089" w:hanging="800"/>
      </w:pPr>
      <w:rPr>
        <w:rFonts w:hint="default"/>
        <w:lang w:val="zh-CN" w:eastAsia="zh-CN" w:bidi="zh-CN"/>
      </w:rPr>
    </w:lvl>
    <w:lvl w:ilvl="3" w:tentative="0">
      <w:start w:val="0"/>
      <w:numFmt w:val="bullet"/>
      <w:lvlText w:val="•"/>
      <w:lvlJc w:val="left"/>
      <w:pPr>
        <w:ind w:left="2973" w:hanging="800"/>
      </w:pPr>
      <w:rPr>
        <w:rFonts w:hint="default"/>
        <w:lang w:val="zh-CN" w:eastAsia="zh-CN" w:bidi="zh-CN"/>
      </w:rPr>
    </w:lvl>
    <w:lvl w:ilvl="4" w:tentative="0">
      <w:start w:val="0"/>
      <w:numFmt w:val="bullet"/>
      <w:lvlText w:val="•"/>
      <w:lvlJc w:val="left"/>
      <w:pPr>
        <w:ind w:left="3858" w:hanging="800"/>
      </w:pPr>
      <w:rPr>
        <w:rFonts w:hint="default"/>
        <w:lang w:val="zh-CN" w:eastAsia="zh-CN" w:bidi="zh-CN"/>
      </w:rPr>
    </w:lvl>
    <w:lvl w:ilvl="5" w:tentative="0">
      <w:start w:val="0"/>
      <w:numFmt w:val="bullet"/>
      <w:lvlText w:val="•"/>
      <w:lvlJc w:val="left"/>
      <w:pPr>
        <w:ind w:left="4743" w:hanging="800"/>
      </w:pPr>
      <w:rPr>
        <w:rFonts w:hint="default"/>
        <w:lang w:val="zh-CN" w:eastAsia="zh-CN" w:bidi="zh-CN"/>
      </w:rPr>
    </w:lvl>
    <w:lvl w:ilvl="6" w:tentative="0">
      <w:start w:val="0"/>
      <w:numFmt w:val="bullet"/>
      <w:lvlText w:val="•"/>
      <w:lvlJc w:val="left"/>
      <w:pPr>
        <w:ind w:left="5627" w:hanging="800"/>
      </w:pPr>
      <w:rPr>
        <w:rFonts w:hint="default"/>
        <w:lang w:val="zh-CN" w:eastAsia="zh-CN" w:bidi="zh-CN"/>
      </w:rPr>
    </w:lvl>
    <w:lvl w:ilvl="7" w:tentative="0">
      <w:start w:val="0"/>
      <w:numFmt w:val="bullet"/>
      <w:lvlText w:val="•"/>
      <w:lvlJc w:val="left"/>
      <w:pPr>
        <w:ind w:left="6512" w:hanging="800"/>
      </w:pPr>
      <w:rPr>
        <w:rFonts w:hint="default"/>
        <w:lang w:val="zh-CN" w:eastAsia="zh-CN" w:bidi="zh-CN"/>
      </w:rPr>
    </w:lvl>
    <w:lvl w:ilvl="8" w:tentative="0">
      <w:start w:val="0"/>
      <w:numFmt w:val="bullet"/>
      <w:lvlText w:val="•"/>
      <w:lvlJc w:val="left"/>
      <w:pPr>
        <w:ind w:left="7396" w:hanging="800"/>
      </w:pPr>
      <w:rPr>
        <w:rFonts w:hint="default"/>
        <w:lang w:val="zh-CN" w:eastAsia="zh-CN" w:bidi="zh-CN"/>
      </w:rPr>
    </w:lvl>
  </w:abstractNum>
  <w:abstractNum w:abstractNumId="9">
    <w:nsid w:val="A97D620A"/>
    <w:multiLevelType w:val="multilevel"/>
    <w:tmpl w:val="A97D620A"/>
    <w:lvl w:ilvl="0" w:tentative="0">
      <w:start w:val="1"/>
      <w:numFmt w:val="decimal"/>
      <w:lvlText w:val="%1."/>
      <w:lvlJc w:val="left"/>
      <w:pPr>
        <w:ind w:left="320" w:hanging="324"/>
        <w:jc w:val="left"/>
      </w:pPr>
      <w:rPr>
        <w:rFonts w:hint="default" w:ascii="黑体" w:hAnsi="黑体" w:eastAsia="黑体" w:cs="黑体"/>
        <w:spacing w:val="1"/>
        <w:w w:val="99"/>
        <w:sz w:val="30"/>
        <w:szCs w:val="30"/>
        <w:lang w:val="zh-CN" w:eastAsia="zh-CN" w:bidi="zh-CN"/>
      </w:rPr>
    </w:lvl>
    <w:lvl w:ilvl="1" w:tentative="0">
      <w:start w:val="0"/>
      <w:numFmt w:val="bullet"/>
      <w:lvlText w:val="•"/>
      <w:lvlJc w:val="left"/>
      <w:pPr>
        <w:ind w:left="1204" w:hanging="324"/>
      </w:pPr>
      <w:rPr>
        <w:rFonts w:hint="default"/>
        <w:lang w:val="zh-CN" w:eastAsia="zh-CN" w:bidi="zh-CN"/>
      </w:rPr>
    </w:lvl>
    <w:lvl w:ilvl="2" w:tentative="0">
      <w:start w:val="0"/>
      <w:numFmt w:val="bullet"/>
      <w:lvlText w:val="•"/>
      <w:lvlJc w:val="left"/>
      <w:pPr>
        <w:ind w:left="2089" w:hanging="324"/>
      </w:pPr>
      <w:rPr>
        <w:rFonts w:hint="default"/>
        <w:lang w:val="zh-CN" w:eastAsia="zh-CN" w:bidi="zh-CN"/>
      </w:rPr>
    </w:lvl>
    <w:lvl w:ilvl="3" w:tentative="0">
      <w:start w:val="0"/>
      <w:numFmt w:val="bullet"/>
      <w:lvlText w:val="•"/>
      <w:lvlJc w:val="left"/>
      <w:pPr>
        <w:ind w:left="2973" w:hanging="324"/>
      </w:pPr>
      <w:rPr>
        <w:rFonts w:hint="default"/>
        <w:lang w:val="zh-CN" w:eastAsia="zh-CN" w:bidi="zh-CN"/>
      </w:rPr>
    </w:lvl>
    <w:lvl w:ilvl="4" w:tentative="0">
      <w:start w:val="0"/>
      <w:numFmt w:val="bullet"/>
      <w:lvlText w:val="•"/>
      <w:lvlJc w:val="left"/>
      <w:pPr>
        <w:ind w:left="3858" w:hanging="324"/>
      </w:pPr>
      <w:rPr>
        <w:rFonts w:hint="default"/>
        <w:lang w:val="zh-CN" w:eastAsia="zh-CN" w:bidi="zh-CN"/>
      </w:rPr>
    </w:lvl>
    <w:lvl w:ilvl="5" w:tentative="0">
      <w:start w:val="0"/>
      <w:numFmt w:val="bullet"/>
      <w:lvlText w:val="•"/>
      <w:lvlJc w:val="left"/>
      <w:pPr>
        <w:ind w:left="4743" w:hanging="324"/>
      </w:pPr>
      <w:rPr>
        <w:rFonts w:hint="default"/>
        <w:lang w:val="zh-CN" w:eastAsia="zh-CN" w:bidi="zh-CN"/>
      </w:rPr>
    </w:lvl>
    <w:lvl w:ilvl="6" w:tentative="0">
      <w:start w:val="0"/>
      <w:numFmt w:val="bullet"/>
      <w:lvlText w:val="•"/>
      <w:lvlJc w:val="left"/>
      <w:pPr>
        <w:ind w:left="5627" w:hanging="324"/>
      </w:pPr>
      <w:rPr>
        <w:rFonts w:hint="default"/>
        <w:lang w:val="zh-CN" w:eastAsia="zh-CN" w:bidi="zh-CN"/>
      </w:rPr>
    </w:lvl>
    <w:lvl w:ilvl="7" w:tentative="0">
      <w:start w:val="0"/>
      <w:numFmt w:val="bullet"/>
      <w:lvlText w:val="•"/>
      <w:lvlJc w:val="left"/>
      <w:pPr>
        <w:ind w:left="6512" w:hanging="324"/>
      </w:pPr>
      <w:rPr>
        <w:rFonts w:hint="default"/>
        <w:lang w:val="zh-CN" w:eastAsia="zh-CN" w:bidi="zh-CN"/>
      </w:rPr>
    </w:lvl>
    <w:lvl w:ilvl="8" w:tentative="0">
      <w:start w:val="0"/>
      <w:numFmt w:val="bullet"/>
      <w:lvlText w:val="•"/>
      <w:lvlJc w:val="left"/>
      <w:pPr>
        <w:ind w:left="7396" w:hanging="324"/>
      </w:pPr>
      <w:rPr>
        <w:rFonts w:hint="default"/>
        <w:lang w:val="zh-CN" w:eastAsia="zh-CN" w:bidi="zh-CN"/>
      </w:rPr>
    </w:lvl>
  </w:abstractNum>
  <w:abstractNum w:abstractNumId="10">
    <w:nsid w:val="A9AC3AA7"/>
    <w:multiLevelType w:val="multilevel"/>
    <w:tmpl w:val="A9AC3AA7"/>
    <w:lvl w:ilvl="0" w:tentative="0">
      <w:start w:val="1"/>
      <w:numFmt w:val="decimal"/>
      <w:lvlText w:val="%1."/>
      <w:lvlJc w:val="left"/>
      <w:pPr>
        <w:ind w:left="320" w:hanging="322"/>
        <w:jc w:val="left"/>
      </w:pPr>
      <w:rPr>
        <w:rFonts w:hint="default" w:ascii="仿宋_GB2312" w:hAnsi="仿宋_GB2312" w:eastAsia="仿宋_GB2312" w:cs="仿宋_GB2312"/>
        <w:spacing w:val="-2"/>
        <w:w w:val="99"/>
        <w:sz w:val="30"/>
        <w:szCs w:val="30"/>
        <w:lang w:val="zh-CN" w:eastAsia="zh-CN" w:bidi="zh-CN"/>
      </w:rPr>
    </w:lvl>
    <w:lvl w:ilvl="1" w:tentative="0">
      <w:start w:val="0"/>
      <w:numFmt w:val="bullet"/>
      <w:lvlText w:val="•"/>
      <w:lvlJc w:val="left"/>
      <w:pPr>
        <w:ind w:left="1204" w:hanging="322"/>
      </w:pPr>
      <w:rPr>
        <w:rFonts w:hint="default"/>
        <w:lang w:val="zh-CN" w:eastAsia="zh-CN" w:bidi="zh-CN"/>
      </w:rPr>
    </w:lvl>
    <w:lvl w:ilvl="2" w:tentative="0">
      <w:start w:val="0"/>
      <w:numFmt w:val="bullet"/>
      <w:lvlText w:val="•"/>
      <w:lvlJc w:val="left"/>
      <w:pPr>
        <w:ind w:left="2089" w:hanging="322"/>
      </w:pPr>
      <w:rPr>
        <w:rFonts w:hint="default"/>
        <w:lang w:val="zh-CN" w:eastAsia="zh-CN" w:bidi="zh-CN"/>
      </w:rPr>
    </w:lvl>
    <w:lvl w:ilvl="3" w:tentative="0">
      <w:start w:val="0"/>
      <w:numFmt w:val="bullet"/>
      <w:lvlText w:val="•"/>
      <w:lvlJc w:val="left"/>
      <w:pPr>
        <w:ind w:left="2973" w:hanging="322"/>
      </w:pPr>
      <w:rPr>
        <w:rFonts w:hint="default"/>
        <w:lang w:val="zh-CN" w:eastAsia="zh-CN" w:bidi="zh-CN"/>
      </w:rPr>
    </w:lvl>
    <w:lvl w:ilvl="4" w:tentative="0">
      <w:start w:val="0"/>
      <w:numFmt w:val="bullet"/>
      <w:lvlText w:val="•"/>
      <w:lvlJc w:val="left"/>
      <w:pPr>
        <w:ind w:left="3858" w:hanging="322"/>
      </w:pPr>
      <w:rPr>
        <w:rFonts w:hint="default"/>
        <w:lang w:val="zh-CN" w:eastAsia="zh-CN" w:bidi="zh-CN"/>
      </w:rPr>
    </w:lvl>
    <w:lvl w:ilvl="5" w:tentative="0">
      <w:start w:val="0"/>
      <w:numFmt w:val="bullet"/>
      <w:lvlText w:val="•"/>
      <w:lvlJc w:val="left"/>
      <w:pPr>
        <w:ind w:left="4743" w:hanging="322"/>
      </w:pPr>
      <w:rPr>
        <w:rFonts w:hint="default"/>
        <w:lang w:val="zh-CN" w:eastAsia="zh-CN" w:bidi="zh-CN"/>
      </w:rPr>
    </w:lvl>
    <w:lvl w:ilvl="6" w:tentative="0">
      <w:start w:val="0"/>
      <w:numFmt w:val="bullet"/>
      <w:lvlText w:val="•"/>
      <w:lvlJc w:val="left"/>
      <w:pPr>
        <w:ind w:left="5627" w:hanging="322"/>
      </w:pPr>
      <w:rPr>
        <w:rFonts w:hint="default"/>
        <w:lang w:val="zh-CN" w:eastAsia="zh-CN" w:bidi="zh-CN"/>
      </w:rPr>
    </w:lvl>
    <w:lvl w:ilvl="7" w:tentative="0">
      <w:start w:val="0"/>
      <w:numFmt w:val="bullet"/>
      <w:lvlText w:val="•"/>
      <w:lvlJc w:val="left"/>
      <w:pPr>
        <w:ind w:left="6512" w:hanging="322"/>
      </w:pPr>
      <w:rPr>
        <w:rFonts w:hint="default"/>
        <w:lang w:val="zh-CN" w:eastAsia="zh-CN" w:bidi="zh-CN"/>
      </w:rPr>
    </w:lvl>
    <w:lvl w:ilvl="8" w:tentative="0">
      <w:start w:val="0"/>
      <w:numFmt w:val="bullet"/>
      <w:lvlText w:val="•"/>
      <w:lvlJc w:val="left"/>
      <w:pPr>
        <w:ind w:left="7396" w:hanging="322"/>
      </w:pPr>
      <w:rPr>
        <w:rFonts w:hint="default"/>
        <w:lang w:val="zh-CN" w:eastAsia="zh-CN" w:bidi="zh-CN"/>
      </w:rPr>
    </w:lvl>
  </w:abstractNum>
  <w:abstractNum w:abstractNumId="11">
    <w:nsid w:val="BF50FE6B"/>
    <w:multiLevelType w:val="multilevel"/>
    <w:tmpl w:val="BF50FE6B"/>
    <w:lvl w:ilvl="0" w:tentative="0">
      <w:start w:val="1"/>
      <w:numFmt w:val="decimal"/>
      <w:lvlText w:val="%1."/>
      <w:lvlJc w:val="left"/>
      <w:pPr>
        <w:ind w:left="320" w:hanging="332"/>
        <w:jc w:val="left"/>
      </w:pPr>
      <w:rPr>
        <w:rFonts w:hint="default" w:ascii="仿宋_GB2312" w:hAnsi="仿宋_GB2312" w:eastAsia="仿宋_GB2312" w:cs="仿宋_GB2312"/>
        <w:spacing w:val="1"/>
        <w:w w:val="99"/>
        <w:sz w:val="30"/>
        <w:szCs w:val="30"/>
        <w:lang w:val="zh-CN" w:eastAsia="zh-CN" w:bidi="zh-CN"/>
      </w:rPr>
    </w:lvl>
    <w:lvl w:ilvl="1" w:tentative="0">
      <w:start w:val="0"/>
      <w:numFmt w:val="bullet"/>
      <w:lvlText w:val="•"/>
      <w:lvlJc w:val="left"/>
      <w:pPr>
        <w:ind w:left="1204" w:hanging="332"/>
      </w:pPr>
      <w:rPr>
        <w:rFonts w:hint="default"/>
        <w:lang w:val="zh-CN" w:eastAsia="zh-CN" w:bidi="zh-CN"/>
      </w:rPr>
    </w:lvl>
    <w:lvl w:ilvl="2" w:tentative="0">
      <w:start w:val="0"/>
      <w:numFmt w:val="bullet"/>
      <w:lvlText w:val="•"/>
      <w:lvlJc w:val="left"/>
      <w:pPr>
        <w:ind w:left="2089" w:hanging="332"/>
      </w:pPr>
      <w:rPr>
        <w:rFonts w:hint="default"/>
        <w:lang w:val="zh-CN" w:eastAsia="zh-CN" w:bidi="zh-CN"/>
      </w:rPr>
    </w:lvl>
    <w:lvl w:ilvl="3" w:tentative="0">
      <w:start w:val="0"/>
      <w:numFmt w:val="bullet"/>
      <w:lvlText w:val="•"/>
      <w:lvlJc w:val="left"/>
      <w:pPr>
        <w:ind w:left="2973" w:hanging="332"/>
      </w:pPr>
      <w:rPr>
        <w:rFonts w:hint="default"/>
        <w:lang w:val="zh-CN" w:eastAsia="zh-CN" w:bidi="zh-CN"/>
      </w:rPr>
    </w:lvl>
    <w:lvl w:ilvl="4" w:tentative="0">
      <w:start w:val="0"/>
      <w:numFmt w:val="bullet"/>
      <w:lvlText w:val="•"/>
      <w:lvlJc w:val="left"/>
      <w:pPr>
        <w:ind w:left="3858" w:hanging="332"/>
      </w:pPr>
      <w:rPr>
        <w:rFonts w:hint="default"/>
        <w:lang w:val="zh-CN" w:eastAsia="zh-CN" w:bidi="zh-CN"/>
      </w:rPr>
    </w:lvl>
    <w:lvl w:ilvl="5" w:tentative="0">
      <w:start w:val="0"/>
      <w:numFmt w:val="bullet"/>
      <w:lvlText w:val="•"/>
      <w:lvlJc w:val="left"/>
      <w:pPr>
        <w:ind w:left="4743" w:hanging="332"/>
      </w:pPr>
      <w:rPr>
        <w:rFonts w:hint="default"/>
        <w:lang w:val="zh-CN" w:eastAsia="zh-CN" w:bidi="zh-CN"/>
      </w:rPr>
    </w:lvl>
    <w:lvl w:ilvl="6" w:tentative="0">
      <w:start w:val="0"/>
      <w:numFmt w:val="bullet"/>
      <w:lvlText w:val="•"/>
      <w:lvlJc w:val="left"/>
      <w:pPr>
        <w:ind w:left="5627" w:hanging="332"/>
      </w:pPr>
      <w:rPr>
        <w:rFonts w:hint="default"/>
        <w:lang w:val="zh-CN" w:eastAsia="zh-CN" w:bidi="zh-CN"/>
      </w:rPr>
    </w:lvl>
    <w:lvl w:ilvl="7" w:tentative="0">
      <w:start w:val="0"/>
      <w:numFmt w:val="bullet"/>
      <w:lvlText w:val="•"/>
      <w:lvlJc w:val="left"/>
      <w:pPr>
        <w:ind w:left="6512" w:hanging="332"/>
      </w:pPr>
      <w:rPr>
        <w:rFonts w:hint="default"/>
        <w:lang w:val="zh-CN" w:eastAsia="zh-CN" w:bidi="zh-CN"/>
      </w:rPr>
    </w:lvl>
    <w:lvl w:ilvl="8" w:tentative="0">
      <w:start w:val="0"/>
      <w:numFmt w:val="bullet"/>
      <w:lvlText w:val="•"/>
      <w:lvlJc w:val="left"/>
      <w:pPr>
        <w:ind w:left="7396" w:hanging="332"/>
      </w:pPr>
      <w:rPr>
        <w:rFonts w:hint="default"/>
        <w:lang w:val="zh-CN" w:eastAsia="zh-CN" w:bidi="zh-CN"/>
      </w:rPr>
    </w:lvl>
  </w:abstractNum>
  <w:abstractNum w:abstractNumId="12">
    <w:nsid w:val="C90D1B09"/>
    <w:multiLevelType w:val="multilevel"/>
    <w:tmpl w:val="C90D1B09"/>
    <w:lvl w:ilvl="0" w:tentative="0">
      <w:start w:val="1"/>
      <w:numFmt w:val="decimal"/>
      <w:lvlText w:val="（%1）"/>
      <w:lvlJc w:val="left"/>
      <w:pPr>
        <w:ind w:left="1788" w:hanging="819"/>
        <w:jc w:val="left"/>
      </w:pPr>
      <w:rPr>
        <w:rFonts w:hint="default" w:ascii="仿宋_GB2312" w:hAnsi="仿宋_GB2312" w:eastAsia="仿宋_GB2312" w:cs="仿宋_GB2312"/>
        <w:spacing w:val="6"/>
        <w:w w:val="99"/>
        <w:sz w:val="30"/>
        <w:szCs w:val="30"/>
        <w:lang w:val="zh-CN" w:eastAsia="zh-CN" w:bidi="zh-CN"/>
      </w:rPr>
    </w:lvl>
    <w:lvl w:ilvl="1" w:tentative="0">
      <w:start w:val="0"/>
      <w:numFmt w:val="bullet"/>
      <w:lvlText w:val="•"/>
      <w:lvlJc w:val="left"/>
      <w:pPr>
        <w:ind w:left="2518" w:hanging="819"/>
      </w:pPr>
      <w:rPr>
        <w:rFonts w:hint="default"/>
        <w:lang w:val="zh-CN" w:eastAsia="zh-CN" w:bidi="zh-CN"/>
      </w:rPr>
    </w:lvl>
    <w:lvl w:ilvl="2" w:tentative="0">
      <w:start w:val="0"/>
      <w:numFmt w:val="bullet"/>
      <w:lvlText w:val="•"/>
      <w:lvlJc w:val="left"/>
      <w:pPr>
        <w:ind w:left="3257" w:hanging="819"/>
      </w:pPr>
      <w:rPr>
        <w:rFonts w:hint="default"/>
        <w:lang w:val="zh-CN" w:eastAsia="zh-CN" w:bidi="zh-CN"/>
      </w:rPr>
    </w:lvl>
    <w:lvl w:ilvl="3" w:tentative="0">
      <w:start w:val="0"/>
      <w:numFmt w:val="bullet"/>
      <w:lvlText w:val="•"/>
      <w:lvlJc w:val="left"/>
      <w:pPr>
        <w:ind w:left="3995" w:hanging="819"/>
      </w:pPr>
      <w:rPr>
        <w:rFonts w:hint="default"/>
        <w:lang w:val="zh-CN" w:eastAsia="zh-CN" w:bidi="zh-CN"/>
      </w:rPr>
    </w:lvl>
    <w:lvl w:ilvl="4" w:tentative="0">
      <w:start w:val="0"/>
      <w:numFmt w:val="bullet"/>
      <w:lvlText w:val="•"/>
      <w:lvlJc w:val="left"/>
      <w:pPr>
        <w:ind w:left="4734" w:hanging="819"/>
      </w:pPr>
      <w:rPr>
        <w:rFonts w:hint="default"/>
        <w:lang w:val="zh-CN" w:eastAsia="zh-CN" w:bidi="zh-CN"/>
      </w:rPr>
    </w:lvl>
    <w:lvl w:ilvl="5" w:tentative="0">
      <w:start w:val="0"/>
      <w:numFmt w:val="bullet"/>
      <w:lvlText w:val="•"/>
      <w:lvlJc w:val="left"/>
      <w:pPr>
        <w:ind w:left="5473" w:hanging="819"/>
      </w:pPr>
      <w:rPr>
        <w:rFonts w:hint="default"/>
        <w:lang w:val="zh-CN" w:eastAsia="zh-CN" w:bidi="zh-CN"/>
      </w:rPr>
    </w:lvl>
    <w:lvl w:ilvl="6" w:tentative="0">
      <w:start w:val="0"/>
      <w:numFmt w:val="bullet"/>
      <w:lvlText w:val="•"/>
      <w:lvlJc w:val="left"/>
      <w:pPr>
        <w:ind w:left="6211" w:hanging="819"/>
      </w:pPr>
      <w:rPr>
        <w:rFonts w:hint="default"/>
        <w:lang w:val="zh-CN" w:eastAsia="zh-CN" w:bidi="zh-CN"/>
      </w:rPr>
    </w:lvl>
    <w:lvl w:ilvl="7" w:tentative="0">
      <w:start w:val="0"/>
      <w:numFmt w:val="bullet"/>
      <w:lvlText w:val="•"/>
      <w:lvlJc w:val="left"/>
      <w:pPr>
        <w:ind w:left="6950" w:hanging="819"/>
      </w:pPr>
      <w:rPr>
        <w:rFonts w:hint="default"/>
        <w:lang w:val="zh-CN" w:eastAsia="zh-CN" w:bidi="zh-CN"/>
      </w:rPr>
    </w:lvl>
    <w:lvl w:ilvl="8" w:tentative="0">
      <w:start w:val="0"/>
      <w:numFmt w:val="bullet"/>
      <w:lvlText w:val="•"/>
      <w:lvlJc w:val="left"/>
      <w:pPr>
        <w:ind w:left="7688" w:hanging="819"/>
      </w:pPr>
      <w:rPr>
        <w:rFonts w:hint="default"/>
        <w:lang w:val="zh-CN" w:eastAsia="zh-CN" w:bidi="zh-CN"/>
      </w:rPr>
    </w:lvl>
  </w:abstractNum>
  <w:abstractNum w:abstractNumId="13">
    <w:nsid w:val="C9412743"/>
    <w:multiLevelType w:val="multilevel"/>
    <w:tmpl w:val="C9412743"/>
    <w:lvl w:ilvl="0" w:tentative="0">
      <w:start w:val="17"/>
      <w:numFmt w:val="decimal"/>
      <w:lvlText w:val="%1."/>
      <w:lvlJc w:val="left"/>
      <w:pPr>
        <w:ind w:left="804" w:hanging="485"/>
        <w:jc w:val="left"/>
      </w:pPr>
      <w:rPr>
        <w:rFonts w:hint="default" w:ascii="仿宋" w:hAnsi="仿宋" w:eastAsia="仿宋" w:cs="仿宋"/>
        <w:b/>
        <w:bCs/>
        <w:spacing w:val="-2"/>
        <w:w w:val="98"/>
        <w:sz w:val="30"/>
        <w:szCs w:val="30"/>
        <w:lang w:val="zh-CN" w:eastAsia="zh-CN" w:bidi="zh-CN"/>
      </w:rPr>
    </w:lvl>
    <w:lvl w:ilvl="1" w:tentative="0">
      <w:start w:val="1"/>
      <w:numFmt w:val="decimal"/>
      <w:lvlText w:val="%2."/>
      <w:lvlJc w:val="left"/>
      <w:pPr>
        <w:ind w:left="320" w:hanging="322"/>
        <w:jc w:val="left"/>
      </w:pPr>
      <w:rPr>
        <w:rFonts w:hint="default" w:ascii="仿宋_GB2312" w:hAnsi="仿宋_GB2312" w:eastAsia="仿宋_GB2312" w:cs="仿宋_GB2312"/>
        <w:spacing w:val="-2"/>
        <w:w w:val="99"/>
        <w:sz w:val="30"/>
        <w:szCs w:val="30"/>
        <w:lang w:val="zh-CN" w:eastAsia="zh-CN" w:bidi="zh-CN"/>
      </w:rPr>
    </w:lvl>
    <w:lvl w:ilvl="2" w:tentative="0">
      <w:start w:val="0"/>
      <w:numFmt w:val="bullet"/>
      <w:lvlText w:val="•"/>
      <w:lvlJc w:val="left"/>
      <w:pPr>
        <w:ind w:left="1729" w:hanging="322"/>
      </w:pPr>
      <w:rPr>
        <w:rFonts w:hint="default"/>
        <w:lang w:val="zh-CN" w:eastAsia="zh-CN" w:bidi="zh-CN"/>
      </w:rPr>
    </w:lvl>
    <w:lvl w:ilvl="3" w:tentative="0">
      <w:start w:val="0"/>
      <w:numFmt w:val="bullet"/>
      <w:lvlText w:val="•"/>
      <w:lvlJc w:val="left"/>
      <w:pPr>
        <w:ind w:left="2659" w:hanging="322"/>
      </w:pPr>
      <w:rPr>
        <w:rFonts w:hint="default"/>
        <w:lang w:val="zh-CN" w:eastAsia="zh-CN" w:bidi="zh-CN"/>
      </w:rPr>
    </w:lvl>
    <w:lvl w:ilvl="4" w:tentative="0">
      <w:start w:val="0"/>
      <w:numFmt w:val="bullet"/>
      <w:lvlText w:val="•"/>
      <w:lvlJc w:val="left"/>
      <w:pPr>
        <w:ind w:left="3588" w:hanging="322"/>
      </w:pPr>
      <w:rPr>
        <w:rFonts w:hint="default"/>
        <w:lang w:val="zh-CN" w:eastAsia="zh-CN" w:bidi="zh-CN"/>
      </w:rPr>
    </w:lvl>
    <w:lvl w:ilvl="5" w:tentative="0">
      <w:start w:val="0"/>
      <w:numFmt w:val="bullet"/>
      <w:lvlText w:val="•"/>
      <w:lvlJc w:val="left"/>
      <w:pPr>
        <w:ind w:left="4518" w:hanging="322"/>
      </w:pPr>
      <w:rPr>
        <w:rFonts w:hint="default"/>
        <w:lang w:val="zh-CN" w:eastAsia="zh-CN" w:bidi="zh-CN"/>
      </w:rPr>
    </w:lvl>
    <w:lvl w:ilvl="6" w:tentative="0">
      <w:start w:val="0"/>
      <w:numFmt w:val="bullet"/>
      <w:lvlText w:val="•"/>
      <w:lvlJc w:val="left"/>
      <w:pPr>
        <w:ind w:left="5447" w:hanging="322"/>
      </w:pPr>
      <w:rPr>
        <w:rFonts w:hint="default"/>
        <w:lang w:val="zh-CN" w:eastAsia="zh-CN" w:bidi="zh-CN"/>
      </w:rPr>
    </w:lvl>
    <w:lvl w:ilvl="7" w:tentative="0">
      <w:start w:val="0"/>
      <w:numFmt w:val="bullet"/>
      <w:lvlText w:val="•"/>
      <w:lvlJc w:val="left"/>
      <w:pPr>
        <w:ind w:left="6377" w:hanging="322"/>
      </w:pPr>
      <w:rPr>
        <w:rFonts w:hint="default"/>
        <w:lang w:val="zh-CN" w:eastAsia="zh-CN" w:bidi="zh-CN"/>
      </w:rPr>
    </w:lvl>
    <w:lvl w:ilvl="8" w:tentative="0">
      <w:start w:val="0"/>
      <w:numFmt w:val="bullet"/>
      <w:lvlText w:val="•"/>
      <w:lvlJc w:val="left"/>
      <w:pPr>
        <w:ind w:left="7306" w:hanging="322"/>
      </w:pPr>
      <w:rPr>
        <w:rFonts w:hint="default"/>
        <w:lang w:val="zh-CN" w:eastAsia="zh-CN" w:bidi="zh-CN"/>
      </w:rPr>
    </w:lvl>
  </w:abstractNum>
  <w:abstractNum w:abstractNumId="14">
    <w:nsid w:val="CD699D1D"/>
    <w:multiLevelType w:val="multilevel"/>
    <w:tmpl w:val="CD699D1D"/>
    <w:lvl w:ilvl="0" w:tentative="0">
      <w:start w:val="1"/>
      <w:numFmt w:val="decimal"/>
      <w:lvlText w:val="（%1）"/>
      <w:lvlJc w:val="left"/>
      <w:pPr>
        <w:ind w:left="1760" w:hanging="800"/>
        <w:jc w:val="left"/>
      </w:pPr>
      <w:rPr>
        <w:rFonts w:hint="default" w:ascii="仿宋_GB2312" w:hAnsi="仿宋_GB2312" w:eastAsia="仿宋_GB2312" w:cs="仿宋_GB2312"/>
        <w:w w:val="99"/>
        <w:sz w:val="30"/>
        <w:szCs w:val="30"/>
        <w:lang w:val="zh-CN" w:eastAsia="zh-CN" w:bidi="zh-CN"/>
      </w:rPr>
    </w:lvl>
    <w:lvl w:ilvl="1" w:tentative="0">
      <w:start w:val="0"/>
      <w:numFmt w:val="bullet"/>
      <w:lvlText w:val="•"/>
      <w:lvlJc w:val="left"/>
      <w:pPr>
        <w:ind w:left="2500" w:hanging="800"/>
      </w:pPr>
      <w:rPr>
        <w:rFonts w:hint="default"/>
        <w:lang w:val="zh-CN" w:eastAsia="zh-CN" w:bidi="zh-CN"/>
      </w:rPr>
    </w:lvl>
    <w:lvl w:ilvl="2" w:tentative="0">
      <w:start w:val="0"/>
      <w:numFmt w:val="bullet"/>
      <w:lvlText w:val="•"/>
      <w:lvlJc w:val="left"/>
      <w:pPr>
        <w:ind w:left="3241" w:hanging="800"/>
      </w:pPr>
      <w:rPr>
        <w:rFonts w:hint="default"/>
        <w:lang w:val="zh-CN" w:eastAsia="zh-CN" w:bidi="zh-CN"/>
      </w:rPr>
    </w:lvl>
    <w:lvl w:ilvl="3" w:tentative="0">
      <w:start w:val="0"/>
      <w:numFmt w:val="bullet"/>
      <w:lvlText w:val="•"/>
      <w:lvlJc w:val="left"/>
      <w:pPr>
        <w:ind w:left="3981" w:hanging="800"/>
      </w:pPr>
      <w:rPr>
        <w:rFonts w:hint="default"/>
        <w:lang w:val="zh-CN" w:eastAsia="zh-CN" w:bidi="zh-CN"/>
      </w:rPr>
    </w:lvl>
    <w:lvl w:ilvl="4" w:tentative="0">
      <w:start w:val="0"/>
      <w:numFmt w:val="bullet"/>
      <w:lvlText w:val="•"/>
      <w:lvlJc w:val="left"/>
      <w:pPr>
        <w:ind w:left="4722" w:hanging="800"/>
      </w:pPr>
      <w:rPr>
        <w:rFonts w:hint="default"/>
        <w:lang w:val="zh-CN" w:eastAsia="zh-CN" w:bidi="zh-CN"/>
      </w:rPr>
    </w:lvl>
    <w:lvl w:ilvl="5" w:tentative="0">
      <w:start w:val="0"/>
      <w:numFmt w:val="bullet"/>
      <w:lvlText w:val="•"/>
      <w:lvlJc w:val="left"/>
      <w:pPr>
        <w:ind w:left="5463" w:hanging="800"/>
      </w:pPr>
      <w:rPr>
        <w:rFonts w:hint="default"/>
        <w:lang w:val="zh-CN" w:eastAsia="zh-CN" w:bidi="zh-CN"/>
      </w:rPr>
    </w:lvl>
    <w:lvl w:ilvl="6" w:tentative="0">
      <w:start w:val="0"/>
      <w:numFmt w:val="bullet"/>
      <w:lvlText w:val="•"/>
      <w:lvlJc w:val="left"/>
      <w:pPr>
        <w:ind w:left="6203" w:hanging="800"/>
      </w:pPr>
      <w:rPr>
        <w:rFonts w:hint="default"/>
        <w:lang w:val="zh-CN" w:eastAsia="zh-CN" w:bidi="zh-CN"/>
      </w:rPr>
    </w:lvl>
    <w:lvl w:ilvl="7" w:tentative="0">
      <w:start w:val="0"/>
      <w:numFmt w:val="bullet"/>
      <w:lvlText w:val="•"/>
      <w:lvlJc w:val="left"/>
      <w:pPr>
        <w:ind w:left="6944" w:hanging="800"/>
      </w:pPr>
      <w:rPr>
        <w:rFonts w:hint="default"/>
        <w:lang w:val="zh-CN" w:eastAsia="zh-CN" w:bidi="zh-CN"/>
      </w:rPr>
    </w:lvl>
    <w:lvl w:ilvl="8" w:tentative="0">
      <w:start w:val="0"/>
      <w:numFmt w:val="bullet"/>
      <w:lvlText w:val="•"/>
      <w:lvlJc w:val="left"/>
      <w:pPr>
        <w:ind w:left="7684" w:hanging="800"/>
      </w:pPr>
      <w:rPr>
        <w:rFonts w:hint="default"/>
        <w:lang w:val="zh-CN" w:eastAsia="zh-CN" w:bidi="zh-CN"/>
      </w:rPr>
    </w:lvl>
  </w:abstractNum>
  <w:abstractNum w:abstractNumId="15">
    <w:nsid w:val="D7936317"/>
    <w:multiLevelType w:val="multilevel"/>
    <w:tmpl w:val="D7936317"/>
    <w:lvl w:ilvl="0" w:tentative="0">
      <w:start w:val="1"/>
      <w:numFmt w:val="decimal"/>
      <w:lvlText w:val="（%1）"/>
      <w:lvlJc w:val="left"/>
      <w:pPr>
        <w:ind w:left="320" w:hanging="819"/>
        <w:jc w:val="left"/>
      </w:pPr>
      <w:rPr>
        <w:rFonts w:hint="default" w:ascii="仿宋_GB2312" w:hAnsi="仿宋_GB2312" w:eastAsia="仿宋_GB2312" w:cs="仿宋_GB2312"/>
        <w:spacing w:val="5"/>
        <w:w w:val="99"/>
        <w:sz w:val="30"/>
        <w:szCs w:val="30"/>
        <w:lang w:val="zh-CN" w:eastAsia="zh-CN" w:bidi="zh-CN"/>
      </w:rPr>
    </w:lvl>
    <w:lvl w:ilvl="1" w:tentative="0">
      <w:start w:val="0"/>
      <w:numFmt w:val="bullet"/>
      <w:lvlText w:val="•"/>
      <w:lvlJc w:val="left"/>
      <w:pPr>
        <w:ind w:left="1204" w:hanging="819"/>
      </w:pPr>
      <w:rPr>
        <w:rFonts w:hint="default"/>
        <w:lang w:val="zh-CN" w:eastAsia="zh-CN" w:bidi="zh-CN"/>
      </w:rPr>
    </w:lvl>
    <w:lvl w:ilvl="2" w:tentative="0">
      <w:start w:val="0"/>
      <w:numFmt w:val="bullet"/>
      <w:lvlText w:val="•"/>
      <w:lvlJc w:val="left"/>
      <w:pPr>
        <w:ind w:left="2089" w:hanging="819"/>
      </w:pPr>
      <w:rPr>
        <w:rFonts w:hint="default"/>
        <w:lang w:val="zh-CN" w:eastAsia="zh-CN" w:bidi="zh-CN"/>
      </w:rPr>
    </w:lvl>
    <w:lvl w:ilvl="3" w:tentative="0">
      <w:start w:val="0"/>
      <w:numFmt w:val="bullet"/>
      <w:lvlText w:val="•"/>
      <w:lvlJc w:val="left"/>
      <w:pPr>
        <w:ind w:left="2973" w:hanging="819"/>
      </w:pPr>
      <w:rPr>
        <w:rFonts w:hint="default"/>
        <w:lang w:val="zh-CN" w:eastAsia="zh-CN" w:bidi="zh-CN"/>
      </w:rPr>
    </w:lvl>
    <w:lvl w:ilvl="4" w:tentative="0">
      <w:start w:val="0"/>
      <w:numFmt w:val="bullet"/>
      <w:lvlText w:val="•"/>
      <w:lvlJc w:val="left"/>
      <w:pPr>
        <w:ind w:left="3858" w:hanging="819"/>
      </w:pPr>
      <w:rPr>
        <w:rFonts w:hint="default"/>
        <w:lang w:val="zh-CN" w:eastAsia="zh-CN" w:bidi="zh-CN"/>
      </w:rPr>
    </w:lvl>
    <w:lvl w:ilvl="5" w:tentative="0">
      <w:start w:val="0"/>
      <w:numFmt w:val="bullet"/>
      <w:lvlText w:val="•"/>
      <w:lvlJc w:val="left"/>
      <w:pPr>
        <w:ind w:left="4743" w:hanging="819"/>
      </w:pPr>
      <w:rPr>
        <w:rFonts w:hint="default"/>
        <w:lang w:val="zh-CN" w:eastAsia="zh-CN" w:bidi="zh-CN"/>
      </w:rPr>
    </w:lvl>
    <w:lvl w:ilvl="6" w:tentative="0">
      <w:start w:val="0"/>
      <w:numFmt w:val="bullet"/>
      <w:lvlText w:val="•"/>
      <w:lvlJc w:val="left"/>
      <w:pPr>
        <w:ind w:left="5627" w:hanging="819"/>
      </w:pPr>
      <w:rPr>
        <w:rFonts w:hint="default"/>
        <w:lang w:val="zh-CN" w:eastAsia="zh-CN" w:bidi="zh-CN"/>
      </w:rPr>
    </w:lvl>
    <w:lvl w:ilvl="7" w:tentative="0">
      <w:start w:val="0"/>
      <w:numFmt w:val="bullet"/>
      <w:lvlText w:val="•"/>
      <w:lvlJc w:val="left"/>
      <w:pPr>
        <w:ind w:left="6512" w:hanging="819"/>
      </w:pPr>
      <w:rPr>
        <w:rFonts w:hint="default"/>
        <w:lang w:val="zh-CN" w:eastAsia="zh-CN" w:bidi="zh-CN"/>
      </w:rPr>
    </w:lvl>
    <w:lvl w:ilvl="8" w:tentative="0">
      <w:start w:val="0"/>
      <w:numFmt w:val="bullet"/>
      <w:lvlText w:val="•"/>
      <w:lvlJc w:val="left"/>
      <w:pPr>
        <w:ind w:left="7396" w:hanging="819"/>
      </w:pPr>
      <w:rPr>
        <w:rFonts w:hint="default"/>
        <w:lang w:val="zh-CN" w:eastAsia="zh-CN" w:bidi="zh-CN"/>
      </w:rPr>
    </w:lvl>
  </w:abstractNum>
  <w:abstractNum w:abstractNumId="16">
    <w:nsid w:val="DAE62134"/>
    <w:multiLevelType w:val="multilevel"/>
    <w:tmpl w:val="DAE62134"/>
    <w:lvl w:ilvl="0" w:tentative="0">
      <w:start w:val="1"/>
      <w:numFmt w:val="decimal"/>
      <w:lvlText w:val="（%1）"/>
      <w:lvlJc w:val="left"/>
      <w:pPr>
        <w:ind w:left="320" w:hanging="819"/>
        <w:jc w:val="left"/>
      </w:pPr>
      <w:rPr>
        <w:rFonts w:hint="default" w:ascii="仿宋_GB2312" w:hAnsi="仿宋_GB2312" w:eastAsia="仿宋_GB2312" w:cs="仿宋_GB2312"/>
        <w:spacing w:val="5"/>
        <w:w w:val="99"/>
        <w:sz w:val="30"/>
        <w:szCs w:val="30"/>
        <w:lang w:val="zh-CN" w:eastAsia="zh-CN" w:bidi="zh-CN"/>
      </w:rPr>
    </w:lvl>
    <w:lvl w:ilvl="1" w:tentative="0">
      <w:start w:val="0"/>
      <w:numFmt w:val="bullet"/>
      <w:lvlText w:val="•"/>
      <w:lvlJc w:val="left"/>
      <w:pPr>
        <w:ind w:left="1204" w:hanging="819"/>
      </w:pPr>
      <w:rPr>
        <w:rFonts w:hint="default"/>
        <w:lang w:val="zh-CN" w:eastAsia="zh-CN" w:bidi="zh-CN"/>
      </w:rPr>
    </w:lvl>
    <w:lvl w:ilvl="2" w:tentative="0">
      <w:start w:val="0"/>
      <w:numFmt w:val="bullet"/>
      <w:lvlText w:val="•"/>
      <w:lvlJc w:val="left"/>
      <w:pPr>
        <w:ind w:left="2089" w:hanging="819"/>
      </w:pPr>
      <w:rPr>
        <w:rFonts w:hint="default"/>
        <w:lang w:val="zh-CN" w:eastAsia="zh-CN" w:bidi="zh-CN"/>
      </w:rPr>
    </w:lvl>
    <w:lvl w:ilvl="3" w:tentative="0">
      <w:start w:val="0"/>
      <w:numFmt w:val="bullet"/>
      <w:lvlText w:val="•"/>
      <w:lvlJc w:val="left"/>
      <w:pPr>
        <w:ind w:left="2973" w:hanging="819"/>
      </w:pPr>
      <w:rPr>
        <w:rFonts w:hint="default"/>
        <w:lang w:val="zh-CN" w:eastAsia="zh-CN" w:bidi="zh-CN"/>
      </w:rPr>
    </w:lvl>
    <w:lvl w:ilvl="4" w:tentative="0">
      <w:start w:val="0"/>
      <w:numFmt w:val="bullet"/>
      <w:lvlText w:val="•"/>
      <w:lvlJc w:val="left"/>
      <w:pPr>
        <w:ind w:left="3858" w:hanging="819"/>
      </w:pPr>
      <w:rPr>
        <w:rFonts w:hint="default"/>
        <w:lang w:val="zh-CN" w:eastAsia="zh-CN" w:bidi="zh-CN"/>
      </w:rPr>
    </w:lvl>
    <w:lvl w:ilvl="5" w:tentative="0">
      <w:start w:val="0"/>
      <w:numFmt w:val="bullet"/>
      <w:lvlText w:val="•"/>
      <w:lvlJc w:val="left"/>
      <w:pPr>
        <w:ind w:left="4743" w:hanging="819"/>
      </w:pPr>
      <w:rPr>
        <w:rFonts w:hint="default"/>
        <w:lang w:val="zh-CN" w:eastAsia="zh-CN" w:bidi="zh-CN"/>
      </w:rPr>
    </w:lvl>
    <w:lvl w:ilvl="6" w:tentative="0">
      <w:start w:val="0"/>
      <w:numFmt w:val="bullet"/>
      <w:lvlText w:val="•"/>
      <w:lvlJc w:val="left"/>
      <w:pPr>
        <w:ind w:left="5627" w:hanging="819"/>
      </w:pPr>
      <w:rPr>
        <w:rFonts w:hint="default"/>
        <w:lang w:val="zh-CN" w:eastAsia="zh-CN" w:bidi="zh-CN"/>
      </w:rPr>
    </w:lvl>
    <w:lvl w:ilvl="7" w:tentative="0">
      <w:start w:val="0"/>
      <w:numFmt w:val="bullet"/>
      <w:lvlText w:val="•"/>
      <w:lvlJc w:val="left"/>
      <w:pPr>
        <w:ind w:left="6512" w:hanging="819"/>
      </w:pPr>
      <w:rPr>
        <w:rFonts w:hint="default"/>
        <w:lang w:val="zh-CN" w:eastAsia="zh-CN" w:bidi="zh-CN"/>
      </w:rPr>
    </w:lvl>
    <w:lvl w:ilvl="8" w:tentative="0">
      <w:start w:val="0"/>
      <w:numFmt w:val="bullet"/>
      <w:lvlText w:val="•"/>
      <w:lvlJc w:val="left"/>
      <w:pPr>
        <w:ind w:left="7396" w:hanging="819"/>
      </w:pPr>
      <w:rPr>
        <w:rFonts w:hint="default"/>
        <w:lang w:val="zh-CN" w:eastAsia="zh-CN" w:bidi="zh-CN"/>
      </w:rPr>
    </w:lvl>
  </w:abstractNum>
  <w:abstractNum w:abstractNumId="17">
    <w:nsid w:val="E43A772E"/>
    <w:multiLevelType w:val="multilevel"/>
    <w:tmpl w:val="E43A772E"/>
    <w:lvl w:ilvl="0" w:tentative="0">
      <w:start w:val="1"/>
      <w:numFmt w:val="decimal"/>
      <w:lvlText w:val="%1."/>
      <w:lvlJc w:val="left"/>
      <w:pPr>
        <w:ind w:left="320" w:hanging="324"/>
        <w:jc w:val="left"/>
      </w:pPr>
      <w:rPr>
        <w:rFonts w:hint="default" w:ascii="黑体" w:hAnsi="黑体" w:eastAsia="黑体" w:cs="黑体"/>
        <w:spacing w:val="1"/>
        <w:w w:val="99"/>
        <w:sz w:val="30"/>
        <w:szCs w:val="30"/>
        <w:lang w:val="zh-CN" w:eastAsia="zh-CN" w:bidi="zh-CN"/>
      </w:rPr>
    </w:lvl>
    <w:lvl w:ilvl="1" w:tentative="0">
      <w:start w:val="0"/>
      <w:numFmt w:val="bullet"/>
      <w:lvlText w:val="•"/>
      <w:lvlJc w:val="left"/>
      <w:pPr>
        <w:ind w:left="1204" w:hanging="324"/>
      </w:pPr>
      <w:rPr>
        <w:rFonts w:hint="default"/>
        <w:lang w:val="zh-CN" w:eastAsia="zh-CN" w:bidi="zh-CN"/>
      </w:rPr>
    </w:lvl>
    <w:lvl w:ilvl="2" w:tentative="0">
      <w:start w:val="0"/>
      <w:numFmt w:val="bullet"/>
      <w:lvlText w:val="•"/>
      <w:lvlJc w:val="left"/>
      <w:pPr>
        <w:ind w:left="2089" w:hanging="324"/>
      </w:pPr>
      <w:rPr>
        <w:rFonts w:hint="default"/>
        <w:lang w:val="zh-CN" w:eastAsia="zh-CN" w:bidi="zh-CN"/>
      </w:rPr>
    </w:lvl>
    <w:lvl w:ilvl="3" w:tentative="0">
      <w:start w:val="0"/>
      <w:numFmt w:val="bullet"/>
      <w:lvlText w:val="•"/>
      <w:lvlJc w:val="left"/>
      <w:pPr>
        <w:ind w:left="2973" w:hanging="324"/>
      </w:pPr>
      <w:rPr>
        <w:rFonts w:hint="default"/>
        <w:lang w:val="zh-CN" w:eastAsia="zh-CN" w:bidi="zh-CN"/>
      </w:rPr>
    </w:lvl>
    <w:lvl w:ilvl="4" w:tentative="0">
      <w:start w:val="0"/>
      <w:numFmt w:val="bullet"/>
      <w:lvlText w:val="•"/>
      <w:lvlJc w:val="left"/>
      <w:pPr>
        <w:ind w:left="3858" w:hanging="324"/>
      </w:pPr>
      <w:rPr>
        <w:rFonts w:hint="default"/>
        <w:lang w:val="zh-CN" w:eastAsia="zh-CN" w:bidi="zh-CN"/>
      </w:rPr>
    </w:lvl>
    <w:lvl w:ilvl="5" w:tentative="0">
      <w:start w:val="0"/>
      <w:numFmt w:val="bullet"/>
      <w:lvlText w:val="•"/>
      <w:lvlJc w:val="left"/>
      <w:pPr>
        <w:ind w:left="4743" w:hanging="324"/>
      </w:pPr>
      <w:rPr>
        <w:rFonts w:hint="default"/>
        <w:lang w:val="zh-CN" w:eastAsia="zh-CN" w:bidi="zh-CN"/>
      </w:rPr>
    </w:lvl>
    <w:lvl w:ilvl="6" w:tentative="0">
      <w:start w:val="0"/>
      <w:numFmt w:val="bullet"/>
      <w:lvlText w:val="•"/>
      <w:lvlJc w:val="left"/>
      <w:pPr>
        <w:ind w:left="5627" w:hanging="324"/>
      </w:pPr>
      <w:rPr>
        <w:rFonts w:hint="default"/>
        <w:lang w:val="zh-CN" w:eastAsia="zh-CN" w:bidi="zh-CN"/>
      </w:rPr>
    </w:lvl>
    <w:lvl w:ilvl="7" w:tentative="0">
      <w:start w:val="0"/>
      <w:numFmt w:val="bullet"/>
      <w:lvlText w:val="•"/>
      <w:lvlJc w:val="left"/>
      <w:pPr>
        <w:ind w:left="6512" w:hanging="324"/>
      </w:pPr>
      <w:rPr>
        <w:rFonts w:hint="default"/>
        <w:lang w:val="zh-CN" w:eastAsia="zh-CN" w:bidi="zh-CN"/>
      </w:rPr>
    </w:lvl>
    <w:lvl w:ilvl="8" w:tentative="0">
      <w:start w:val="0"/>
      <w:numFmt w:val="bullet"/>
      <w:lvlText w:val="•"/>
      <w:lvlJc w:val="left"/>
      <w:pPr>
        <w:ind w:left="7396" w:hanging="324"/>
      </w:pPr>
      <w:rPr>
        <w:rFonts w:hint="default"/>
        <w:lang w:val="zh-CN" w:eastAsia="zh-CN" w:bidi="zh-CN"/>
      </w:rPr>
    </w:lvl>
  </w:abstractNum>
  <w:abstractNum w:abstractNumId="18">
    <w:nsid w:val="E52D9448"/>
    <w:multiLevelType w:val="multilevel"/>
    <w:tmpl w:val="E52D9448"/>
    <w:lvl w:ilvl="0" w:tentative="0">
      <w:start w:val="1"/>
      <w:numFmt w:val="decimal"/>
      <w:lvlText w:val="%1."/>
      <w:lvlJc w:val="left"/>
      <w:pPr>
        <w:ind w:left="320" w:hanging="322"/>
        <w:jc w:val="left"/>
      </w:pPr>
      <w:rPr>
        <w:rFonts w:hint="default" w:ascii="仿宋_GB2312" w:hAnsi="仿宋_GB2312" w:eastAsia="仿宋_GB2312" w:cs="仿宋_GB2312"/>
        <w:spacing w:val="-2"/>
        <w:w w:val="99"/>
        <w:sz w:val="30"/>
        <w:szCs w:val="30"/>
        <w:lang w:val="zh-CN" w:eastAsia="zh-CN" w:bidi="zh-CN"/>
      </w:rPr>
    </w:lvl>
    <w:lvl w:ilvl="1" w:tentative="0">
      <w:start w:val="0"/>
      <w:numFmt w:val="bullet"/>
      <w:lvlText w:val="•"/>
      <w:lvlJc w:val="left"/>
      <w:pPr>
        <w:ind w:left="1204" w:hanging="322"/>
      </w:pPr>
      <w:rPr>
        <w:rFonts w:hint="default"/>
        <w:lang w:val="zh-CN" w:eastAsia="zh-CN" w:bidi="zh-CN"/>
      </w:rPr>
    </w:lvl>
    <w:lvl w:ilvl="2" w:tentative="0">
      <w:start w:val="0"/>
      <w:numFmt w:val="bullet"/>
      <w:lvlText w:val="•"/>
      <w:lvlJc w:val="left"/>
      <w:pPr>
        <w:ind w:left="2089" w:hanging="322"/>
      </w:pPr>
      <w:rPr>
        <w:rFonts w:hint="default"/>
        <w:lang w:val="zh-CN" w:eastAsia="zh-CN" w:bidi="zh-CN"/>
      </w:rPr>
    </w:lvl>
    <w:lvl w:ilvl="3" w:tentative="0">
      <w:start w:val="0"/>
      <w:numFmt w:val="bullet"/>
      <w:lvlText w:val="•"/>
      <w:lvlJc w:val="left"/>
      <w:pPr>
        <w:ind w:left="2973" w:hanging="322"/>
      </w:pPr>
      <w:rPr>
        <w:rFonts w:hint="default"/>
        <w:lang w:val="zh-CN" w:eastAsia="zh-CN" w:bidi="zh-CN"/>
      </w:rPr>
    </w:lvl>
    <w:lvl w:ilvl="4" w:tentative="0">
      <w:start w:val="0"/>
      <w:numFmt w:val="bullet"/>
      <w:lvlText w:val="•"/>
      <w:lvlJc w:val="left"/>
      <w:pPr>
        <w:ind w:left="3858" w:hanging="322"/>
      </w:pPr>
      <w:rPr>
        <w:rFonts w:hint="default"/>
        <w:lang w:val="zh-CN" w:eastAsia="zh-CN" w:bidi="zh-CN"/>
      </w:rPr>
    </w:lvl>
    <w:lvl w:ilvl="5" w:tentative="0">
      <w:start w:val="0"/>
      <w:numFmt w:val="bullet"/>
      <w:lvlText w:val="•"/>
      <w:lvlJc w:val="left"/>
      <w:pPr>
        <w:ind w:left="4743" w:hanging="322"/>
      </w:pPr>
      <w:rPr>
        <w:rFonts w:hint="default"/>
        <w:lang w:val="zh-CN" w:eastAsia="zh-CN" w:bidi="zh-CN"/>
      </w:rPr>
    </w:lvl>
    <w:lvl w:ilvl="6" w:tentative="0">
      <w:start w:val="0"/>
      <w:numFmt w:val="bullet"/>
      <w:lvlText w:val="•"/>
      <w:lvlJc w:val="left"/>
      <w:pPr>
        <w:ind w:left="5627" w:hanging="322"/>
      </w:pPr>
      <w:rPr>
        <w:rFonts w:hint="default"/>
        <w:lang w:val="zh-CN" w:eastAsia="zh-CN" w:bidi="zh-CN"/>
      </w:rPr>
    </w:lvl>
    <w:lvl w:ilvl="7" w:tentative="0">
      <w:start w:val="0"/>
      <w:numFmt w:val="bullet"/>
      <w:lvlText w:val="•"/>
      <w:lvlJc w:val="left"/>
      <w:pPr>
        <w:ind w:left="6512" w:hanging="322"/>
      </w:pPr>
      <w:rPr>
        <w:rFonts w:hint="default"/>
        <w:lang w:val="zh-CN" w:eastAsia="zh-CN" w:bidi="zh-CN"/>
      </w:rPr>
    </w:lvl>
    <w:lvl w:ilvl="8" w:tentative="0">
      <w:start w:val="0"/>
      <w:numFmt w:val="bullet"/>
      <w:lvlText w:val="•"/>
      <w:lvlJc w:val="left"/>
      <w:pPr>
        <w:ind w:left="7396" w:hanging="322"/>
      </w:pPr>
      <w:rPr>
        <w:rFonts w:hint="default"/>
        <w:lang w:val="zh-CN" w:eastAsia="zh-CN" w:bidi="zh-CN"/>
      </w:rPr>
    </w:lvl>
  </w:abstractNum>
  <w:abstractNum w:abstractNumId="19">
    <w:nsid w:val="EA28CC15"/>
    <w:multiLevelType w:val="multilevel"/>
    <w:tmpl w:val="EA28CC15"/>
    <w:lvl w:ilvl="0" w:tentative="0">
      <w:start w:val="1"/>
      <w:numFmt w:val="decimal"/>
      <w:lvlText w:val="（%1）"/>
      <w:lvlJc w:val="left"/>
      <w:pPr>
        <w:ind w:left="1760" w:hanging="800"/>
        <w:jc w:val="left"/>
      </w:pPr>
      <w:rPr>
        <w:rFonts w:hint="default" w:ascii="仿宋_GB2312" w:hAnsi="仿宋_GB2312" w:eastAsia="仿宋_GB2312" w:cs="仿宋_GB2312"/>
        <w:w w:val="99"/>
        <w:sz w:val="30"/>
        <w:szCs w:val="30"/>
        <w:lang w:val="zh-CN" w:eastAsia="zh-CN" w:bidi="zh-CN"/>
      </w:rPr>
    </w:lvl>
    <w:lvl w:ilvl="1" w:tentative="0">
      <w:start w:val="0"/>
      <w:numFmt w:val="bullet"/>
      <w:lvlText w:val="•"/>
      <w:lvlJc w:val="left"/>
      <w:pPr>
        <w:ind w:left="2500" w:hanging="800"/>
      </w:pPr>
      <w:rPr>
        <w:rFonts w:hint="default"/>
        <w:lang w:val="zh-CN" w:eastAsia="zh-CN" w:bidi="zh-CN"/>
      </w:rPr>
    </w:lvl>
    <w:lvl w:ilvl="2" w:tentative="0">
      <w:start w:val="0"/>
      <w:numFmt w:val="bullet"/>
      <w:lvlText w:val="•"/>
      <w:lvlJc w:val="left"/>
      <w:pPr>
        <w:ind w:left="3241" w:hanging="800"/>
      </w:pPr>
      <w:rPr>
        <w:rFonts w:hint="default"/>
        <w:lang w:val="zh-CN" w:eastAsia="zh-CN" w:bidi="zh-CN"/>
      </w:rPr>
    </w:lvl>
    <w:lvl w:ilvl="3" w:tentative="0">
      <w:start w:val="0"/>
      <w:numFmt w:val="bullet"/>
      <w:lvlText w:val="•"/>
      <w:lvlJc w:val="left"/>
      <w:pPr>
        <w:ind w:left="3981" w:hanging="800"/>
      </w:pPr>
      <w:rPr>
        <w:rFonts w:hint="default"/>
        <w:lang w:val="zh-CN" w:eastAsia="zh-CN" w:bidi="zh-CN"/>
      </w:rPr>
    </w:lvl>
    <w:lvl w:ilvl="4" w:tentative="0">
      <w:start w:val="0"/>
      <w:numFmt w:val="bullet"/>
      <w:lvlText w:val="•"/>
      <w:lvlJc w:val="left"/>
      <w:pPr>
        <w:ind w:left="4722" w:hanging="800"/>
      </w:pPr>
      <w:rPr>
        <w:rFonts w:hint="default"/>
        <w:lang w:val="zh-CN" w:eastAsia="zh-CN" w:bidi="zh-CN"/>
      </w:rPr>
    </w:lvl>
    <w:lvl w:ilvl="5" w:tentative="0">
      <w:start w:val="0"/>
      <w:numFmt w:val="bullet"/>
      <w:lvlText w:val="•"/>
      <w:lvlJc w:val="left"/>
      <w:pPr>
        <w:ind w:left="5463" w:hanging="800"/>
      </w:pPr>
      <w:rPr>
        <w:rFonts w:hint="default"/>
        <w:lang w:val="zh-CN" w:eastAsia="zh-CN" w:bidi="zh-CN"/>
      </w:rPr>
    </w:lvl>
    <w:lvl w:ilvl="6" w:tentative="0">
      <w:start w:val="0"/>
      <w:numFmt w:val="bullet"/>
      <w:lvlText w:val="•"/>
      <w:lvlJc w:val="left"/>
      <w:pPr>
        <w:ind w:left="6203" w:hanging="800"/>
      </w:pPr>
      <w:rPr>
        <w:rFonts w:hint="default"/>
        <w:lang w:val="zh-CN" w:eastAsia="zh-CN" w:bidi="zh-CN"/>
      </w:rPr>
    </w:lvl>
    <w:lvl w:ilvl="7" w:tentative="0">
      <w:start w:val="0"/>
      <w:numFmt w:val="bullet"/>
      <w:lvlText w:val="•"/>
      <w:lvlJc w:val="left"/>
      <w:pPr>
        <w:ind w:left="6944" w:hanging="800"/>
      </w:pPr>
      <w:rPr>
        <w:rFonts w:hint="default"/>
        <w:lang w:val="zh-CN" w:eastAsia="zh-CN" w:bidi="zh-CN"/>
      </w:rPr>
    </w:lvl>
    <w:lvl w:ilvl="8" w:tentative="0">
      <w:start w:val="0"/>
      <w:numFmt w:val="bullet"/>
      <w:lvlText w:val="•"/>
      <w:lvlJc w:val="left"/>
      <w:pPr>
        <w:ind w:left="7684" w:hanging="800"/>
      </w:pPr>
      <w:rPr>
        <w:rFonts w:hint="default"/>
        <w:lang w:val="zh-CN" w:eastAsia="zh-CN" w:bidi="zh-CN"/>
      </w:rPr>
    </w:lvl>
  </w:abstractNum>
  <w:abstractNum w:abstractNumId="20">
    <w:nsid w:val="F1FCDEFA"/>
    <w:multiLevelType w:val="multilevel"/>
    <w:tmpl w:val="F1FCDEFA"/>
    <w:lvl w:ilvl="0" w:tentative="0">
      <w:start w:val="16"/>
      <w:numFmt w:val="decimal"/>
      <w:lvlText w:val="%1."/>
      <w:lvlJc w:val="left"/>
      <w:pPr>
        <w:ind w:left="320" w:hanging="485"/>
        <w:jc w:val="left"/>
      </w:pPr>
      <w:rPr>
        <w:rFonts w:hint="default" w:ascii="仿宋_GB2312" w:hAnsi="仿宋_GB2312" w:eastAsia="仿宋_GB2312" w:cs="仿宋_GB2312"/>
        <w:spacing w:val="-2"/>
        <w:w w:val="99"/>
        <w:sz w:val="30"/>
        <w:szCs w:val="30"/>
        <w:lang w:val="zh-CN" w:eastAsia="zh-CN" w:bidi="zh-CN"/>
      </w:rPr>
    </w:lvl>
    <w:lvl w:ilvl="1" w:tentative="0">
      <w:start w:val="0"/>
      <w:numFmt w:val="bullet"/>
      <w:lvlText w:val="•"/>
      <w:lvlJc w:val="left"/>
      <w:pPr>
        <w:ind w:left="1204" w:hanging="485"/>
      </w:pPr>
      <w:rPr>
        <w:rFonts w:hint="default"/>
        <w:lang w:val="zh-CN" w:eastAsia="zh-CN" w:bidi="zh-CN"/>
      </w:rPr>
    </w:lvl>
    <w:lvl w:ilvl="2" w:tentative="0">
      <w:start w:val="0"/>
      <w:numFmt w:val="bullet"/>
      <w:lvlText w:val="•"/>
      <w:lvlJc w:val="left"/>
      <w:pPr>
        <w:ind w:left="2089" w:hanging="485"/>
      </w:pPr>
      <w:rPr>
        <w:rFonts w:hint="default"/>
        <w:lang w:val="zh-CN" w:eastAsia="zh-CN" w:bidi="zh-CN"/>
      </w:rPr>
    </w:lvl>
    <w:lvl w:ilvl="3" w:tentative="0">
      <w:start w:val="0"/>
      <w:numFmt w:val="bullet"/>
      <w:lvlText w:val="•"/>
      <w:lvlJc w:val="left"/>
      <w:pPr>
        <w:ind w:left="2973" w:hanging="485"/>
      </w:pPr>
      <w:rPr>
        <w:rFonts w:hint="default"/>
        <w:lang w:val="zh-CN" w:eastAsia="zh-CN" w:bidi="zh-CN"/>
      </w:rPr>
    </w:lvl>
    <w:lvl w:ilvl="4" w:tentative="0">
      <w:start w:val="0"/>
      <w:numFmt w:val="bullet"/>
      <w:lvlText w:val="•"/>
      <w:lvlJc w:val="left"/>
      <w:pPr>
        <w:ind w:left="3858" w:hanging="485"/>
      </w:pPr>
      <w:rPr>
        <w:rFonts w:hint="default"/>
        <w:lang w:val="zh-CN" w:eastAsia="zh-CN" w:bidi="zh-CN"/>
      </w:rPr>
    </w:lvl>
    <w:lvl w:ilvl="5" w:tentative="0">
      <w:start w:val="0"/>
      <w:numFmt w:val="bullet"/>
      <w:lvlText w:val="•"/>
      <w:lvlJc w:val="left"/>
      <w:pPr>
        <w:ind w:left="4743" w:hanging="485"/>
      </w:pPr>
      <w:rPr>
        <w:rFonts w:hint="default"/>
        <w:lang w:val="zh-CN" w:eastAsia="zh-CN" w:bidi="zh-CN"/>
      </w:rPr>
    </w:lvl>
    <w:lvl w:ilvl="6" w:tentative="0">
      <w:start w:val="0"/>
      <w:numFmt w:val="bullet"/>
      <w:lvlText w:val="•"/>
      <w:lvlJc w:val="left"/>
      <w:pPr>
        <w:ind w:left="5627" w:hanging="485"/>
      </w:pPr>
      <w:rPr>
        <w:rFonts w:hint="default"/>
        <w:lang w:val="zh-CN" w:eastAsia="zh-CN" w:bidi="zh-CN"/>
      </w:rPr>
    </w:lvl>
    <w:lvl w:ilvl="7" w:tentative="0">
      <w:start w:val="0"/>
      <w:numFmt w:val="bullet"/>
      <w:lvlText w:val="•"/>
      <w:lvlJc w:val="left"/>
      <w:pPr>
        <w:ind w:left="6512" w:hanging="485"/>
      </w:pPr>
      <w:rPr>
        <w:rFonts w:hint="default"/>
        <w:lang w:val="zh-CN" w:eastAsia="zh-CN" w:bidi="zh-CN"/>
      </w:rPr>
    </w:lvl>
    <w:lvl w:ilvl="8" w:tentative="0">
      <w:start w:val="0"/>
      <w:numFmt w:val="bullet"/>
      <w:lvlText w:val="•"/>
      <w:lvlJc w:val="left"/>
      <w:pPr>
        <w:ind w:left="7396" w:hanging="485"/>
      </w:pPr>
      <w:rPr>
        <w:rFonts w:hint="default"/>
        <w:lang w:val="zh-CN" w:eastAsia="zh-CN" w:bidi="zh-CN"/>
      </w:rPr>
    </w:lvl>
  </w:abstractNum>
  <w:abstractNum w:abstractNumId="21">
    <w:nsid w:val="F237ACA1"/>
    <w:multiLevelType w:val="multilevel"/>
    <w:tmpl w:val="F237ACA1"/>
    <w:lvl w:ilvl="0" w:tentative="0">
      <w:start w:val="1"/>
      <w:numFmt w:val="decimal"/>
      <w:lvlText w:val="（%1）"/>
      <w:lvlJc w:val="left"/>
      <w:pPr>
        <w:ind w:left="320" w:hanging="819"/>
        <w:jc w:val="left"/>
      </w:pPr>
      <w:rPr>
        <w:rFonts w:hint="default" w:ascii="仿宋_GB2312" w:hAnsi="仿宋_GB2312" w:eastAsia="仿宋_GB2312" w:cs="仿宋_GB2312"/>
        <w:spacing w:val="5"/>
        <w:w w:val="99"/>
        <w:sz w:val="30"/>
        <w:szCs w:val="30"/>
        <w:lang w:val="zh-CN" w:eastAsia="zh-CN" w:bidi="zh-CN"/>
      </w:rPr>
    </w:lvl>
    <w:lvl w:ilvl="1" w:tentative="0">
      <w:start w:val="0"/>
      <w:numFmt w:val="bullet"/>
      <w:lvlText w:val="•"/>
      <w:lvlJc w:val="left"/>
      <w:pPr>
        <w:ind w:left="1204" w:hanging="819"/>
      </w:pPr>
      <w:rPr>
        <w:rFonts w:hint="default"/>
        <w:lang w:val="zh-CN" w:eastAsia="zh-CN" w:bidi="zh-CN"/>
      </w:rPr>
    </w:lvl>
    <w:lvl w:ilvl="2" w:tentative="0">
      <w:start w:val="0"/>
      <w:numFmt w:val="bullet"/>
      <w:lvlText w:val="•"/>
      <w:lvlJc w:val="left"/>
      <w:pPr>
        <w:ind w:left="2089" w:hanging="819"/>
      </w:pPr>
      <w:rPr>
        <w:rFonts w:hint="default"/>
        <w:lang w:val="zh-CN" w:eastAsia="zh-CN" w:bidi="zh-CN"/>
      </w:rPr>
    </w:lvl>
    <w:lvl w:ilvl="3" w:tentative="0">
      <w:start w:val="0"/>
      <w:numFmt w:val="bullet"/>
      <w:lvlText w:val="•"/>
      <w:lvlJc w:val="left"/>
      <w:pPr>
        <w:ind w:left="2973" w:hanging="819"/>
      </w:pPr>
      <w:rPr>
        <w:rFonts w:hint="default"/>
        <w:lang w:val="zh-CN" w:eastAsia="zh-CN" w:bidi="zh-CN"/>
      </w:rPr>
    </w:lvl>
    <w:lvl w:ilvl="4" w:tentative="0">
      <w:start w:val="0"/>
      <w:numFmt w:val="bullet"/>
      <w:lvlText w:val="•"/>
      <w:lvlJc w:val="left"/>
      <w:pPr>
        <w:ind w:left="3858" w:hanging="819"/>
      </w:pPr>
      <w:rPr>
        <w:rFonts w:hint="default"/>
        <w:lang w:val="zh-CN" w:eastAsia="zh-CN" w:bidi="zh-CN"/>
      </w:rPr>
    </w:lvl>
    <w:lvl w:ilvl="5" w:tentative="0">
      <w:start w:val="0"/>
      <w:numFmt w:val="bullet"/>
      <w:lvlText w:val="•"/>
      <w:lvlJc w:val="left"/>
      <w:pPr>
        <w:ind w:left="4743" w:hanging="819"/>
      </w:pPr>
      <w:rPr>
        <w:rFonts w:hint="default"/>
        <w:lang w:val="zh-CN" w:eastAsia="zh-CN" w:bidi="zh-CN"/>
      </w:rPr>
    </w:lvl>
    <w:lvl w:ilvl="6" w:tentative="0">
      <w:start w:val="0"/>
      <w:numFmt w:val="bullet"/>
      <w:lvlText w:val="•"/>
      <w:lvlJc w:val="left"/>
      <w:pPr>
        <w:ind w:left="5627" w:hanging="819"/>
      </w:pPr>
      <w:rPr>
        <w:rFonts w:hint="default"/>
        <w:lang w:val="zh-CN" w:eastAsia="zh-CN" w:bidi="zh-CN"/>
      </w:rPr>
    </w:lvl>
    <w:lvl w:ilvl="7" w:tentative="0">
      <w:start w:val="0"/>
      <w:numFmt w:val="bullet"/>
      <w:lvlText w:val="•"/>
      <w:lvlJc w:val="left"/>
      <w:pPr>
        <w:ind w:left="6512" w:hanging="819"/>
      </w:pPr>
      <w:rPr>
        <w:rFonts w:hint="default"/>
        <w:lang w:val="zh-CN" w:eastAsia="zh-CN" w:bidi="zh-CN"/>
      </w:rPr>
    </w:lvl>
    <w:lvl w:ilvl="8" w:tentative="0">
      <w:start w:val="0"/>
      <w:numFmt w:val="bullet"/>
      <w:lvlText w:val="•"/>
      <w:lvlJc w:val="left"/>
      <w:pPr>
        <w:ind w:left="7396" w:hanging="819"/>
      </w:pPr>
      <w:rPr>
        <w:rFonts w:hint="default"/>
        <w:lang w:val="zh-CN" w:eastAsia="zh-CN" w:bidi="zh-CN"/>
      </w:rPr>
    </w:lvl>
  </w:abstractNum>
  <w:abstractNum w:abstractNumId="22">
    <w:nsid w:val="F3A33954"/>
    <w:multiLevelType w:val="multilevel"/>
    <w:tmpl w:val="F3A33954"/>
    <w:lvl w:ilvl="0" w:tentative="0">
      <w:start w:val="1"/>
      <w:numFmt w:val="decimal"/>
      <w:lvlText w:val="（%1）"/>
      <w:lvlJc w:val="left"/>
      <w:pPr>
        <w:ind w:left="1760" w:hanging="800"/>
        <w:jc w:val="left"/>
      </w:pPr>
      <w:rPr>
        <w:rFonts w:hint="default" w:ascii="仿宋_GB2312" w:hAnsi="仿宋_GB2312" w:eastAsia="仿宋_GB2312" w:cs="仿宋_GB2312"/>
        <w:w w:val="99"/>
        <w:sz w:val="30"/>
        <w:szCs w:val="30"/>
        <w:lang w:val="zh-CN" w:eastAsia="zh-CN" w:bidi="zh-CN"/>
      </w:rPr>
    </w:lvl>
    <w:lvl w:ilvl="1" w:tentative="0">
      <w:start w:val="0"/>
      <w:numFmt w:val="bullet"/>
      <w:lvlText w:val="•"/>
      <w:lvlJc w:val="left"/>
      <w:pPr>
        <w:ind w:left="2500" w:hanging="800"/>
      </w:pPr>
      <w:rPr>
        <w:rFonts w:hint="default"/>
        <w:lang w:val="zh-CN" w:eastAsia="zh-CN" w:bidi="zh-CN"/>
      </w:rPr>
    </w:lvl>
    <w:lvl w:ilvl="2" w:tentative="0">
      <w:start w:val="0"/>
      <w:numFmt w:val="bullet"/>
      <w:lvlText w:val="•"/>
      <w:lvlJc w:val="left"/>
      <w:pPr>
        <w:ind w:left="3241" w:hanging="800"/>
      </w:pPr>
      <w:rPr>
        <w:rFonts w:hint="default"/>
        <w:lang w:val="zh-CN" w:eastAsia="zh-CN" w:bidi="zh-CN"/>
      </w:rPr>
    </w:lvl>
    <w:lvl w:ilvl="3" w:tentative="0">
      <w:start w:val="0"/>
      <w:numFmt w:val="bullet"/>
      <w:lvlText w:val="•"/>
      <w:lvlJc w:val="left"/>
      <w:pPr>
        <w:ind w:left="3981" w:hanging="800"/>
      </w:pPr>
      <w:rPr>
        <w:rFonts w:hint="default"/>
        <w:lang w:val="zh-CN" w:eastAsia="zh-CN" w:bidi="zh-CN"/>
      </w:rPr>
    </w:lvl>
    <w:lvl w:ilvl="4" w:tentative="0">
      <w:start w:val="0"/>
      <w:numFmt w:val="bullet"/>
      <w:lvlText w:val="•"/>
      <w:lvlJc w:val="left"/>
      <w:pPr>
        <w:ind w:left="4722" w:hanging="800"/>
      </w:pPr>
      <w:rPr>
        <w:rFonts w:hint="default"/>
        <w:lang w:val="zh-CN" w:eastAsia="zh-CN" w:bidi="zh-CN"/>
      </w:rPr>
    </w:lvl>
    <w:lvl w:ilvl="5" w:tentative="0">
      <w:start w:val="0"/>
      <w:numFmt w:val="bullet"/>
      <w:lvlText w:val="•"/>
      <w:lvlJc w:val="left"/>
      <w:pPr>
        <w:ind w:left="5463" w:hanging="800"/>
      </w:pPr>
      <w:rPr>
        <w:rFonts w:hint="default"/>
        <w:lang w:val="zh-CN" w:eastAsia="zh-CN" w:bidi="zh-CN"/>
      </w:rPr>
    </w:lvl>
    <w:lvl w:ilvl="6" w:tentative="0">
      <w:start w:val="0"/>
      <w:numFmt w:val="bullet"/>
      <w:lvlText w:val="•"/>
      <w:lvlJc w:val="left"/>
      <w:pPr>
        <w:ind w:left="6203" w:hanging="800"/>
      </w:pPr>
      <w:rPr>
        <w:rFonts w:hint="default"/>
        <w:lang w:val="zh-CN" w:eastAsia="zh-CN" w:bidi="zh-CN"/>
      </w:rPr>
    </w:lvl>
    <w:lvl w:ilvl="7" w:tentative="0">
      <w:start w:val="0"/>
      <w:numFmt w:val="bullet"/>
      <w:lvlText w:val="•"/>
      <w:lvlJc w:val="left"/>
      <w:pPr>
        <w:ind w:left="6944" w:hanging="800"/>
      </w:pPr>
      <w:rPr>
        <w:rFonts w:hint="default"/>
        <w:lang w:val="zh-CN" w:eastAsia="zh-CN" w:bidi="zh-CN"/>
      </w:rPr>
    </w:lvl>
    <w:lvl w:ilvl="8" w:tentative="0">
      <w:start w:val="0"/>
      <w:numFmt w:val="bullet"/>
      <w:lvlText w:val="•"/>
      <w:lvlJc w:val="left"/>
      <w:pPr>
        <w:ind w:left="7684" w:hanging="800"/>
      </w:pPr>
      <w:rPr>
        <w:rFonts w:hint="default"/>
        <w:lang w:val="zh-CN" w:eastAsia="zh-CN" w:bidi="zh-CN"/>
      </w:rPr>
    </w:lvl>
  </w:abstractNum>
  <w:abstractNum w:abstractNumId="23">
    <w:nsid w:val="F46CCC20"/>
    <w:multiLevelType w:val="multilevel"/>
    <w:tmpl w:val="F46CCC20"/>
    <w:lvl w:ilvl="0" w:tentative="0">
      <w:start w:val="1"/>
      <w:numFmt w:val="decimal"/>
      <w:lvlText w:val="（%1）"/>
      <w:lvlJc w:val="left"/>
      <w:pPr>
        <w:ind w:left="320" w:hanging="819"/>
        <w:jc w:val="left"/>
      </w:pPr>
      <w:rPr>
        <w:rFonts w:hint="default" w:ascii="仿宋_GB2312" w:hAnsi="仿宋_GB2312" w:eastAsia="仿宋_GB2312" w:cs="仿宋_GB2312"/>
        <w:spacing w:val="5"/>
        <w:w w:val="99"/>
        <w:sz w:val="30"/>
        <w:szCs w:val="30"/>
        <w:lang w:val="zh-CN" w:eastAsia="zh-CN" w:bidi="zh-CN"/>
      </w:rPr>
    </w:lvl>
    <w:lvl w:ilvl="1" w:tentative="0">
      <w:start w:val="0"/>
      <w:numFmt w:val="bullet"/>
      <w:lvlText w:val="•"/>
      <w:lvlJc w:val="left"/>
      <w:pPr>
        <w:ind w:left="1204" w:hanging="819"/>
      </w:pPr>
      <w:rPr>
        <w:rFonts w:hint="default"/>
        <w:lang w:val="zh-CN" w:eastAsia="zh-CN" w:bidi="zh-CN"/>
      </w:rPr>
    </w:lvl>
    <w:lvl w:ilvl="2" w:tentative="0">
      <w:start w:val="0"/>
      <w:numFmt w:val="bullet"/>
      <w:lvlText w:val="•"/>
      <w:lvlJc w:val="left"/>
      <w:pPr>
        <w:ind w:left="2089" w:hanging="819"/>
      </w:pPr>
      <w:rPr>
        <w:rFonts w:hint="default"/>
        <w:lang w:val="zh-CN" w:eastAsia="zh-CN" w:bidi="zh-CN"/>
      </w:rPr>
    </w:lvl>
    <w:lvl w:ilvl="3" w:tentative="0">
      <w:start w:val="0"/>
      <w:numFmt w:val="bullet"/>
      <w:lvlText w:val="•"/>
      <w:lvlJc w:val="left"/>
      <w:pPr>
        <w:ind w:left="2973" w:hanging="819"/>
      </w:pPr>
      <w:rPr>
        <w:rFonts w:hint="default"/>
        <w:lang w:val="zh-CN" w:eastAsia="zh-CN" w:bidi="zh-CN"/>
      </w:rPr>
    </w:lvl>
    <w:lvl w:ilvl="4" w:tentative="0">
      <w:start w:val="0"/>
      <w:numFmt w:val="bullet"/>
      <w:lvlText w:val="•"/>
      <w:lvlJc w:val="left"/>
      <w:pPr>
        <w:ind w:left="3858" w:hanging="819"/>
      </w:pPr>
      <w:rPr>
        <w:rFonts w:hint="default"/>
        <w:lang w:val="zh-CN" w:eastAsia="zh-CN" w:bidi="zh-CN"/>
      </w:rPr>
    </w:lvl>
    <w:lvl w:ilvl="5" w:tentative="0">
      <w:start w:val="0"/>
      <w:numFmt w:val="bullet"/>
      <w:lvlText w:val="•"/>
      <w:lvlJc w:val="left"/>
      <w:pPr>
        <w:ind w:left="4743" w:hanging="819"/>
      </w:pPr>
      <w:rPr>
        <w:rFonts w:hint="default"/>
        <w:lang w:val="zh-CN" w:eastAsia="zh-CN" w:bidi="zh-CN"/>
      </w:rPr>
    </w:lvl>
    <w:lvl w:ilvl="6" w:tentative="0">
      <w:start w:val="0"/>
      <w:numFmt w:val="bullet"/>
      <w:lvlText w:val="•"/>
      <w:lvlJc w:val="left"/>
      <w:pPr>
        <w:ind w:left="5627" w:hanging="819"/>
      </w:pPr>
      <w:rPr>
        <w:rFonts w:hint="default"/>
        <w:lang w:val="zh-CN" w:eastAsia="zh-CN" w:bidi="zh-CN"/>
      </w:rPr>
    </w:lvl>
    <w:lvl w:ilvl="7" w:tentative="0">
      <w:start w:val="0"/>
      <w:numFmt w:val="bullet"/>
      <w:lvlText w:val="•"/>
      <w:lvlJc w:val="left"/>
      <w:pPr>
        <w:ind w:left="6512" w:hanging="819"/>
      </w:pPr>
      <w:rPr>
        <w:rFonts w:hint="default"/>
        <w:lang w:val="zh-CN" w:eastAsia="zh-CN" w:bidi="zh-CN"/>
      </w:rPr>
    </w:lvl>
    <w:lvl w:ilvl="8" w:tentative="0">
      <w:start w:val="0"/>
      <w:numFmt w:val="bullet"/>
      <w:lvlText w:val="•"/>
      <w:lvlJc w:val="left"/>
      <w:pPr>
        <w:ind w:left="7396" w:hanging="819"/>
      </w:pPr>
      <w:rPr>
        <w:rFonts w:hint="default"/>
        <w:lang w:val="zh-CN" w:eastAsia="zh-CN" w:bidi="zh-CN"/>
      </w:rPr>
    </w:lvl>
  </w:abstractNum>
  <w:abstractNum w:abstractNumId="24">
    <w:nsid w:val="F4A942FE"/>
    <w:multiLevelType w:val="multilevel"/>
    <w:tmpl w:val="F4A942FE"/>
    <w:lvl w:ilvl="0" w:tentative="0">
      <w:start w:val="4"/>
      <w:numFmt w:val="decimal"/>
      <w:lvlText w:val="%1."/>
      <w:lvlJc w:val="left"/>
      <w:pPr>
        <w:ind w:left="643" w:hanging="324"/>
        <w:jc w:val="left"/>
      </w:pPr>
      <w:rPr>
        <w:rFonts w:hint="default" w:ascii="仿宋" w:hAnsi="仿宋" w:eastAsia="仿宋" w:cs="仿宋"/>
        <w:b/>
        <w:bCs/>
        <w:spacing w:val="-2"/>
        <w:w w:val="98"/>
        <w:sz w:val="30"/>
        <w:szCs w:val="30"/>
        <w:lang w:val="zh-CN" w:eastAsia="zh-CN" w:bidi="zh-CN"/>
      </w:rPr>
    </w:lvl>
    <w:lvl w:ilvl="1" w:tentative="0">
      <w:start w:val="1"/>
      <w:numFmt w:val="decimal"/>
      <w:lvlText w:val="%2."/>
      <w:lvlJc w:val="left"/>
      <w:pPr>
        <w:ind w:left="320" w:hanging="322"/>
        <w:jc w:val="left"/>
      </w:pPr>
      <w:rPr>
        <w:rFonts w:hint="default" w:ascii="仿宋_GB2312" w:hAnsi="仿宋_GB2312" w:eastAsia="仿宋_GB2312" w:cs="仿宋_GB2312"/>
        <w:spacing w:val="-2"/>
        <w:w w:val="99"/>
        <w:sz w:val="30"/>
        <w:szCs w:val="30"/>
        <w:lang w:val="zh-CN" w:eastAsia="zh-CN" w:bidi="zh-CN"/>
      </w:rPr>
    </w:lvl>
    <w:lvl w:ilvl="2" w:tentative="0">
      <w:start w:val="0"/>
      <w:numFmt w:val="bullet"/>
      <w:lvlText w:val="•"/>
      <w:lvlJc w:val="left"/>
      <w:pPr>
        <w:ind w:left="1280" w:hanging="322"/>
      </w:pPr>
      <w:rPr>
        <w:rFonts w:hint="default"/>
        <w:lang w:val="zh-CN" w:eastAsia="zh-CN" w:bidi="zh-CN"/>
      </w:rPr>
    </w:lvl>
    <w:lvl w:ilvl="3" w:tentative="0">
      <w:start w:val="0"/>
      <w:numFmt w:val="bullet"/>
      <w:lvlText w:val="•"/>
      <w:lvlJc w:val="left"/>
      <w:pPr>
        <w:ind w:left="2265" w:hanging="322"/>
      </w:pPr>
      <w:rPr>
        <w:rFonts w:hint="default"/>
        <w:lang w:val="zh-CN" w:eastAsia="zh-CN" w:bidi="zh-CN"/>
      </w:rPr>
    </w:lvl>
    <w:lvl w:ilvl="4" w:tentative="0">
      <w:start w:val="0"/>
      <w:numFmt w:val="bullet"/>
      <w:lvlText w:val="•"/>
      <w:lvlJc w:val="left"/>
      <w:pPr>
        <w:ind w:left="3251" w:hanging="322"/>
      </w:pPr>
      <w:rPr>
        <w:rFonts w:hint="default"/>
        <w:lang w:val="zh-CN" w:eastAsia="zh-CN" w:bidi="zh-CN"/>
      </w:rPr>
    </w:lvl>
    <w:lvl w:ilvl="5" w:tentative="0">
      <w:start w:val="0"/>
      <w:numFmt w:val="bullet"/>
      <w:lvlText w:val="•"/>
      <w:lvlJc w:val="left"/>
      <w:pPr>
        <w:ind w:left="4237" w:hanging="322"/>
      </w:pPr>
      <w:rPr>
        <w:rFonts w:hint="default"/>
        <w:lang w:val="zh-CN" w:eastAsia="zh-CN" w:bidi="zh-CN"/>
      </w:rPr>
    </w:lvl>
    <w:lvl w:ilvl="6" w:tentative="0">
      <w:start w:val="0"/>
      <w:numFmt w:val="bullet"/>
      <w:lvlText w:val="•"/>
      <w:lvlJc w:val="left"/>
      <w:pPr>
        <w:ind w:left="5223" w:hanging="322"/>
      </w:pPr>
      <w:rPr>
        <w:rFonts w:hint="default"/>
        <w:lang w:val="zh-CN" w:eastAsia="zh-CN" w:bidi="zh-CN"/>
      </w:rPr>
    </w:lvl>
    <w:lvl w:ilvl="7" w:tentative="0">
      <w:start w:val="0"/>
      <w:numFmt w:val="bullet"/>
      <w:lvlText w:val="•"/>
      <w:lvlJc w:val="left"/>
      <w:pPr>
        <w:ind w:left="6208" w:hanging="322"/>
      </w:pPr>
      <w:rPr>
        <w:rFonts w:hint="default"/>
        <w:lang w:val="zh-CN" w:eastAsia="zh-CN" w:bidi="zh-CN"/>
      </w:rPr>
    </w:lvl>
    <w:lvl w:ilvl="8" w:tentative="0">
      <w:start w:val="0"/>
      <w:numFmt w:val="bullet"/>
      <w:lvlText w:val="•"/>
      <w:lvlJc w:val="left"/>
      <w:pPr>
        <w:ind w:left="7194" w:hanging="322"/>
      </w:pPr>
      <w:rPr>
        <w:rFonts w:hint="default"/>
        <w:lang w:val="zh-CN" w:eastAsia="zh-CN" w:bidi="zh-CN"/>
      </w:rPr>
    </w:lvl>
  </w:abstractNum>
  <w:abstractNum w:abstractNumId="25">
    <w:nsid w:val="01836A6D"/>
    <w:multiLevelType w:val="multilevel"/>
    <w:tmpl w:val="01836A6D"/>
    <w:lvl w:ilvl="0" w:tentative="0">
      <w:start w:val="2"/>
      <w:numFmt w:val="decimal"/>
      <w:lvlText w:val="%1."/>
      <w:lvlJc w:val="left"/>
      <w:pPr>
        <w:ind w:left="643" w:hanging="324"/>
        <w:jc w:val="left"/>
      </w:pPr>
      <w:rPr>
        <w:rFonts w:hint="default" w:ascii="仿宋" w:hAnsi="仿宋" w:eastAsia="仿宋" w:cs="仿宋"/>
        <w:b/>
        <w:bCs/>
        <w:spacing w:val="-2"/>
        <w:w w:val="98"/>
        <w:sz w:val="30"/>
        <w:szCs w:val="30"/>
        <w:lang w:val="zh-CN" w:eastAsia="zh-CN" w:bidi="zh-CN"/>
      </w:rPr>
    </w:lvl>
    <w:lvl w:ilvl="1" w:tentative="0">
      <w:start w:val="1"/>
      <w:numFmt w:val="decimal"/>
      <w:lvlText w:val="（%2）"/>
      <w:lvlJc w:val="left"/>
      <w:pPr>
        <w:ind w:left="1760" w:hanging="800"/>
        <w:jc w:val="left"/>
      </w:pPr>
      <w:rPr>
        <w:rFonts w:hint="default" w:ascii="仿宋_GB2312" w:hAnsi="仿宋_GB2312" w:eastAsia="仿宋_GB2312" w:cs="仿宋_GB2312"/>
        <w:w w:val="99"/>
        <w:sz w:val="30"/>
        <w:szCs w:val="30"/>
        <w:lang w:val="zh-CN" w:eastAsia="zh-CN" w:bidi="zh-CN"/>
      </w:rPr>
    </w:lvl>
    <w:lvl w:ilvl="2" w:tentative="0">
      <w:start w:val="0"/>
      <w:numFmt w:val="bullet"/>
      <w:lvlText w:val="•"/>
      <w:lvlJc w:val="left"/>
      <w:pPr>
        <w:ind w:left="2582" w:hanging="800"/>
      </w:pPr>
      <w:rPr>
        <w:rFonts w:hint="default"/>
        <w:lang w:val="zh-CN" w:eastAsia="zh-CN" w:bidi="zh-CN"/>
      </w:rPr>
    </w:lvl>
    <w:lvl w:ilvl="3" w:tentative="0">
      <w:start w:val="0"/>
      <w:numFmt w:val="bullet"/>
      <w:lvlText w:val="•"/>
      <w:lvlJc w:val="left"/>
      <w:pPr>
        <w:ind w:left="3405" w:hanging="800"/>
      </w:pPr>
      <w:rPr>
        <w:rFonts w:hint="default"/>
        <w:lang w:val="zh-CN" w:eastAsia="zh-CN" w:bidi="zh-CN"/>
      </w:rPr>
    </w:lvl>
    <w:lvl w:ilvl="4" w:tentative="0">
      <w:start w:val="0"/>
      <w:numFmt w:val="bullet"/>
      <w:lvlText w:val="•"/>
      <w:lvlJc w:val="left"/>
      <w:pPr>
        <w:ind w:left="4228" w:hanging="800"/>
      </w:pPr>
      <w:rPr>
        <w:rFonts w:hint="default"/>
        <w:lang w:val="zh-CN" w:eastAsia="zh-CN" w:bidi="zh-CN"/>
      </w:rPr>
    </w:lvl>
    <w:lvl w:ilvl="5" w:tentative="0">
      <w:start w:val="0"/>
      <w:numFmt w:val="bullet"/>
      <w:lvlText w:val="•"/>
      <w:lvlJc w:val="left"/>
      <w:pPr>
        <w:ind w:left="5051" w:hanging="800"/>
      </w:pPr>
      <w:rPr>
        <w:rFonts w:hint="default"/>
        <w:lang w:val="zh-CN" w:eastAsia="zh-CN" w:bidi="zh-CN"/>
      </w:rPr>
    </w:lvl>
    <w:lvl w:ilvl="6" w:tentative="0">
      <w:start w:val="0"/>
      <w:numFmt w:val="bullet"/>
      <w:lvlText w:val="•"/>
      <w:lvlJc w:val="left"/>
      <w:pPr>
        <w:ind w:left="5874" w:hanging="800"/>
      </w:pPr>
      <w:rPr>
        <w:rFonts w:hint="default"/>
        <w:lang w:val="zh-CN" w:eastAsia="zh-CN" w:bidi="zh-CN"/>
      </w:rPr>
    </w:lvl>
    <w:lvl w:ilvl="7" w:tentative="0">
      <w:start w:val="0"/>
      <w:numFmt w:val="bullet"/>
      <w:lvlText w:val="•"/>
      <w:lvlJc w:val="left"/>
      <w:pPr>
        <w:ind w:left="6697" w:hanging="800"/>
      </w:pPr>
      <w:rPr>
        <w:rFonts w:hint="default"/>
        <w:lang w:val="zh-CN" w:eastAsia="zh-CN" w:bidi="zh-CN"/>
      </w:rPr>
    </w:lvl>
    <w:lvl w:ilvl="8" w:tentative="0">
      <w:start w:val="0"/>
      <w:numFmt w:val="bullet"/>
      <w:lvlText w:val="•"/>
      <w:lvlJc w:val="left"/>
      <w:pPr>
        <w:ind w:left="7520" w:hanging="800"/>
      </w:pPr>
      <w:rPr>
        <w:rFonts w:hint="default"/>
        <w:lang w:val="zh-CN" w:eastAsia="zh-CN" w:bidi="zh-CN"/>
      </w:rPr>
    </w:lvl>
  </w:abstractNum>
  <w:abstractNum w:abstractNumId="26">
    <w:nsid w:val="01D7E1C7"/>
    <w:multiLevelType w:val="multilevel"/>
    <w:tmpl w:val="01D7E1C7"/>
    <w:lvl w:ilvl="0" w:tentative="0">
      <w:start w:val="1"/>
      <w:numFmt w:val="decimal"/>
      <w:lvlText w:val="%1."/>
      <w:lvlJc w:val="left"/>
      <w:pPr>
        <w:ind w:left="320" w:hanging="322"/>
        <w:jc w:val="left"/>
      </w:pPr>
      <w:rPr>
        <w:rFonts w:hint="default" w:ascii="黑体" w:hAnsi="黑体" w:eastAsia="黑体" w:cs="黑体"/>
        <w:spacing w:val="-16"/>
        <w:w w:val="99"/>
        <w:sz w:val="30"/>
        <w:szCs w:val="30"/>
        <w:lang w:val="zh-CN" w:eastAsia="zh-CN" w:bidi="zh-CN"/>
      </w:rPr>
    </w:lvl>
    <w:lvl w:ilvl="1" w:tentative="0">
      <w:start w:val="0"/>
      <w:numFmt w:val="bullet"/>
      <w:lvlText w:val="•"/>
      <w:lvlJc w:val="left"/>
      <w:pPr>
        <w:ind w:left="1204" w:hanging="322"/>
      </w:pPr>
      <w:rPr>
        <w:rFonts w:hint="default"/>
        <w:lang w:val="zh-CN" w:eastAsia="zh-CN" w:bidi="zh-CN"/>
      </w:rPr>
    </w:lvl>
    <w:lvl w:ilvl="2" w:tentative="0">
      <w:start w:val="0"/>
      <w:numFmt w:val="bullet"/>
      <w:lvlText w:val="•"/>
      <w:lvlJc w:val="left"/>
      <w:pPr>
        <w:ind w:left="2089" w:hanging="322"/>
      </w:pPr>
      <w:rPr>
        <w:rFonts w:hint="default"/>
        <w:lang w:val="zh-CN" w:eastAsia="zh-CN" w:bidi="zh-CN"/>
      </w:rPr>
    </w:lvl>
    <w:lvl w:ilvl="3" w:tentative="0">
      <w:start w:val="0"/>
      <w:numFmt w:val="bullet"/>
      <w:lvlText w:val="•"/>
      <w:lvlJc w:val="left"/>
      <w:pPr>
        <w:ind w:left="2973" w:hanging="322"/>
      </w:pPr>
      <w:rPr>
        <w:rFonts w:hint="default"/>
        <w:lang w:val="zh-CN" w:eastAsia="zh-CN" w:bidi="zh-CN"/>
      </w:rPr>
    </w:lvl>
    <w:lvl w:ilvl="4" w:tentative="0">
      <w:start w:val="0"/>
      <w:numFmt w:val="bullet"/>
      <w:lvlText w:val="•"/>
      <w:lvlJc w:val="left"/>
      <w:pPr>
        <w:ind w:left="3858" w:hanging="322"/>
      </w:pPr>
      <w:rPr>
        <w:rFonts w:hint="default"/>
        <w:lang w:val="zh-CN" w:eastAsia="zh-CN" w:bidi="zh-CN"/>
      </w:rPr>
    </w:lvl>
    <w:lvl w:ilvl="5" w:tentative="0">
      <w:start w:val="0"/>
      <w:numFmt w:val="bullet"/>
      <w:lvlText w:val="•"/>
      <w:lvlJc w:val="left"/>
      <w:pPr>
        <w:ind w:left="4743" w:hanging="322"/>
      </w:pPr>
      <w:rPr>
        <w:rFonts w:hint="default"/>
        <w:lang w:val="zh-CN" w:eastAsia="zh-CN" w:bidi="zh-CN"/>
      </w:rPr>
    </w:lvl>
    <w:lvl w:ilvl="6" w:tentative="0">
      <w:start w:val="0"/>
      <w:numFmt w:val="bullet"/>
      <w:lvlText w:val="•"/>
      <w:lvlJc w:val="left"/>
      <w:pPr>
        <w:ind w:left="5627" w:hanging="322"/>
      </w:pPr>
      <w:rPr>
        <w:rFonts w:hint="default"/>
        <w:lang w:val="zh-CN" w:eastAsia="zh-CN" w:bidi="zh-CN"/>
      </w:rPr>
    </w:lvl>
    <w:lvl w:ilvl="7" w:tentative="0">
      <w:start w:val="0"/>
      <w:numFmt w:val="bullet"/>
      <w:lvlText w:val="•"/>
      <w:lvlJc w:val="left"/>
      <w:pPr>
        <w:ind w:left="6512" w:hanging="322"/>
      </w:pPr>
      <w:rPr>
        <w:rFonts w:hint="default"/>
        <w:lang w:val="zh-CN" w:eastAsia="zh-CN" w:bidi="zh-CN"/>
      </w:rPr>
    </w:lvl>
    <w:lvl w:ilvl="8" w:tentative="0">
      <w:start w:val="0"/>
      <w:numFmt w:val="bullet"/>
      <w:lvlText w:val="•"/>
      <w:lvlJc w:val="left"/>
      <w:pPr>
        <w:ind w:left="7396" w:hanging="322"/>
      </w:pPr>
      <w:rPr>
        <w:rFonts w:hint="default"/>
        <w:lang w:val="zh-CN" w:eastAsia="zh-CN" w:bidi="zh-CN"/>
      </w:rPr>
    </w:lvl>
  </w:abstractNum>
  <w:abstractNum w:abstractNumId="27">
    <w:nsid w:val="03C240C0"/>
    <w:multiLevelType w:val="multilevel"/>
    <w:tmpl w:val="03C240C0"/>
    <w:lvl w:ilvl="0" w:tentative="0">
      <w:start w:val="1"/>
      <w:numFmt w:val="decimal"/>
      <w:lvlText w:val="%1."/>
      <w:lvlJc w:val="left"/>
      <w:pPr>
        <w:ind w:left="320" w:hanging="322"/>
        <w:jc w:val="left"/>
      </w:pPr>
      <w:rPr>
        <w:rFonts w:hint="default" w:ascii="仿宋_GB2312" w:hAnsi="仿宋_GB2312" w:eastAsia="仿宋_GB2312" w:cs="仿宋_GB2312"/>
        <w:spacing w:val="-2"/>
        <w:w w:val="99"/>
        <w:sz w:val="30"/>
        <w:szCs w:val="30"/>
        <w:lang w:val="zh-CN" w:eastAsia="zh-CN" w:bidi="zh-CN"/>
      </w:rPr>
    </w:lvl>
    <w:lvl w:ilvl="1" w:tentative="0">
      <w:start w:val="0"/>
      <w:numFmt w:val="bullet"/>
      <w:lvlText w:val="•"/>
      <w:lvlJc w:val="left"/>
      <w:pPr>
        <w:ind w:left="1204" w:hanging="322"/>
      </w:pPr>
      <w:rPr>
        <w:rFonts w:hint="default"/>
        <w:lang w:val="zh-CN" w:eastAsia="zh-CN" w:bidi="zh-CN"/>
      </w:rPr>
    </w:lvl>
    <w:lvl w:ilvl="2" w:tentative="0">
      <w:start w:val="0"/>
      <w:numFmt w:val="bullet"/>
      <w:lvlText w:val="•"/>
      <w:lvlJc w:val="left"/>
      <w:pPr>
        <w:ind w:left="2089" w:hanging="322"/>
      </w:pPr>
      <w:rPr>
        <w:rFonts w:hint="default"/>
        <w:lang w:val="zh-CN" w:eastAsia="zh-CN" w:bidi="zh-CN"/>
      </w:rPr>
    </w:lvl>
    <w:lvl w:ilvl="3" w:tentative="0">
      <w:start w:val="0"/>
      <w:numFmt w:val="bullet"/>
      <w:lvlText w:val="•"/>
      <w:lvlJc w:val="left"/>
      <w:pPr>
        <w:ind w:left="2973" w:hanging="322"/>
      </w:pPr>
      <w:rPr>
        <w:rFonts w:hint="default"/>
        <w:lang w:val="zh-CN" w:eastAsia="zh-CN" w:bidi="zh-CN"/>
      </w:rPr>
    </w:lvl>
    <w:lvl w:ilvl="4" w:tentative="0">
      <w:start w:val="0"/>
      <w:numFmt w:val="bullet"/>
      <w:lvlText w:val="•"/>
      <w:lvlJc w:val="left"/>
      <w:pPr>
        <w:ind w:left="3858" w:hanging="322"/>
      </w:pPr>
      <w:rPr>
        <w:rFonts w:hint="default"/>
        <w:lang w:val="zh-CN" w:eastAsia="zh-CN" w:bidi="zh-CN"/>
      </w:rPr>
    </w:lvl>
    <w:lvl w:ilvl="5" w:tentative="0">
      <w:start w:val="0"/>
      <w:numFmt w:val="bullet"/>
      <w:lvlText w:val="•"/>
      <w:lvlJc w:val="left"/>
      <w:pPr>
        <w:ind w:left="4743" w:hanging="322"/>
      </w:pPr>
      <w:rPr>
        <w:rFonts w:hint="default"/>
        <w:lang w:val="zh-CN" w:eastAsia="zh-CN" w:bidi="zh-CN"/>
      </w:rPr>
    </w:lvl>
    <w:lvl w:ilvl="6" w:tentative="0">
      <w:start w:val="0"/>
      <w:numFmt w:val="bullet"/>
      <w:lvlText w:val="•"/>
      <w:lvlJc w:val="left"/>
      <w:pPr>
        <w:ind w:left="5627" w:hanging="322"/>
      </w:pPr>
      <w:rPr>
        <w:rFonts w:hint="default"/>
        <w:lang w:val="zh-CN" w:eastAsia="zh-CN" w:bidi="zh-CN"/>
      </w:rPr>
    </w:lvl>
    <w:lvl w:ilvl="7" w:tentative="0">
      <w:start w:val="0"/>
      <w:numFmt w:val="bullet"/>
      <w:lvlText w:val="•"/>
      <w:lvlJc w:val="left"/>
      <w:pPr>
        <w:ind w:left="6512" w:hanging="322"/>
      </w:pPr>
      <w:rPr>
        <w:rFonts w:hint="default"/>
        <w:lang w:val="zh-CN" w:eastAsia="zh-CN" w:bidi="zh-CN"/>
      </w:rPr>
    </w:lvl>
    <w:lvl w:ilvl="8" w:tentative="0">
      <w:start w:val="0"/>
      <w:numFmt w:val="bullet"/>
      <w:lvlText w:val="•"/>
      <w:lvlJc w:val="left"/>
      <w:pPr>
        <w:ind w:left="7396" w:hanging="322"/>
      </w:pPr>
      <w:rPr>
        <w:rFonts w:hint="default"/>
        <w:lang w:val="zh-CN" w:eastAsia="zh-CN" w:bidi="zh-CN"/>
      </w:rPr>
    </w:lvl>
  </w:abstractNum>
  <w:abstractNum w:abstractNumId="28">
    <w:nsid w:val="0C0E1E13"/>
    <w:multiLevelType w:val="multilevel"/>
    <w:tmpl w:val="0C0E1E13"/>
    <w:lvl w:ilvl="0" w:tentative="0">
      <w:start w:val="1"/>
      <w:numFmt w:val="decimal"/>
      <w:lvlText w:val="（%1）"/>
      <w:lvlJc w:val="left"/>
      <w:pPr>
        <w:ind w:left="320" w:hanging="819"/>
        <w:jc w:val="left"/>
      </w:pPr>
      <w:rPr>
        <w:rFonts w:hint="default" w:ascii="仿宋_GB2312" w:hAnsi="仿宋_GB2312" w:eastAsia="仿宋_GB2312" w:cs="仿宋_GB2312"/>
        <w:spacing w:val="5"/>
        <w:w w:val="99"/>
        <w:sz w:val="30"/>
        <w:szCs w:val="30"/>
        <w:lang w:val="zh-CN" w:eastAsia="zh-CN" w:bidi="zh-CN"/>
      </w:rPr>
    </w:lvl>
    <w:lvl w:ilvl="1" w:tentative="0">
      <w:start w:val="0"/>
      <w:numFmt w:val="bullet"/>
      <w:lvlText w:val="•"/>
      <w:lvlJc w:val="left"/>
      <w:pPr>
        <w:ind w:left="1204" w:hanging="819"/>
      </w:pPr>
      <w:rPr>
        <w:rFonts w:hint="default"/>
        <w:lang w:val="zh-CN" w:eastAsia="zh-CN" w:bidi="zh-CN"/>
      </w:rPr>
    </w:lvl>
    <w:lvl w:ilvl="2" w:tentative="0">
      <w:start w:val="0"/>
      <w:numFmt w:val="bullet"/>
      <w:lvlText w:val="•"/>
      <w:lvlJc w:val="left"/>
      <w:pPr>
        <w:ind w:left="2089" w:hanging="819"/>
      </w:pPr>
      <w:rPr>
        <w:rFonts w:hint="default"/>
        <w:lang w:val="zh-CN" w:eastAsia="zh-CN" w:bidi="zh-CN"/>
      </w:rPr>
    </w:lvl>
    <w:lvl w:ilvl="3" w:tentative="0">
      <w:start w:val="0"/>
      <w:numFmt w:val="bullet"/>
      <w:lvlText w:val="•"/>
      <w:lvlJc w:val="left"/>
      <w:pPr>
        <w:ind w:left="2973" w:hanging="819"/>
      </w:pPr>
      <w:rPr>
        <w:rFonts w:hint="default"/>
        <w:lang w:val="zh-CN" w:eastAsia="zh-CN" w:bidi="zh-CN"/>
      </w:rPr>
    </w:lvl>
    <w:lvl w:ilvl="4" w:tentative="0">
      <w:start w:val="0"/>
      <w:numFmt w:val="bullet"/>
      <w:lvlText w:val="•"/>
      <w:lvlJc w:val="left"/>
      <w:pPr>
        <w:ind w:left="3858" w:hanging="819"/>
      </w:pPr>
      <w:rPr>
        <w:rFonts w:hint="default"/>
        <w:lang w:val="zh-CN" w:eastAsia="zh-CN" w:bidi="zh-CN"/>
      </w:rPr>
    </w:lvl>
    <w:lvl w:ilvl="5" w:tentative="0">
      <w:start w:val="0"/>
      <w:numFmt w:val="bullet"/>
      <w:lvlText w:val="•"/>
      <w:lvlJc w:val="left"/>
      <w:pPr>
        <w:ind w:left="4743" w:hanging="819"/>
      </w:pPr>
      <w:rPr>
        <w:rFonts w:hint="default"/>
        <w:lang w:val="zh-CN" w:eastAsia="zh-CN" w:bidi="zh-CN"/>
      </w:rPr>
    </w:lvl>
    <w:lvl w:ilvl="6" w:tentative="0">
      <w:start w:val="0"/>
      <w:numFmt w:val="bullet"/>
      <w:lvlText w:val="•"/>
      <w:lvlJc w:val="left"/>
      <w:pPr>
        <w:ind w:left="5627" w:hanging="819"/>
      </w:pPr>
      <w:rPr>
        <w:rFonts w:hint="default"/>
        <w:lang w:val="zh-CN" w:eastAsia="zh-CN" w:bidi="zh-CN"/>
      </w:rPr>
    </w:lvl>
    <w:lvl w:ilvl="7" w:tentative="0">
      <w:start w:val="0"/>
      <w:numFmt w:val="bullet"/>
      <w:lvlText w:val="•"/>
      <w:lvlJc w:val="left"/>
      <w:pPr>
        <w:ind w:left="6512" w:hanging="819"/>
      </w:pPr>
      <w:rPr>
        <w:rFonts w:hint="default"/>
        <w:lang w:val="zh-CN" w:eastAsia="zh-CN" w:bidi="zh-CN"/>
      </w:rPr>
    </w:lvl>
    <w:lvl w:ilvl="8" w:tentative="0">
      <w:start w:val="0"/>
      <w:numFmt w:val="bullet"/>
      <w:lvlText w:val="•"/>
      <w:lvlJc w:val="left"/>
      <w:pPr>
        <w:ind w:left="7396" w:hanging="819"/>
      </w:pPr>
      <w:rPr>
        <w:rFonts w:hint="default"/>
        <w:lang w:val="zh-CN" w:eastAsia="zh-CN" w:bidi="zh-CN"/>
      </w:rPr>
    </w:lvl>
  </w:abstractNum>
  <w:abstractNum w:abstractNumId="29">
    <w:nsid w:val="0DC629B0"/>
    <w:multiLevelType w:val="multilevel"/>
    <w:tmpl w:val="0DC629B0"/>
    <w:lvl w:ilvl="0" w:tentative="0">
      <w:start w:val="1"/>
      <w:numFmt w:val="decimal"/>
      <w:lvlText w:val="（%1）"/>
      <w:lvlJc w:val="left"/>
      <w:pPr>
        <w:ind w:left="1760" w:hanging="800"/>
        <w:jc w:val="left"/>
      </w:pPr>
      <w:rPr>
        <w:rFonts w:hint="default" w:ascii="仿宋_GB2312" w:hAnsi="仿宋_GB2312" w:eastAsia="仿宋_GB2312" w:cs="仿宋_GB2312"/>
        <w:w w:val="99"/>
        <w:sz w:val="30"/>
        <w:szCs w:val="30"/>
        <w:lang w:val="zh-CN" w:eastAsia="zh-CN" w:bidi="zh-CN"/>
      </w:rPr>
    </w:lvl>
    <w:lvl w:ilvl="1" w:tentative="0">
      <w:start w:val="0"/>
      <w:numFmt w:val="bullet"/>
      <w:lvlText w:val="•"/>
      <w:lvlJc w:val="left"/>
      <w:pPr>
        <w:ind w:left="2500" w:hanging="800"/>
      </w:pPr>
      <w:rPr>
        <w:rFonts w:hint="default"/>
        <w:lang w:val="zh-CN" w:eastAsia="zh-CN" w:bidi="zh-CN"/>
      </w:rPr>
    </w:lvl>
    <w:lvl w:ilvl="2" w:tentative="0">
      <w:start w:val="0"/>
      <w:numFmt w:val="bullet"/>
      <w:lvlText w:val="•"/>
      <w:lvlJc w:val="left"/>
      <w:pPr>
        <w:ind w:left="3241" w:hanging="800"/>
      </w:pPr>
      <w:rPr>
        <w:rFonts w:hint="default"/>
        <w:lang w:val="zh-CN" w:eastAsia="zh-CN" w:bidi="zh-CN"/>
      </w:rPr>
    </w:lvl>
    <w:lvl w:ilvl="3" w:tentative="0">
      <w:start w:val="0"/>
      <w:numFmt w:val="bullet"/>
      <w:lvlText w:val="•"/>
      <w:lvlJc w:val="left"/>
      <w:pPr>
        <w:ind w:left="3981" w:hanging="800"/>
      </w:pPr>
      <w:rPr>
        <w:rFonts w:hint="default"/>
        <w:lang w:val="zh-CN" w:eastAsia="zh-CN" w:bidi="zh-CN"/>
      </w:rPr>
    </w:lvl>
    <w:lvl w:ilvl="4" w:tentative="0">
      <w:start w:val="0"/>
      <w:numFmt w:val="bullet"/>
      <w:lvlText w:val="•"/>
      <w:lvlJc w:val="left"/>
      <w:pPr>
        <w:ind w:left="4722" w:hanging="800"/>
      </w:pPr>
      <w:rPr>
        <w:rFonts w:hint="default"/>
        <w:lang w:val="zh-CN" w:eastAsia="zh-CN" w:bidi="zh-CN"/>
      </w:rPr>
    </w:lvl>
    <w:lvl w:ilvl="5" w:tentative="0">
      <w:start w:val="0"/>
      <w:numFmt w:val="bullet"/>
      <w:lvlText w:val="•"/>
      <w:lvlJc w:val="left"/>
      <w:pPr>
        <w:ind w:left="5463" w:hanging="800"/>
      </w:pPr>
      <w:rPr>
        <w:rFonts w:hint="default"/>
        <w:lang w:val="zh-CN" w:eastAsia="zh-CN" w:bidi="zh-CN"/>
      </w:rPr>
    </w:lvl>
    <w:lvl w:ilvl="6" w:tentative="0">
      <w:start w:val="0"/>
      <w:numFmt w:val="bullet"/>
      <w:lvlText w:val="•"/>
      <w:lvlJc w:val="left"/>
      <w:pPr>
        <w:ind w:left="6203" w:hanging="800"/>
      </w:pPr>
      <w:rPr>
        <w:rFonts w:hint="default"/>
        <w:lang w:val="zh-CN" w:eastAsia="zh-CN" w:bidi="zh-CN"/>
      </w:rPr>
    </w:lvl>
    <w:lvl w:ilvl="7" w:tentative="0">
      <w:start w:val="0"/>
      <w:numFmt w:val="bullet"/>
      <w:lvlText w:val="•"/>
      <w:lvlJc w:val="left"/>
      <w:pPr>
        <w:ind w:left="6944" w:hanging="800"/>
      </w:pPr>
      <w:rPr>
        <w:rFonts w:hint="default"/>
        <w:lang w:val="zh-CN" w:eastAsia="zh-CN" w:bidi="zh-CN"/>
      </w:rPr>
    </w:lvl>
    <w:lvl w:ilvl="8" w:tentative="0">
      <w:start w:val="0"/>
      <w:numFmt w:val="bullet"/>
      <w:lvlText w:val="•"/>
      <w:lvlJc w:val="left"/>
      <w:pPr>
        <w:ind w:left="7684" w:hanging="800"/>
      </w:pPr>
      <w:rPr>
        <w:rFonts w:hint="default"/>
        <w:lang w:val="zh-CN" w:eastAsia="zh-CN" w:bidi="zh-CN"/>
      </w:rPr>
    </w:lvl>
  </w:abstractNum>
  <w:abstractNum w:abstractNumId="30">
    <w:nsid w:val="10F0DB0B"/>
    <w:multiLevelType w:val="multilevel"/>
    <w:tmpl w:val="10F0DB0B"/>
    <w:lvl w:ilvl="0" w:tentative="0">
      <w:start w:val="5"/>
      <w:numFmt w:val="decimal"/>
      <w:lvlText w:val="%1."/>
      <w:lvlJc w:val="left"/>
      <w:pPr>
        <w:ind w:left="320" w:hanging="485"/>
        <w:jc w:val="left"/>
      </w:pPr>
      <w:rPr>
        <w:rFonts w:hint="default" w:ascii="仿宋_GB2312" w:hAnsi="仿宋_GB2312" w:eastAsia="仿宋_GB2312" w:cs="仿宋_GB2312"/>
        <w:spacing w:val="0"/>
        <w:w w:val="99"/>
        <w:sz w:val="32"/>
        <w:szCs w:val="32"/>
        <w:lang w:val="zh-CN" w:eastAsia="zh-CN" w:bidi="zh-CN"/>
      </w:rPr>
    </w:lvl>
    <w:lvl w:ilvl="1" w:tentative="0">
      <w:start w:val="0"/>
      <w:numFmt w:val="bullet"/>
      <w:lvlText w:val="•"/>
      <w:lvlJc w:val="left"/>
      <w:pPr>
        <w:ind w:left="1204" w:hanging="485"/>
      </w:pPr>
      <w:rPr>
        <w:rFonts w:hint="default"/>
        <w:lang w:val="zh-CN" w:eastAsia="zh-CN" w:bidi="zh-CN"/>
      </w:rPr>
    </w:lvl>
    <w:lvl w:ilvl="2" w:tentative="0">
      <w:start w:val="0"/>
      <w:numFmt w:val="bullet"/>
      <w:lvlText w:val="•"/>
      <w:lvlJc w:val="left"/>
      <w:pPr>
        <w:ind w:left="2089" w:hanging="485"/>
      </w:pPr>
      <w:rPr>
        <w:rFonts w:hint="default"/>
        <w:lang w:val="zh-CN" w:eastAsia="zh-CN" w:bidi="zh-CN"/>
      </w:rPr>
    </w:lvl>
    <w:lvl w:ilvl="3" w:tentative="0">
      <w:start w:val="0"/>
      <w:numFmt w:val="bullet"/>
      <w:lvlText w:val="•"/>
      <w:lvlJc w:val="left"/>
      <w:pPr>
        <w:ind w:left="2973" w:hanging="485"/>
      </w:pPr>
      <w:rPr>
        <w:rFonts w:hint="default"/>
        <w:lang w:val="zh-CN" w:eastAsia="zh-CN" w:bidi="zh-CN"/>
      </w:rPr>
    </w:lvl>
    <w:lvl w:ilvl="4" w:tentative="0">
      <w:start w:val="0"/>
      <w:numFmt w:val="bullet"/>
      <w:lvlText w:val="•"/>
      <w:lvlJc w:val="left"/>
      <w:pPr>
        <w:ind w:left="3858" w:hanging="485"/>
      </w:pPr>
      <w:rPr>
        <w:rFonts w:hint="default"/>
        <w:lang w:val="zh-CN" w:eastAsia="zh-CN" w:bidi="zh-CN"/>
      </w:rPr>
    </w:lvl>
    <w:lvl w:ilvl="5" w:tentative="0">
      <w:start w:val="0"/>
      <w:numFmt w:val="bullet"/>
      <w:lvlText w:val="•"/>
      <w:lvlJc w:val="left"/>
      <w:pPr>
        <w:ind w:left="4743" w:hanging="485"/>
      </w:pPr>
      <w:rPr>
        <w:rFonts w:hint="default"/>
        <w:lang w:val="zh-CN" w:eastAsia="zh-CN" w:bidi="zh-CN"/>
      </w:rPr>
    </w:lvl>
    <w:lvl w:ilvl="6" w:tentative="0">
      <w:start w:val="0"/>
      <w:numFmt w:val="bullet"/>
      <w:lvlText w:val="•"/>
      <w:lvlJc w:val="left"/>
      <w:pPr>
        <w:ind w:left="5627" w:hanging="485"/>
      </w:pPr>
      <w:rPr>
        <w:rFonts w:hint="default"/>
        <w:lang w:val="zh-CN" w:eastAsia="zh-CN" w:bidi="zh-CN"/>
      </w:rPr>
    </w:lvl>
    <w:lvl w:ilvl="7" w:tentative="0">
      <w:start w:val="0"/>
      <w:numFmt w:val="bullet"/>
      <w:lvlText w:val="•"/>
      <w:lvlJc w:val="left"/>
      <w:pPr>
        <w:ind w:left="6512" w:hanging="485"/>
      </w:pPr>
      <w:rPr>
        <w:rFonts w:hint="default"/>
        <w:lang w:val="zh-CN" w:eastAsia="zh-CN" w:bidi="zh-CN"/>
      </w:rPr>
    </w:lvl>
    <w:lvl w:ilvl="8" w:tentative="0">
      <w:start w:val="0"/>
      <w:numFmt w:val="bullet"/>
      <w:lvlText w:val="•"/>
      <w:lvlJc w:val="left"/>
      <w:pPr>
        <w:ind w:left="7396" w:hanging="485"/>
      </w:pPr>
      <w:rPr>
        <w:rFonts w:hint="default"/>
        <w:lang w:val="zh-CN" w:eastAsia="zh-CN" w:bidi="zh-CN"/>
      </w:rPr>
    </w:lvl>
  </w:abstractNum>
  <w:abstractNum w:abstractNumId="31">
    <w:nsid w:val="1AD50295"/>
    <w:multiLevelType w:val="multilevel"/>
    <w:tmpl w:val="1AD50295"/>
    <w:lvl w:ilvl="0" w:tentative="0">
      <w:start w:val="1"/>
      <w:numFmt w:val="decimal"/>
      <w:lvlText w:val="%1."/>
      <w:lvlJc w:val="left"/>
      <w:pPr>
        <w:ind w:left="988" w:hanging="242"/>
        <w:jc w:val="left"/>
      </w:pPr>
      <w:rPr>
        <w:rFonts w:hint="default" w:ascii="Times New Roman" w:hAnsi="Times New Roman" w:eastAsia="Times New Roman" w:cs="Times New Roman"/>
        <w:color w:val="585858"/>
        <w:spacing w:val="-1"/>
        <w:w w:val="99"/>
        <w:sz w:val="30"/>
        <w:szCs w:val="30"/>
        <w:lang w:val="zh-CN" w:eastAsia="zh-CN" w:bidi="zh-CN"/>
      </w:rPr>
    </w:lvl>
    <w:lvl w:ilvl="1" w:tentative="0">
      <w:start w:val="1"/>
      <w:numFmt w:val="decimal"/>
      <w:lvlText w:val="%2."/>
      <w:lvlJc w:val="left"/>
      <w:pPr>
        <w:ind w:left="1421" w:hanging="262"/>
        <w:jc w:val="left"/>
      </w:pPr>
      <w:rPr>
        <w:rFonts w:hint="default" w:ascii="Times New Roman" w:hAnsi="Times New Roman" w:eastAsia="Times New Roman" w:cs="Times New Roman"/>
        <w:spacing w:val="0"/>
        <w:w w:val="99"/>
        <w:sz w:val="21"/>
        <w:szCs w:val="21"/>
        <w:lang w:val="zh-CN" w:eastAsia="zh-CN" w:bidi="zh-CN"/>
      </w:rPr>
    </w:lvl>
    <w:lvl w:ilvl="2" w:tentative="0">
      <w:start w:val="0"/>
      <w:numFmt w:val="bullet"/>
      <w:lvlText w:val="•"/>
      <w:lvlJc w:val="left"/>
      <w:pPr>
        <w:ind w:left="2280" w:hanging="262"/>
      </w:pPr>
      <w:rPr>
        <w:rFonts w:hint="default"/>
        <w:lang w:val="zh-CN" w:eastAsia="zh-CN" w:bidi="zh-CN"/>
      </w:rPr>
    </w:lvl>
    <w:lvl w:ilvl="3" w:tentative="0">
      <w:start w:val="0"/>
      <w:numFmt w:val="bullet"/>
      <w:lvlText w:val="•"/>
      <w:lvlJc w:val="left"/>
      <w:pPr>
        <w:ind w:left="3141" w:hanging="262"/>
      </w:pPr>
      <w:rPr>
        <w:rFonts w:hint="default"/>
        <w:lang w:val="zh-CN" w:eastAsia="zh-CN" w:bidi="zh-CN"/>
      </w:rPr>
    </w:lvl>
    <w:lvl w:ilvl="4" w:tentative="0">
      <w:start w:val="0"/>
      <w:numFmt w:val="bullet"/>
      <w:lvlText w:val="•"/>
      <w:lvlJc w:val="left"/>
      <w:pPr>
        <w:ind w:left="4002" w:hanging="262"/>
      </w:pPr>
      <w:rPr>
        <w:rFonts w:hint="default"/>
        <w:lang w:val="zh-CN" w:eastAsia="zh-CN" w:bidi="zh-CN"/>
      </w:rPr>
    </w:lvl>
    <w:lvl w:ilvl="5" w:tentative="0">
      <w:start w:val="0"/>
      <w:numFmt w:val="bullet"/>
      <w:lvlText w:val="•"/>
      <w:lvlJc w:val="left"/>
      <w:pPr>
        <w:ind w:left="4862" w:hanging="262"/>
      </w:pPr>
      <w:rPr>
        <w:rFonts w:hint="default"/>
        <w:lang w:val="zh-CN" w:eastAsia="zh-CN" w:bidi="zh-CN"/>
      </w:rPr>
    </w:lvl>
    <w:lvl w:ilvl="6" w:tentative="0">
      <w:start w:val="0"/>
      <w:numFmt w:val="bullet"/>
      <w:lvlText w:val="•"/>
      <w:lvlJc w:val="left"/>
      <w:pPr>
        <w:ind w:left="5723" w:hanging="262"/>
      </w:pPr>
      <w:rPr>
        <w:rFonts w:hint="default"/>
        <w:lang w:val="zh-CN" w:eastAsia="zh-CN" w:bidi="zh-CN"/>
      </w:rPr>
    </w:lvl>
    <w:lvl w:ilvl="7" w:tentative="0">
      <w:start w:val="0"/>
      <w:numFmt w:val="bullet"/>
      <w:lvlText w:val="•"/>
      <w:lvlJc w:val="left"/>
      <w:pPr>
        <w:ind w:left="6584" w:hanging="262"/>
      </w:pPr>
      <w:rPr>
        <w:rFonts w:hint="default"/>
        <w:lang w:val="zh-CN" w:eastAsia="zh-CN" w:bidi="zh-CN"/>
      </w:rPr>
    </w:lvl>
    <w:lvl w:ilvl="8" w:tentative="0">
      <w:start w:val="0"/>
      <w:numFmt w:val="bullet"/>
      <w:lvlText w:val="•"/>
      <w:lvlJc w:val="left"/>
      <w:pPr>
        <w:ind w:left="7444" w:hanging="262"/>
      </w:pPr>
      <w:rPr>
        <w:rFonts w:hint="default"/>
        <w:lang w:val="zh-CN" w:eastAsia="zh-CN" w:bidi="zh-CN"/>
      </w:rPr>
    </w:lvl>
  </w:abstractNum>
  <w:abstractNum w:abstractNumId="32">
    <w:nsid w:val="2007DCFD"/>
    <w:multiLevelType w:val="multilevel"/>
    <w:tmpl w:val="2007DCFD"/>
    <w:lvl w:ilvl="0" w:tentative="0">
      <w:start w:val="10"/>
      <w:numFmt w:val="decimal"/>
      <w:lvlText w:val="%1."/>
      <w:lvlJc w:val="left"/>
      <w:pPr>
        <w:ind w:left="320" w:hanging="485"/>
        <w:jc w:val="left"/>
      </w:pPr>
      <w:rPr>
        <w:rFonts w:hint="default" w:ascii="仿宋" w:hAnsi="仿宋" w:eastAsia="仿宋" w:cs="仿宋"/>
        <w:b/>
        <w:bCs/>
        <w:spacing w:val="-2"/>
        <w:w w:val="98"/>
        <w:sz w:val="30"/>
        <w:szCs w:val="30"/>
        <w:lang w:val="zh-CN" w:eastAsia="zh-CN" w:bidi="zh-CN"/>
      </w:rPr>
    </w:lvl>
    <w:lvl w:ilvl="1" w:tentative="0">
      <w:start w:val="1"/>
      <w:numFmt w:val="decimal"/>
      <w:lvlText w:val="%2."/>
      <w:lvlJc w:val="left"/>
      <w:pPr>
        <w:ind w:left="320" w:hanging="322"/>
        <w:jc w:val="left"/>
      </w:pPr>
      <w:rPr>
        <w:rFonts w:hint="default" w:ascii="仿宋_GB2312" w:hAnsi="仿宋_GB2312" w:eastAsia="仿宋_GB2312" w:cs="仿宋_GB2312"/>
        <w:spacing w:val="-2"/>
        <w:w w:val="99"/>
        <w:sz w:val="30"/>
        <w:szCs w:val="30"/>
        <w:lang w:val="zh-CN" w:eastAsia="zh-CN" w:bidi="zh-CN"/>
      </w:rPr>
    </w:lvl>
    <w:lvl w:ilvl="2" w:tentative="0">
      <w:start w:val="0"/>
      <w:numFmt w:val="bullet"/>
      <w:lvlText w:val="•"/>
      <w:lvlJc w:val="left"/>
      <w:pPr>
        <w:ind w:left="2156" w:hanging="322"/>
      </w:pPr>
      <w:rPr>
        <w:rFonts w:hint="default"/>
        <w:lang w:val="zh-CN" w:eastAsia="zh-CN" w:bidi="zh-CN"/>
      </w:rPr>
    </w:lvl>
    <w:lvl w:ilvl="3" w:tentative="0">
      <w:start w:val="0"/>
      <w:numFmt w:val="bullet"/>
      <w:lvlText w:val="•"/>
      <w:lvlJc w:val="left"/>
      <w:pPr>
        <w:ind w:left="3032" w:hanging="322"/>
      </w:pPr>
      <w:rPr>
        <w:rFonts w:hint="default"/>
        <w:lang w:val="zh-CN" w:eastAsia="zh-CN" w:bidi="zh-CN"/>
      </w:rPr>
    </w:lvl>
    <w:lvl w:ilvl="4" w:tentative="0">
      <w:start w:val="0"/>
      <w:numFmt w:val="bullet"/>
      <w:lvlText w:val="•"/>
      <w:lvlJc w:val="left"/>
      <w:pPr>
        <w:ind w:left="3908" w:hanging="322"/>
      </w:pPr>
      <w:rPr>
        <w:rFonts w:hint="default"/>
        <w:lang w:val="zh-CN" w:eastAsia="zh-CN" w:bidi="zh-CN"/>
      </w:rPr>
    </w:lvl>
    <w:lvl w:ilvl="5" w:tentative="0">
      <w:start w:val="0"/>
      <w:numFmt w:val="bullet"/>
      <w:lvlText w:val="•"/>
      <w:lvlJc w:val="left"/>
      <w:pPr>
        <w:ind w:left="4784" w:hanging="322"/>
      </w:pPr>
      <w:rPr>
        <w:rFonts w:hint="default"/>
        <w:lang w:val="zh-CN" w:eastAsia="zh-CN" w:bidi="zh-CN"/>
      </w:rPr>
    </w:lvl>
    <w:lvl w:ilvl="6" w:tentative="0">
      <w:start w:val="0"/>
      <w:numFmt w:val="bullet"/>
      <w:lvlText w:val="•"/>
      <w:lvlJc w:val="left"/>
      <w:pPr>
        <w:ind w:left="5661" w:hanging="322"/>
      </w:pPr>
      <w:rPr>
        <w:rFonts w:hint="default"/>
        <w:lang w:val="zh-CN" w:eastAsia="zh-CN" w:bidi="zh-CN"/>
      </w:rPr>
    </w:lvl>
    <w:lvl w:ilvl="7" w:tentative="0">
      <w:start w:val="0"/>
      <w:numFmt w:val="bullet"/>
      <w:lvlText w:val="•"/>
      <w:lvlJc w:val="left"/>
      <w:pPr>
        <w:ind w:left="6537" w:hanging="322"/>
      </w:pPr>
      <w:rPr>
        <w:rFonts w:hint="default"/>
        <w:lang w:val="zh-CN" w:eastAsia="zh-CN" w:bidi="zh-CN"/>
      </w:rPr>
    </w:lvl>
    <w:lvl w:ilvl="8" w:tentative="0">
      <w:start w:val="0"/>
      <w:numFmt w:val="bullet"/>
      <w:lvlText w:val="•"/>
      <w:lvlJc w:val="left"/>
      <w:pPr>
        <w:ind w:left="7413" w:hanging="322"/>
      </w:pPr>
      <w:rPr>
        <w:rFonts w:hint="default"/>
        <w:lang w:val="zh-CN" w:eastAsia="zh-CN" w:bidi="zh-CN"/>
      </w:rPr>
    </w:lvl>
  </w:abstractNum>
  <w:abstractNum w:abstractNumId="33">
    <w:nsid w:val="21B3B1B1"/>
    <w:multiLevelType w:val="multilevel"/>
    <w:tmpl w:val="21B3B1B1"/>
    <w:lvl w:ilvl="0" w:tentative="0">
      <w:start w:val="1"/>
      <w:numFmt w:val="decimal"/>
      <w:lvlText w:val="%1."/>
      <w:lvlJc w:val="left"/>
      <w:pPr>
        <w:ind w:left="320" w:hanging="322"/>
        <w:jc w:val="left"/>
      </w:pPr>
      <w:rPr>
        <w:rFonts w:hint="default" w:ascii="仿宋_GB2312" w:hAnsi="仿宋_GB2312" w:eastAsia="仿宋_GB2312" w:cs="仿宋_GB2312"/>
        <w:spacing w:val="-2"/>
        <w:w w:val="99"/>
        <w:sz w:val="30"/>
        <w:szCs w:val="30"/>
        <w:lang w:val="zh-CN" w:eastAsia="zh-CN" w:bidi="zh-CN"/>
      </w:rPr>
    </w:lvl>
    <w:lvl w:ilvl="1" w:tentative="0">
      <w:start w:val="0"/>
      <w:numFmt w:val="bullet"/>
      <w:lvlText w:val="•"/>
      <w:lvlJc w:val="left"/>
      <w:pPr>
        <w:ind w:left="1204" w:hanging="322"/>
      </w:pPr>
      <w:rPr>
        <w:rFonts w:hint="default"/>
        <w:lang w:val="zh-CN" w:eastAsia="zh-CN" w:bidi="zh-CN"/>
      </w:rPr>
    </w:lvl>
    <w:lvl w:ilvl="2" w:tentative="0">
      <w:start w:val="0"/>
      <w:numFmt w:val="bullet"/>
      <w:lvlText w:val="•"/>
      <w:lvlJc w:val="left"/>
      <w:pPr>
        <w:ind w:left="2089" w:hanging="322"/>
      </w:pPr>
      <w:rPr>
        <w:rFonts w:hint="default"/>
        <w:lang w:val="zh-CN" w:eastAsia="zh-CN" w:bidi="zh-CN"/>
      </w:rPr>
    </w:lvl>
    <w:lvl w:ilvl="3" w:tentative="0">
      <w:start w:val="0"/>
      <w:numFmt w:val="bullet"/>
      <w:lvlText w:val="•"/>
      <w:lvlJc w:val="left"/>
      <w:pPr>
        <w:ind w:left="2973" w:hanging="322"/>
      </w:pPr>
      <w:rPr>
        <w:rFonts w:hint="default"/>
        <w:lang w:val="zh-CN" w:eastAsia="zh-CN" w:bidi="zh-CN"/>
      </w:rPr>
    </w:lvl>
    <w:lvl w:ilvl="4" w:tentative="0">
      <w:start w:val="0"/>
      <w:numFmt w:val="bullet"/>
      <w:lvlText w:val="•"/>
      <w:lvlJc w:val="left"/>
      <w:pPr>
        <w:ind w:left="3858" w:hanging="322"/>
      </w:pPr>
      <w:rPr>
        <w:rFonts w:hint="default"/>
        <w:lang w:val="zh-CN" w:eastAsia="zh-CN" w:bidi="zh-CN"/>
      </w:rPr>
    </w:lvl>
    <w:lvl w:ilvl="5" w:tentative="0">
      <w:start w:val="0"/>
      <w:numFmt w:val="bullet"/>
      <w:lvlText w:val="•"/>
      <w:lvlJc w:val="left"/>
      <w:pPr>
        <w:ind w:left="4743" w:hanging="322"/>
      </w:pPr>
      <w:rPr>
        <w:rFonts w:hint="default"/>
        <w:lang w:val="zh-CN" w:eastAsia="zh-CN" w:bidi="zh-CN"/>
      </w:rPr>
    </w:lvl>
    <w:lvl w:ilvl="6" w:tentative="0">
      <w:start w:val="0"/>
      <w:numFmt w:val="bullet"/>
      <w:lvlText w:val="•"/>
      <w:lvlJc w:val="left"/>
      <w:pPr>
        <w:ind w:left="5627" w:hanging="322"/>
      </w:pPr>
      <w:rPr>
        <w:rFonts w:hint="default"/>
        <w:lang w:val="zh-CN" w:eastAsia="zh-CN" w:bidi="zh-CN"/>
      </w:rPr>
    </w:lvl>
    <w:lvl w:ilvl="7" w:tentative="0">
      <w:start w:val="0"/>
      <w:numFmt w:val="bullet"/>
      <w:lvlText w:val="•"/>
      <w:lvlJc w:val="left"/>
      <w:pPr>
        <w:ind w:left="6512" w:hanging="322"/>
      </w:pPr>
      <w:rPr>
        <w:rFonts w:hint="default"/>
        <w:lang w:val="zh-CN" w:eastAsia="zh-CN" w:bidi="zh-CN"/>
      </w:rPr>
    </w:lvl>
    <w:lvl w:ilvl="8" w:tentative="0">
      <w:start w:val="0"/>
      <w:numFmt w:val="bullet"/>
      <w:lvlText w:val="•"/>
      <w:lvlJc w:val="left"/>
      <w:pPr>
        <w:ind w:left="7396" w:hanging="322"/>
      </w:pPr>
      <w:rPr>
        <w:rFonts w:hint="default"/>
        <w:lang w:val="zh-CN" w:eastAsia="zh-CN" w:bidi="zh-CN"/>
      </w:rPr>
    </w:lvl>
  </w:abstractNum>
  <w:abstractNum w:abstractNumId="34">
    <w:nsid w:val="227C9188"/>
    <w:multiLevelType w:val="multilevel"/>
    <w:tmpl w:val="227C9188"/>
    <w:lvl w:ilvl="0" w:tentative="0">
      <w:start w:val="1"/>
      <w:numFmt w:val="decimal"/>
      <w:lvlText w:val="（%1）"/>
      <w:lvlJc w:val="left"/>
      <w:pPr>
        <w:ind w:left="1760" w:hanging="800"/>
        <w:jc w:val="left"/>
      </w:pPr>
      <w:rPr>
        <w:rFonts w:hint="default" w:ascii="仿宋_GB2312" w:hAnsi="仿宋_GB2312" w:eastAsia="仿宋_GB2312" w:cs="仿宋_GB2312"/>
        <w:w w:val="99"/>
        <w:sz w:val="30"/>
        <w:szCs w:val="30"/>
        <w:lang w:val="zh-CN" w:eastAsia="zh-CN" w:bidi="zh-CN"/>
      </w:rPr>
    </w:lvl>
    <w:lvl w:ilvl="1" w:tentative="0">
      <w:start w:val="0"/>
      <w:numFmt w:val="bullet"/>
      <w:lvlText w:val="•"/>
      <w:lvlJc w:val="left"/>
      <w:pPr>
        <w:ind w:left="2500" w:hanging="800"/>
      </w:pPr>
      <w:rPr>
        <w:rFonts w:hint="default"/>
        <w:lang w:val="zh-CN" w:eastAsia="zh-CN" w:bidi="zh-CN"/>
      </w:rPr>
    </w:lvl>
    <w:lvl w:ilvl="2" w:tentative="0">
      <w:start w:val="0"/>
      <w:numFmt w:val="bullet"/>
      <w:lvlText w:val="•"/>
      <w:lvlJc w:val="left"/>
      <w:pPr>
        <w:ind w:left="3241" w:hanging="800"/>
      </w:pPr>
      <w:rPr>
        <w:rFonts w:hint="default"/>
        <w:lang w:val="zh-CN" w:eastAsia="zh-CN" w:bidi="zh-CN"/>
      </w:rPr>
    </w:lvl>
    <w:lvl w:ilvl="3" w:tentative="0">
      <w:start w:val="0"/>
      <w:numFmt w:val="bullet"/>
      <w:lvlText w:val="•"/>
      <w:lvlJc w:val="left"/>
      <w:pPr>
        <w:ind w:left="3981" w:hanging="800"/>
      </w:pPr>
      <w:rPr>
        <w:rFonts w:hint="default"/>
        <w:lang w:val="zh-CN" w:eastAsia="zh-CN" w:bidi="zh-CN"/>
      </w:rPr>
    </w:lvl>
    <w:lvl w:ilvl="4" w:tentative="0">
      <w:start w:val="0"/>
      <w:numFmt w:val="bullet"/>
      <w:lvlText w:val="•"/>
      <w:lvlJc w:val="left"/>
      <w:pPr>
        <w:ind w:left="4722" w:hanging="800"/>
      </w:pPr>
      <w:rPr>
        <w:rFonts w:hint="default"/>
        <w:lang w:val="zh-CN" w:eastAsia="zh-CN" w:bidi="zh-CN"/>
      </w:rPr>
    </w:lvl>
    <w:lvl w:ilvl="5" w:tentative="0">
      <w:start w:val="0"/>
      <w:numFmt w:val="bullet"/>
      <w:lvlText w:val="•"/>
      <w:lvlJc w:val="left"/>
      <w:pPr>
        <w:ind w:left="5463" w:hanging="800"/>
      </w:pPr>
      <w:rPr>
        <w:rFonts w:hint="default"/>
        <w:lang w:val="zh-CN" w:eastAsia="zh-CN" w:bidi="zh-CN"/>
      </w:rPr>
    </w:lvl>
    <w:lvl w:ilvl="6" w:tentative="0">
      <w:start w:val="0"/>
      <w:numFmt w:val="bullet"/>
      <w:lvlText w:val="•"/>
      <w:lvlJc w:val="left"/>
      <w:pPr>
        <w:ind w:left="6203" w:hanging="800"/>
      </w:pPr>
      <w:rPr>
        <w:rFonts w:hint="default"/>
        <w:lang w:val="zh-CN" w:eastAsia="zh-CN" w:bidi="zh-CN"/>
      </w:rPr>
    </w:lvl>
    <w:lvl w:ilvl="7" w:tentative="0">
      <w:start w:val="0"/>
      <w:numFmt w:val="bullet"/>
      <w:lvlText w:val="•"/>
      <w:lvlJc w:val="left"/>
      <w:pPr>
        <w:ind w:left="6944" w:hanging="800"/>
      </w:pPr>
      <w:rPr>
        <w:rFonts w:hint="default"/>
        <w:lang w:val="zh-CN" w:eastAsia="zh-CN" w:bidi="zh-CN"/>
      </w:rPr>
    </w:lvl>
    <w:lvl w:ilvl="8" w:tentative="0">
      <w:start w:val="0"/>
      <w:numFmt w:val="bullet"/>
      <w:lvlText w:val="•"/>
      <w:lvlJc w:val="left"/>
      <w:pPr>
        <w:ind w:left="7684" w:hanging="800"/>
      </w:pPr>
      <w:rPr>
        <w:rFonts w:hint="default"/>
        <w:lang w:val="zh-CN" w:eastAsia="zh-CN" w:bidi="zh-CN"/>
      </w:rPr>
    </w:lvl>
  </w:abstractNum>
  <w:abstractNum w:abstractNumId="35">
    <w:nsid w:val="251342A6"/>
    <w:multiLevelType w:val="multilevel"/>
    <w:tmpl w:val="251342A6"/>
    <w:lvl w:ilvl="0" w:tentative="0">
      <w:start w:val="1"/>
      <w:numFmt w:val="decimal"/>
      <w:lvlText w:val="（%1）"/>
      <w:lvlJc w:val="left"/>
      <w:pPr>
        <w:ind w:left="1760" w:hanging="800"/>
        <w:jc w:val="left"/>
      </w:pPr>
      <w:rPr>
        <w:rFonts w:hint="default" w:ascii="仿宋_GB2312" w:hAnsi="仿宋_GB2312" w:eastAsia="仿宋_GB2312" w:cs="仿宋_GB2312"/>
        <w:w w:val="99"/>
        <w:sz w:val="30"/>
        <w:szCs w:val="30"/>
        <w:lang w:val="zh-CN" w:eastAsia="zh-CN" w:bidi="zh-CN"/>
      </w:rPr>
    </w:lvl>
    <w:lvl w:ilvl="1" w:tentative="0">
      <w:start w:val="0"/>
      <w:numFmt w:val="bullet"/>
      <w:lvlText w:val="•"/>
      <w:lvlJc w:val="left"/>
      <w:pPr>
        <w:ind w:left="2500" w:hanging="800"/>
      </w:pPr>
      <w:rPr>
        <w:rFonts w:hint="default"/>
        <w:lang w:val="zh-CN" w:eastAsia="zh-CN" w:bidi="zh-CN"/>
      </w:rPr>
    </w:lvl>
    <w:lvl w:ilvl="2" w:tentative="0">
      <w:start w:val="0"/>
      <w:numFmt w:val="bullet"/>
      <w:lvlText w:val="•"/>
      <w:lvlJc w:val="left"/>
      <w:pPr>
        <w:ind w:left="3241" w:hanging="800"/>
      </w:pPr>
      <w:rPr>
        <w:rFonts w:hint="default"/>
        <w:lang w:val="zh-CN" w:eastAsia="zh-CN" w:bidi="zh-CN"/>
      </w:rPr>
    </w:lvl>
    <w:lvl w:ilvl="3" w:tentative="0">
      <w:start w:val="0"/>
      <w:numFmt w:val="bullet"/>
      <w:lvlText w:val="•"/>
      <w:lvlJc w:val="left"/>
      <w:pPr>
        <w:ind w:left="3981" w:hanging="800"/>
      </w:pPr>
      <w:rPr>
        <w:rFonts w:hint="default"/>
        <w:lang w:val="zh-CN" w:eastAsia="zh-CN" w:bidi="zh-CN"/>
      </w:rPr>
    </w:lvl>
    <w:lvl w:ilvl="4" w:tentative="0">
      <w:start w:val="0"/>
      <w:numFmt w:val="bullet"/>
      <w:lvlText w:val="•"/>
      <w:lvlJc w:val="left"/>
      <w:pPr>
        <w:ind w:left="4722" w:hanging="800"/>
      </w:pPr>
      <w:rPr>
        <w:rFonts w:hint="default"/>
        <w:lang w:val="zh-CN" w:eastAsia="zh-CN" w:bidi="zh-CN"/>
      </w:rPr>
    </w:lvl>
    <w:lvl w:ilvl="5" w:tentative="0">
      <w:start w:val="0"/>
      <w:numFmt w:val="bullet"/>
      <w:lvlText w:val="•"/>
      <w:lvlJc w:val="left"/>
      <w:pPr>
        <w:ind w:left="5463" w:hanging="800"/>
      </w:pPr>
      <w:rPr>
        <w:rFonts w:hint="default"/>
        <w:lang w:val="zh-CN" w:eastAsia="zh-CN" w:bidi="zh-CN"/>
      </w:rPr>
    </w:lvl>
    <w:lvl w:ilvl="6" w:tentative="0">
      <w:start w:val="0"/>
      <w:numFmt w:val="bullet"/>
      <w:lvlText w:val="•"/>
      <w:lvlJc w:val="left"/>
      <w:pPr>
        <w:ind w:left="6203" w:hanging="800"/>
      </w:pPr>
      <w:rPr>
        <w:rFonts w:hint="default"/>
        <w:lang w:val="zh-CN" w:eastAsia="zh-CN" w:bidi="zh-CN"/>
      </w:rPr>
    </w:lvl>
    <w:lvl w:ilvl="7" w:tentative="0">
      <w:start w:val="0"/>
      <w:numFmt w:val="bullet"/>
      <w:lvlText w:val="•"/>
      <w:lvlJc w:val="left"/>
      <w:pPr>
        <w:ind w:left="6944" w:hanging="800"/>
      </w:pPr>
      <w:rPr>
        <w:rFonts w:hint="default"/>
        <w:lang w:val="zh-CN" w:eastAsia="zh-CN" w:bidi="zh-CN"/>
      </w:rPr>
    </w:lvl>
    <w:lvl w:ilvl="8" w:tentative="0">
      <w:start w:val="0"/>
      <w:numFmt w:val="bullet"/>
      <w:lvlText w:val="•"/>
      <w:lvlJc w:val="left"/>
      <w:pPr>
        <w:ind w:left="7684" w:hanging="800"/>
      </w:pPr>
      <w:rPr>
        <w:rFonts w:hint="default"/>
        <w:lang w:val="zh-CN" w:eastAsia="zh-CN" w:bidi="zh-CN"/>
      </w:rPr>
    </w:lvl>
  </w:abstractNum>
  <w:abstractNum w:abstractNumId="36">
    <w:nsid w:val="2B3F3F89"/>
    <w:multiLevelType w:val="multilevel"/>
    <w:tmpl w:val="2B3F3F89"/>
    <w:lvl w:ilvl="0" w:tentative="0">
      <w:start w:val="1"/>
      <w:numFmt w:val="decimal"/>
      <w:lvlText w:val="%1."/>
      <w:lvlJc w:val="left"/>
      <w:pPr>
        <w:ind w:left="320" w:hanging="322"/>
        <w:jc w:val="right"/>
      </w:pPr>
      <w:rPr>
        <w:rFonts w:hint="default"/>
        <w:spacing w:val="-2"/>
        <w:w w:val="99"/>
        <w:lang w:val="zh-CN" w:eastAsia="zh-CN" w:bidi="zh-CN"/>
      </w:rPr>
    </w:lvl>
    <w:lvl w:ilvl="1" w:tentative="0">
      <w:start w:val="1"/>
      <w:numFmt w:val="decimal"/>
      <w:lvlText w:val="%2."/>
      <w:lvlJc w:val="left"/>
      <w:pPr>
        <w:ind w:left="320" w:hanging="322"/>
        <w:jc w:val="left"/>
      </w:pPr>
      <w:rPr>
        <w:rFonts w:hint="default" w:ascii="仿宋_GB2312" w:hAnsi="仿宋_GB2312" w:eastAsia="仿宋_GB2312" w:cs="仿宋_GB2312"/>
        <w:spacing w:val="-2"/>
        <w:w w:val="99"/>
        <w:sz w:val="30"/>
        <w:szCs w:val="30"/>
        <w:lang w:val="zh-CN" w:eastAsia="zh-CN" w:bidi="zh-CN"/>
      </w:rPr>
    </w:lvl>
    <w:lvl w:ilvl="2" w:tentative="0">
      <w:start w:val="0"/>
      <w:numFmt w:val="bullet"/>
      <w:lvlText w:val="•"/>
      <w:lvlJc w:val="left"/>
      <w:pPr>
        <w:ind w:left="2156" w:hanging="322"/>
      </w:pPr>
      <w:rPr>
        <w:rFonts w:hint="default"/>
        <w:lang w:val="zh-CN" w:eastAsia="zh-CN" w:bidi="zh-CN"/>
      </w:rPr>
    </w:lvl>
    <w:lvl w:ilvl="3" w:tentative="0">
      <w:start w:val="0"/>
      <w:numFmt w:val="bullet"/>
      <w:lvlText w:val="•"/>
      <w:lvlJc w:val="left"/>
      <w:pPr>
        <w:ind w:left="3032" w:hanging="322"/>
      </w:pPr>
      <w:rPr>
        <w:rFonts w:hint="default"/>
        <w:lang w:val="zh-CN" w:eastAsia="zh-CN" w:bidi="zh-CN"/>
      </w:rPr>
    </w:lvl>
    <w:lvl w:ilvl="4" w:tentative="0">
      <w:start w:val="0"/>
      <w:numFmt w:val="bullet"/>
      <w:lvlText w:val="•"/>
      <w:lvlJc w:val="left"/>
      <w:pPr>
        <w:ind w:left="3908" w:hanging="322"/>
      </w:pPr>
      <w:rPr>
        <w:rFonts w:hint="default"/>
        <w:lang w:val="zh-CN" w:eastAsia="zh-CN" w:bidi="zh-CN"/>
      </w:rPr>
    </w:lvl>
    <w:lvl w:ilvl="5" w:tentative="0">
      <w:start w:val="0"/>
      <w:numFmt w:val="bullet"/>
      <w:lvlText w:val="•"/>
      <w:lvlJc w:val="left"/>
      <w:pPr>
        <w:ind w:left="4784" w:hanging="322"/>
      </w:pPr>
      <w:rPr>
        <w:rFonts w:hint="default"/>
        <w:lang w:val="zh-CN" w:eastAsia="zh-CN" w:bidi="zh-CN"/>
      </w:rPr>
    </w:lvl>
    <w:lvl w:ilvl="6" w:tentative="0">
      <w:start w:val="0"/>
      <w:numFmt w:val="bullet"/>
      <w:lvlText w:val="•"/>
      <w:lvlJc w:val="left"/>
      <w:pPr>
        <w:ind w:left="5661" w:hanging="322"/>
      </w:pPr>
      <w:rPr>
        <w:rFonts w:hint="default"/>
        <w:lang w:val="zh-CN" w:eastAsia="zh-CN" w:bidi="zh-CN"/>
      </w:rPr>
    </w:lvl>
    <w:lvl w:ilvl="7" w:tentative="0">
      <w:start w:val="0"/>
      <w:numFmt w:val="bullet"/>
      <w:lvlText w:val="•"/>
      <w:lvlJc w:val="left"/>
      <w:pPr>
        <w:ind w:left="6537" w:hanging="322"/>
      </w:pPr>
      <w:rPr>
        <w:rFonts w:hint="default"/>
        <w:lang w:val="zh-CN" w:eastAsia="zh-CN" w:bidi="zh-CN"/>
      </w:rPr>
    </w:lvl>
    <w:lvl w:ilvl="8" w:tentative="0">
      <w:start w:val="0"/>
      <w:numFmt w:val="bullet"/>
      <w:lvlText w:val="•"/>
      <w:lvlJc w:val="left"/>
      <w:pPr>
        <w:ind w:left="7413" w:hanging="322"/>
      </w:pPr>
      <w:rPr>
        <w:rFonts w:hint="default"/>
        <w:lang w:val="zh-CN" w:eastAsia="zh-CN" w:bidi="zh-CN"/>
      </w:rPr>
    </w:lvl>
  </w:abstractNum>
  <w:abstractNum w:abstractNumId="37">
    <w:nsid w:val="38EAC418"/>
    <w:multiLevelType w:val="multilevel"/>
    <w:tmpl w:val="38EAC418"/>
    <w:lvl w:ilvl="0" w:tentative="0">
      <w:start w:val="3"/>
      <w:numFmt w:val="decimal"/>
      <w:lvlText w:val="（%1）"/>
      <w:lvlJc w:val="left"/>
      <w:pPr>
        <w:ind w:left="320" w:hanging="819"/>
        <w:jc w:val="left"/>
      </w:pPr>
      <w:rPr>
        <w:rFonts w:hint="default" w:ascii="仿宋_GB2312" w:hAnsi="仿宋_GB2312" w:eastAsia="仿宋_GB2312" w:cs="仿宋_GB2312"/>
        <w:spacing w:val="5"/>
        <w:w w:val="99"/>
        <w:sz w:val="30"/>
        <w:szCs w:val="30"/>
        <w:lang w:val="zh-CN" w:eastAsia="zh-CN" w:bidi="zh-CN"/>
      </w:rPr>
    </w:lvl>
    <w:lvl w:ilvl="1" w:tentative="0">
      <w:start w:val="1"/>
      <w:numFmt w:val="decimal"/>
      <w:lvlText w:val="%2."/>
      <w:lvlJc w:val="left"/>
      <w:pPr>
        <w:ind w:left="320" w:hanging="322"/>
        <w:jc w:val="left"/>
      </w:pPr>
      <w:rPr>
        <w:rFonts w:hint="default" w:ascii="黑体" w:hAnsi="黑体" w:eastAsia="黑体" w:cs="黑体"/>
        <w:spacing w:val="-16"/>
        <w:w w:val="99"/>
        <w:sz w:val="30"/>
        <w:szCs w:val="30"/>
        <w:lang w:val="zh-CN" w:eastAsia="zh-CN" w:bidi="zh-CN"/>
      </w:rPr>
    </w:lvl>
    <w:lvl w:ilvl="2" w:tentative="0">
      <w:start w:val="0"/>
      <w:numFmt w:val="bullet"/>
      <w:lvlText w:val="•"/>
      <w:lvlJc w:val="left"/>
      <w:pPr>
        <w:ind w:left="2089" w:hanging="322"/>
      </w:pPr>
      <w:rPr>
        <w:rFonts w:hint="default"/>
        <w:lang w:val="zh-CN" w:eastAsia="zh-CN" w:bidi="zh-CN"/>
      </w:rPr>
    </w:lvl>
    <w:lvl w:ilvl="3" w:tentative="0">
      <w:start w:val="0"/>
      <w:numFmt w:val="bullet"/>
      <w:lvlText w:val="•"/>
      <w:lvlJc w:val="left"/>
      <w:pPr>
        <w:ind w:left="2973" w:hanging="322"/>
      </w:pPr>
      <w:rPr>
        <w:rFonts w:hint="default"/>
        <w:lang w:val="zh-CN" w:eastAsia="zh-CN" w:bidi="zh-CN"/>
      </w:rPr>
    </w:lvl>
    <w:lvl w:ilvl="4" w:tentative="0">
      <w:start w:val="0"/>
      <w:numFmt w:val="bullet"/>
      <w:lvlText w:val="•"/>
      <w:lvlJc w:val="left"/>
      <w:pPr>
        <w:ind w:left="3858" w:hanging="322"/>
      </w:pPr>
      <w:rPr>
        <w:rFonts w:hint="default"/>
        <w:lang w:val="zh-CN" w:eastAsia="zh-CN" w:bidi="zh-CN"/>
      </w:rPr>
    </w:lvl>
    <w:lvl w:ilvl="5" w:tentative="0">
      <w:start w:val="0"/>
      <w:numFmt w:val="bullet"/>
      <w:lvlText w:val="•"/>
      <w:lvlJc w:val="left"/>
      <w:pPr>
        <w:ind w:left="4743" w:hanging="322"/>
      </w:pPr>
      <w:rPr>
        <w:rFonts w:hint="default"/>
        <w:lang w:val="zh-CN" w:eastAsia="zh-CN" w:bidi="zh-CN"/>
      </w:rPr>
    </w:lvl>
    <w:lvl w:ilvl="6" w:tentative="0">
      <w:start w:val="0"/>
      <w:numFmt w:val="bullet"/>
      <w:lvlText w:val="•"/>
      <w:lvlJc w:val="left"/>
      <w:pPr>
        <w:ind w:left="5627" w:hanging="322"/>
      </w:pPr>
      <w:rPr>
        <w:rFonts w:hint="default"/>
        <w:lang w:val="zh-CN" w:eastAsia="zh-CN" w:bidi="zh-CN"/>
      </w:rPr>
    </w:lvl>
    <w:lvl w:ilvl="7" w:tentative="0">
      <w:start w:val="0"/>
      <w:numFmt w:val="bullet"/>
      <w:lvlText w:val="•"/>
      <w:lvlJc w:val="left"/>
      <w:pPr>
        <w:ind w:left="6512" w:hanging="322"/>
      </w:pPr>
      <w:rPr>
        <w:rFonts w:hint="default"/>
        <w:lang w:val="zh-CN" w:eastAsia="zh-CN" w:bidi="zh-CN"/>
      </w:rPr>
    </w:lvl>
    <w:lvl w:ilvl="8" w:tentative="0">
      <w:start w:val="0"/>
      <w:numFmt w:val="bullet"/>
      <w:lvlText w:val="•"/>
      <w:lvlJc w:val="left"/>
      <w:pPr>
        <w:ind w:left="7396" w:hanging="322"/>
      </w:pPr>
      <w:rPr>
        <w:rFonts w:hint="default"/>
        <w:lang w:val="zh-CN" w:eastAsia="zh-CN" w:bidi="zh-CN"/>
      </w:rPr>
    </w:lvl>
  </w:abstractNum>
  <w:abstractNum w:abstractNumId="38">
    <w:nsid w:val="3A7FBA26"/>
    <w:multiLevelType w:val="multilevel"/>
    <w:tmpl w:val="3A7FBA26"/>
    <w:lvl w:ilvl="0" w:tentative="0">
      <w:start w:val="1"/>
      <w:numFmt w:val="decimal"/>
      <w:lvlText w:val="（%1）"/>
      <w:lvlJc w:val="left"/>
      <w:pPr>
        <w:ind w:left="1760" w:hanging="800"/>
        <w:jc w:val="left"/>
      </w:pPr>
      <w:rPr>
        <w:rFonts w:hint="default" w:ascii="仿宋_GB2312" w:hAnsi="仿宋_GB2312" w:eastAsia="仿宋_GB2312" w:cs="仿宋_GB2312"/>
        <w:w w:val="99"/>
        <w:sz w:val="30"/>
        <w:szCs w:val="30"/>
        <w:lang w:val="zh-CN" w:eastAsia="zh-CN" w:bidi="zh-CN"/>
      </w:rPr>
    </w:lvl>
    <w:lvl w:ilvl="1" w:tentative="0">
      <w:start w:val="0"/>
      <w:numFmt w:val="bullet"/>
      <w:lvlText w:val="•"/>
      <w:lvlJc w:val="left"/>
      <w:pPr>
        <w:ind w:left="2500" w:hanging="800"/>
      </w:pPr>
      <w:rPr>
        <w:rFonts w:hint="default"/>
        <w:lang w:val="zh-CN" w:eastAsia="zh-CN" w:bidi="zh-CN"/>
      </w:rPr>
    </w:lvl>
    <w:lvl w:ilvl="2" w:tentative="0">
      <w:start w:val="0"/>
      <w:numFmt w:val="bullet"/>
      <w:lvlText w:val="•"/>
      <w:lvlJc w:val="left"/>
      <w:pPr>
        <w:ind w:left="3241" w:hanging="800"/>
      </w:pPr>
      <w:rPr>
        <w:rFonts w:hint="default"/>
        <w:lang w:val="zh-CN" w:eastAsia="zh-CN" w:bidi="zh-CN"/>
      </w:rPr>
    </w:lvl>
    <w:lvl w:ilvl="3" w:tentative="0">
      <w:start w:val="0"/>
      <w:numFmt w:val="bullet"/>
      <w:lvlText w:val="•"/>
      <w:lvlJc w:val="left"/>
      <w:pPr>
        <w:ind w:left="3981" w:hanging="800"/>
      </w:pPr>
      <w:rPr>
        <w:rFonts w:hint="default"/>
        <w:lang w:val="zh-CN" w:eastAsia="zh-CN" w:bidi="zh-CN"/>
      </w:rPr>
    </w:lvl>
    <w:lvl w:ilvl="4" w:tentative="0">
      <w:start w:val="0"/>
      <w:numFmt w:val="bullet"/>
      <w:lvlText w:val="•"/>
      <w:lvlJc w:val="left"/>
      <w:pPr>
        <w:ind w:left="4722" w:hanging="800"/>
      </w:pPr>
      <w:rPr>
        <w:rFonts w:hint="default"/>
        <w:lang w:val="zh-CN" w:eastAsia="zh-CN" w:bidi="zh-CN"/>
      </w:rPr>
    </w:lvl>
    <w:lvl w:ilvl="5" w:tentative="0">
      <w:start w:val="0"/>
      <w:numFmt w:val="bullet"/>
      <w:lvlText w:val="•"/>
      <w:lvlJc w:val="left"/>
      <w:pPr>
        <w:ind w:left="5463" w:hanging="800"/>
      </w:pPr>
      <w:rPr>
        <w:rFonts w:hint="default"/>
        <w:lang w:val="zh-CN" w:eastAsia="zh-CN" w:bidi="zh-CN"/>
      </w:rPr>
    </w:lvl>
    <w:lvl w:ilvl="6" w:tentative="0">
      <w:start w:val="0"/>
      <w:numFmt w:val="bullet"/>
      <w:lvlText w:val="•"/>
      <w:lvlJc w:val="left"/>
      <w:pPr>
        <w:ind w:left="6203" w:hanging="800"/>
      </w:pPr>
      <w:rPr>
        <w:rFonts w:hint="default"/>
        <w:lang w:val="zh-CN" w:eastAsia="zh-CN" w:bidi="zh-CN"/>
      </w:rPr>
    </w:lvl>
    <w:lvl w:ilvl="7" w:tentative="0">
      <w:start w:val="0"/>
      <w:numFmt w:val="bullet"/>
      <w:lvlText w:val="•"/>
      <w:lvlJc w:val="left"/>
      <w:pPr>
        <w:ind w:left="6944" w:hanging="800"/>
      </w:pPr>
      <w:rPr>
        <w:rFonts w:hint="default"/>
        <w:lang w:val="zh-CN" w:eastAsia="zh-CN" w:bidi="zh-CN"/>
      </w:rPr>
    </w:lvl>
    <w:lvl w:ilvl="8" w:tentative="0">
      <w:start w:val="0"/>
      <w:numFmt w:val="bullet"/>
      <w:lvlText w:val="•"/>
      <w:lvlJc w:val="left"/>
      <w:pPr>
        <w:ind w:left="7684" w:hanging="800"/>
      </w:pPr>
      <w:rPr>
        <w:rFonts w:hint="default"/>
        <w:lang w:val="zh-CN" w:eastAsia="zh-CN" w:bidi="zh-CN"/>
      </w:rPr>
    </w:lvl>
  </w:abstractNum>
  <w:abstractNum w:abstractNumId="39">
    <w:nsid w:val="3FE315B6"/>
    <w:multiLevelType w:val="multilevel"/>
    <w:tmpl w:val="3FE315B6"/>
    <w:lvl w:ilvl="0" w:tentative="0">
      <w:start w:val="1"/>
      <w:numFmt w:val="decimal"/>
      <w:lvlText w:val="（%1）"/>
      <w:lvlJc w:val="left"/>
      <w:pPr>
        <w:ind w:left="1760" w:hanging="800"/>
        <w:jc w:val="left"/>
      </w:pPr>
      <w:rPr>
        <w:rFonts w:hint="default" w:ascii="仿宋_GB2312" w:hAnsi="仿宋_GB2312" w:eastAsia="仿宋_GB2312" w:cs="仿宋_GB2312"/>
        <w:w w:val="99"/>
        <w:sz w:val="30"/>
        <w:szCs w:val="30"/>
        <w:lang w:val="zh-CN" w:eastAsia="zh-CN" w:bidi="zh-CN"/>
      </w:rPr>
    </w:lvl>
    <w:lvl w:ilvl="1" w:tentative="0">
      <w:start w:val="0"/>
      <w:numFmt w:val="bullet"/>
      <w:lvlText w:val="•"/>
      <w:lvlJc w:val="left"/>
      <w:pPr>
        <w:ind w:left="2500" w:hanging="800"/>
      </w:pPr>
      <w:rPr>
        <w:rFonts w:hint="default"/>
        <w:lang w:val="zh-CN" w:eastAsia="zh-CN" w:bidi="zh-CN"/>
      </w:rPr>
    </w:lvl>
    <w:lvl w:ilvl="2" w:tentative="0">
      <w:start w:val="0"/>
      <w:numFmt w:val="bullet"/>
      <w:lvlText w:val="•"/>
      <w:lvlJc w:val="left"/>
      <w:pPr>
        <w:ind w:left="3241" w:hanging="800"/>
      </w:pPr>
      <w:rPr>
        <w:rFonts w:hint="default"/>
        <w:lang w:val="zh-CN" w:eastAsia="zh-CN" w:bidi="zh-CN"/>
      </w:rPr>
    </w:lvl>
    <w:lvl w:ilvl="3" w:tentative="0">
      <w:start w:val="0"/>
      <w:numFmt w:val="bullet"/>
      <w:lvlText w:val="•"/>
      <w:lvlJc w:val="left"/>
      <w:pPr>
        <w:ind w:left="3981" w:hanging="800"/>
      </w:pPr>
      <w:rPr>
        <w:rFonts w:hint="default"/>
        <w:lang w:val="zh-CN" w:eastAsia="zh-CN" w:bidi="zh-CN"/>
      </w:rPr>
    </w:lvl>
    <w:lvl w:ilvl="4" w:tentative="0">
      <w:start w:val="0"/>
      <w:numFmt w:val="bullet"/>
      <w:lvlText w:val="•"/>
      <w:lvlJc w:val="left"/>
      <w:pPr>
        <w:ind w:left="4722" w:hanging="800"/>
      </w:pPr>
      <w:rPr>
        <w:rFonts w:hint="default"/>
        <w:lang w:val="zh-CN" w:eastAsia="zh-CN" w:bidi="zh-CN"/>
      </w:rPr>
    </w:lvl>
    <w:lvl w:ilvl="5" w:tentative="0">
      <w:start w:val="0"/>
      <w:numFmt w:val="bullet"/>
      <w:lvlText w:val="•"/>
      <w:lvlJc w:val="left"/>
      <w:pPr>
        <w:ind w:left="5463" w:hanging="800"/>
      </w:pPr>
      <w:rPr>
        <w:rFonts w:hint="default"/>
        <w:lang w:val="zh-CN" w:eastAsia="zh-CN" w:bidi="zh-CN"/>
      </w:rPr>
    </w:lvl>
    <w:lvl w:ilvl="6" w:tentative="0">
      <w:start w:val="0"/>
      <w:numFmt w:val="bullet"/>
      <w:lvlText w:val="•"/>
      <w:lvlJc w:val="left"/>
      <w:pPr>
        <w:ind w:left="6203" w:hanging="800"/>
      </w:pPr>
      <w:rPr>
        <w:rFonts w:hint="default"/>
        <w:lang w:val="zh-CN" w:eastAsia="zh-CN" w:bidi="zh-CN"/>
      </w:rPr>
    </w:lvl>
    <w:lvl w:ilvl="7" w:tentative="0">
      <w:start w:val="0"/>
      <w:numFmt w:val="bullet"/>
      <w:lvlText w:val="•"/>
      <w:lvlJc w:val="left"/>
      <w:pPr>
        <w:ind w:left="6944" w:hanging="800"/>
      </w:pPr>
      <w:rPr>
        <w:rFonts w:hint="default"/>
        <w:lang w:val="zh-CN" w:eastAsia="zh-CN" w:bidi="zh-CN"/>
      </w:rPr>
    </w:lvl>
    <w:lvl w:ilvl="8" w:tentative="0">
      <w:start w:val="0"/>
      <w:numFmt w:val="bullet"/>
      <w:lvlText w:val="•"/>
      <w:lvlJc w:val="left"/>
      <w:pPr>
        <w:ind w:left="7684" w:hanging="800"/>
      </w:pPr>
      <w:rPr>
        <w:rFonts w:hint="default"/>
        <w:lang w:val="zh-CN" w:eastAsia="zh-CN" w:bidi="zh-CN"/>
      </w:rPr>
    </w:lvl>
  </w:abstractNum>
  <w:abstractNum w:abstractNumId="40">
    <w:nsid w:val="40F245EA"/>
    <w:multiLevelType w:val="multilevel"/>
    <w:tmpl w:val="40F245EA"/>
    <w:lvl w:ilvl="0" w:tentative="0">
      <w:start w:val="1"/>
      <w:numFmt w:val="decimal"/>
      <w:lvlText w:val="%1."/>
      <w:lvlJc w:val="left"/>
      <w:pPr>
        <w:ind w:left="320" w:hanging="322"/>
        <w:jc w:val="left"/>
      </w:pPr>
      <w:rPr>
        <w:rFonts w:hint="default" w:ascii="仿宋_GB2312" w:hAnsi="仿宋_GB2312" w:eastAsia="仿宋_GB2312" w:cs="仿宋_GB2312"/>
        <w:spacing w:val="-2"/>
        <w:w w:val="99"/>
        <w:sz w:val="30"/>
        <w:szCs w:val="30"/>
        <w:lang w:val="zh-CN" w:eastAsia="zh-CN" w:bidi="zh-CN"/>
      </w:rPr>
    </w:lvl>
    <w:lvl w:ilvl="1" w:tentative="0">
      <w:start w:val="0"/>
      <w:numFmt w:val="bullet"/>
      <w:lvlText w:val="•"/>
      <w:lvlJc w:val="left"/>
      <w:pPr>
        <w:ind w:left="1204" w:hanging="322"/>
      </w:pPr>
      <w:rPr>
        <w:rFonts w:hint="default"/>
        <w:lang w:val="zh-CN" w:eastAsia="zh-CN" w:bidi="zh-CN"/>
      </w:rPr>
    </w:lvl>
    <w:lvl w:ilvl="2" w:tentative="0">
      <w:start w:val="0"/>
      <w:numFmt w:val="bullet"/>
      <w:lvlText w:val="•"/>
      <w:lvlJc w:val="left"/>
      <w:pPr>
        <w:ind w:left="2089" w:hanging="322"/>
      </w:pPr>
      <w:rPr>
        <w:rFonts w:hint="default"/>
        <w:lang w:val="zh-CN" w:eastAsia="zh-CN" w:bidi="zh-CN"/>
      </w:rPr>
    </w:lvl>
    <w:lvl w:ilvl="3" w:tentative="0">
      <w:start w:val="0"/>
      <w:numFmt w:val="bullet"/>
      <w:lvlText w:val="•"/>
      <w:lvlJc w:val="left"/>
      <w:pPr>
        <w:ind w:left="2973" w:hanging="322"/>
      </w:pPr>
      <w:rPr>
        <w:rFonts w:hint="default"/>
        <w:lang w:val="zh-CN" w:eastAsia="zh-CN" w:bidi="zh-CN"/>
      </w:rPr>
    </w:lvl>
    <w:lvl w:ilvl="4" w:tentative="0">
      <w:start w:val="0"/>
      <w:numFmt w:val="bullet"/>
      <w:lvlText w:val="•"/>
      <w:lvlJc w:val="left"/>
      <w:pPr>
        <w:ind w:left="3858" w:hanging="322"/>
      </w:pPr>
      <w:rPr>
        <w:rFonts w:hint="default"/>
        <w:lang w:val="zh-CN" w:eastAsia="zh-CN" w:bidi="zh-CN"/>
      </w:rPr>
    </w:lvl>
    <w:lvl w:ilvl="5" w:tentative="0">
      <w:start w:val="0"/>
      <w:numFmt w:val="bullet"/>
      <w:lvlText w:val="•"/>
      <w:lvlJc w:val="left"/>
      <w:pPr>
        <w:ind w:left="4743" w:hanging="322"/>
      </w:pPr>
      <w:rPr>
        <w:rFonts w:hint="default"/>
        <w:lang w:val="zh-CN" w:eastAsia="zh-CN" w:bidi="zh-CN"/>
      </w:rPr>
    </w:lvl>
    <w:lvl w:ilvl="6" w:tentative="0">
      <w:start w:val="0"/>
      <w:numFmt w:val="bullet"/>
      <w:lvlText w:val="•"/>
      <w:lvlJc w:val="left"/>
      <w:pPr>
        <w:ind w:left="5627" w:hanging="322"/>
      </w:pPr>
      <w:rPr>
        <w:rFonts w:hint="default"/>
        <w:lang w:val="zh-CN" w:eastAsia="zh-CN" w:bidi="zh-CN"/>
      </w:rPr>
    </w:lvl>
    <w:lvl w:ilvl="7" w:tentative="0">
      <w:start w:val="0"/>
      <w:numFmt w:val="bullet"/>
      <w:lvlText w:val="•"/>
      <w:lvlJc w:val="left"/>
      <w:pPr>
        <w:ind w:left="6512" w:hanging="322"/>
      </w:pPr>
      <w:rPr>
        <w:rFonts w:hint="default"/>
        <w:lang w:val="zh-CN" w:eastAsia="zh-CN" w:bidi="zh-CN"/>
      </w:rPr>
    </w:lvl>
    <w:lvl w:ilvl="8" w:tentative="0">
      <w:start w:val="0"/>
      <w:numFmt w:val="bullet"/>
      <w:lvlText w:val="•"/>
      <w:lvlJc w:val="left"/>
      <w:pPr>
        <w:ind w:left="7396" w:hanging="322"/>
      </w:pPr>
      <w:rPr>
        <w:rFonts w:hint="default"/>
        <w:lang w:val="zh-CN" w:eastAsia="zh-CN" w:bidi="zh-CN"/>
      </w:rPr>
    </w:lvl>
  </w:abstractNum>
  <w:abstractNum w:abstractNumId="41">
    <w:nsid w:val="4258023A"/>
    <w:multiLevelType w:val="multilevel"/>
    <w:tmpl w:val="4258023A"/>
    <w:lvl w:ilvl="0" w:tentative="0">
      <w:start w:val="1"/>
      <w:numFmt w:val="decimal"/>
      <w:lvlText w:val="（%1）"/>
      <w:lvlJc w:val="left"/>
      <w:pPr>
        <w:ind w:left="320" w:hanging="819"/>
        <w:jc w:val="left"/>
      </w:pPr>
      <w:rPr>
        <w:rFonts w:hint="default" w:ascii="仿宋_GB2312" w:hAnsi="仿宋_GB2312" w:eastAsia="仿宋_GB2312" w:cs="仿宋_GB2312"/>
        <w:spacing w:val="5"/>
        <w:w w:val="99"/>
        <w:sz w:val="30"/>
        <w:szCs w:val="30"/>
        <w:lang w:val="zh-CN" w:eastAsia="zh-CN" w:bidi="zh-CN"/>
      </w:rPr>
    </w:lvl>
    <w:lvl w:ilvl="1" w:tentative="0">
      <w:start w:val="0"/>
      <w:numFmt w:val="bullet"/>
      <w:lvlText w:val="•"/>
      <w:lvlJc w:val="left"/>
      <w:pPr>
        <w:ind w:left="1204" w:hanging="819"/>
      </w:pPr>
      <w:rPr>
        <w:rFonts w:hint="default"/>
        <w:lang w:val="zh-CN" w:eastAsia="zh-CN" w:bidi="zh-CN"/>
      </w:rPr>
    </w:lvl>
    <w:lvl w:ilvl="2" w:tentative="0">
      <w:start w:val="0"/>
      <w:numFmt w:val="bullet"/>
      <w:lvlText w:val="•"/>
      <w:lvlJc w:val="left"/>
      <w:pPr>
        <w:ind w:left="2089" w:hanging="819"/>
      </w:pPr>
      <w:rPr>
        <w:rFonts w:hint="default"/>
        <w:lang w:val="zh-CN" w:eastAsia="zh-CN" w:bidi="zh-CN"/>
      </w:rPr>
    </w:lvl>
    <w:lvl w:ilvl="3" w:tentative="0">
      <w:start w:val="0"/>
      <w:numFmt w:val="bullet"/>
      <w:lvlText w:val="•"/>
      <w:lvlJc w:val="left"/>
      <w:pPr>
        <w:ind w:left="2973" w:hanging="819"/>
      </w:pPr>
      <w:rPr>
        <w:rFonts w:hint="default"/>
        <w:lang w:val="zh-CN" w:eastAsia="zh-CN" w:bidi="zh-CN"/>
      </w:rPr>
    </w:lvl>
    <w:lvl w:ilvl="4" w:tentative="0">
      <w:start w:val="0"/>
      <w:numFmt w:val="bullet"/>
      <w:lvlText w:val="•"/>
      <w:lvlJc w:val="left"/>
      <w:pPr>
        <w:ind w:left="3858" w:hanging="819"/>
      </w:pPr>
      <w:rPr>
        <w:rFonts w:hint="default"/>
        <w:lang w:val="zh-CN" w:eastAsia="zh-CN" w:bidi="zh-CN"/>
      </w:rPr>
    </w:lvl>
    <w:lvl w:ilvl="5" w:tentative="0">
      <w:start w:val="0"/>
      <w:numFmt w:val="bullet"/>
      <w:lvlText w:val="•"/>
      <w:lvlJc w:val="left"/>
      <w:pPr>
        <w:ind w:left="4743" w:hanging="819"/>
      </w:pPr>
      <w:rPr>
        <w:rFonts w:hint="default"/>
        <w:lang w:val="zh-CN" w:eastAsia="zh-CN" w:bidi="zh-CN"/>
      </w:rPr>
    </w:lvl>
    <w:lvl w:ilvl="6" w:tentative="0">
      <w:start w:val="0"/>
      <w:numFmt w:val="bullet"/>
      <w:lvlText w:val="•"/>
      <w:lvlJc w:val="left"/>
      <w:pPr>
        <w:ind w:left="5627" w:hanging="819"/>
      </w:pPr>
      <w:rPr>
        <w:rFonts w:hint="default"/>
        <w:lang w:val="zh-CN" w:eastAsia="zh-CN" w:bidi="zh-CN"/>
      </w:rPr>
    </w:lvl>
    <w:lvl w:ilvl="7" w:tentative="0">
      <w:start w:val="0"/>
      <w:numFmt w:val="bullet"/>
      <w:lvlText w:val="•"/>
      <w:lvlJc w:val="left"/>
      <w:pPr>
        <w:ind w:left="6512" w:hanging="819"/>
      </w:pPr>
      <w:rPr>
        <w:rFonts w:hint="default"/>
        <w:lang w:val="zh-CN" w:eastAsia="zh-CN" w:bidi="zh-CN"/>
      </w:rPr>
    </w:lvl>
    <w:lvl w:ilvl="8" w:tentative="0">
      <w:start w:val="0"/>
      <w:numFmt w:val="bullet"/>
      <w:lvlText w:val="•"/>
      <w:lvlJc w:val="left"/>
      <w:pPr>
        <w:ind w:left="7396" w:hanging="819"/>
      </w:pPr>
      <w:rPr>
        <w:rFonts w:hint="default"/>
        <w:lang w:val="zh-CN" w:eastAsia="zh-CN" w:bidi="zh-CN"/>
      </w:rPr>
    </w:lvl>
  </w:abstractNum>
  <w:abstractNum w:abstractNumId="42">
    <w:nsid w:val="4A51D704"/>
    <w:multiLevelType w:val="multilevel"/>
    <w:tmpl w:val="4A51D704"/>
    <w:lvl w:ilvl="0" w:tentative="0">
      <w:start w:val="1"/>
      <w:numFmt w:val="decimal"/>
      <w:lvlText w:val="%1."/>
      <w:lvlJc w:val="left"/>
      <w:pPr>
        <w:ind w:left="643" w:hanging="324"/>
        <w:jc w:val="left"/>
      </w:pPr>
      <w:rPr>
        <w:rFonts w:hint="default" w:ascii="仿宋" w:hAnsi="仿宋" w:eastAsia="仿宋" w:cs="仿宋"/>
        <w:b/>
        <w:bCs/>
        <w:spacing w:val="-2"/>
        <w:w w:val="98"/>
        <w:sz w:val="30"/>
        <w:szCs w:val="30"/>
        <w:lang w:val="zh-CN" w:eastAsia="zh-CN" w:bidi="zh-CN"/>
      </w:rPr>
    </w:lvl>
    <w:lvl w:ilvl="1" w:tentative="0">
      <w:start w:val="1"/>
      <w:numFmt w:val="decimal"/>
      <w:lvlText w:val="%2."/>
      <w:lvlJc w:val="left"/>
      <w:pPr>
        <w:ind w:left="320" w:hanging="322"/>
        <w:jc w:val="left"/>
      </w:pPr>
      <w:rPr>
        <w:rFonts w:hint="default" w:ascii="仿宋_GB2312" w:hAnsi="仿宋_GB2312" w:eastAsia="仿宋_GB2312" w:cs="仿宋_GB2312"/>
        <w:spacing w:val="-2"/>
        <w:w w:val="99"/>
        <w:sz w:val="30"/>
        <w:szCs w:val="30"/>
        <w:lang w:val="zh-CN" w:eastAsia="zh-CN" w:bidi="zh-CN"/>
      </w:rPr>
    </w:lvl>
    <w:lvl w:ilvl="2" w:tentative="0">
      <w:start w:val="0"/>
      <w:numFmt w:val="bullet"/>
      <w:lvlText w:val="•"/>
      <w:lvlJc w:val="left"/>
      <w:pPr>
        <w:ind w:left="1587" w:hanging="322"/>
      </w:pPr>
      <w:rPr>
        <w:rFonts w:hint="default"/>
        <w:lang w:val="zh-CN" w:eastAsia="zh-CN" w:bidi="zh-CN"/>
      </w:rPr>
    </w:lvl>
    <w:lvl w:ilvl="3" w:tentative="0">
      <w:start w:val="0"/>
      <w:numFmt w:val="bullet"/>
      <w:lvlText w:val="•"/>
      <w:lvlJc w:val="left"/>
      <w:pPr>
        <w:ind w:left="2534" w:hanging="322"/>
      </w:pPr>
      <w:rPr>
        <w:rFonts w:hint="default"/>
        <w:lang w:val="zh-CN" w:eastAsia="zh-CN" w:bidi="zh-CN"/>
      </w:rPr>
    </w:lvl>
    <w:lvl w:ilvl="4" w:tentative="0">
      <w:start w:val="0"/>
      <w:numFmt w:val="bullet"/>
      <w:lvlText w:val="•"/>
      <w:lvlJc w:val="left"/>
      <w:pPr>
        <w:ind w:left="3482" w:hanging="322"/>
      </w:pPr>
      <w:rPr>
        <w:rFonts w:hint="default"/>
        <w:lang w:val="zh-CN" w:eastAsia="zh-CN" w:bidi="zh-CN"/>
      </w:rPr>
    </w:lvl>
    <w:lvl w:ilvl="5" w:tentative="0">
      <w:start w:val="0"/>
      <w:numFmt w:val="bullet"/>
      <w:lvlText w:val="•"/>
      <w:lvlJc w:val="left"/>
      <w:pPr>
        <w:ind w:left="4429" w:hanging="322"/>
      </w:pPr>
      <w:rPr>
        <w:rFonts w:hint="default"/>
        <w:lang w:val="zh-CN" w:eastAsia="zh-CN" w:bidi="zh-CN"/>
      </w:rPr>
    </w:lvl>
    <w:lvl w:ilvl="6" w:tentative="0">
      <w:start w:val="0"/>
      <w:numFmt w:val="bullet"/>
      <w:lvlText w:val="•"/>
      <w:lvlJc w:val="left"/>
      <w:pPr>
        <w:ind w:left="5376" w:hanging="322"/>
      </w:pPr>
      <w:rPr>
        <w:rFonts w:hint="default"/>
        <w:lang w:val="zh-CN" w:eastAsia="zh-CN" w:bidi="zh-CN"/>
      </w:rPr>
    </w:lvl>
    <w:lvl w:ilvl="7" w:tentative="0">
      <w:start w:val="0"/>
      <w:numFmt w:val="bullet"/>
      <w:lvlText w:val="•"/>
      <w:lvlJc w:val="left"/>
      <w:pPr>
        <w:ind w:left="6324" w:hanging="322"/>
      </w:pPr>
      <w:rPr>
        <w:rFonts w:hint="default"/>
        <w:lang w:val="zh-CN" w:eastAsia="zh-CN" w:bidi="zh-CN"/>
      </w:rPr>
    </w:lvl>
    <w:lvl w:ilvl="8" w:tentative="0">
      <w:start w:val="0"/>
      <w:numFmt w:val="bullet"/>
      <w:lvlText w:val="•"/>
      <w:lvlJc w:val="left"/>
      <w:pPr>
        <w:ind w:left="7271" w:hanging="322"/>
      </w:pPr>
      <w:rPr>
        <w:rFonts w:hint="default"/>
        <w:lang w:val="zh-CN" w:eastAsia="zh-CN" w:bidi="zh-CN"/>
      </w:rPr>
    </w:lvl>
  </w:abstractNum>
  <w:abstractNum w:abstractNumId="43">
    <w:nsid w:val="4D63189B"/>
    <w:multiLevelType w:val="multilevel"/>
    <w:tmpl w:val="4D63189B"/>
    <w:lvl w:ilvl="0" w:tentative="0">
      <w:start w:val="1"/>
      <w:numFmt w:val="decimal"/>
      <w:lvlText w:val="%1."/>
      <w:lvlJc w:val="left"/>
      <w:pPr>
        <w:ind w:left="320" w:hanging="324"/>
        <w:jc w:val="left"/>
      </w:pPr>
      <w:rPr>
        <w:rFonts w:hint="default" w:ascii="黑体" w:hAnsi="黑体" w:eastAsia="黑体" w:cs="黑体"/>
        <w:spacing w:val="1"/>
        <w:w w:val="99"/>
        <w:sz w:val="30"/>
        <w:szCs w:val="30"/>
        <w:lang w:val="zh-CN" w:eastAsia="zh-CN" w:bidi="zh-CN"/>
      </w:rPr>
    </w:lvl>
    <w:lvl w:ilvl="1" w:tentative="0">
      <w:start w:val="0"/>
      <w:numFmt w:val="bullet"/>
      <w:lvlText w:val="•"/>
      <w:lvlJc w:val="left"/>
      <w:pPr>
        <w:ind w:left="1204" w:hanging="324"/>
      </w:pPr>
      <w:rPr>
        <w:rFonts w:hint="default"/>
        <w:lang w:val="zh-CN" w:eastAsia="zh-CN" w:bidi="zh-CN"/>
      </w:rPr>
    </w:lvl>
    <w:lvl w:ilvl="2" w:tentative="0">
      <w:start w:val="0"/>
      <w:numFmt w:val="bullet"/>
      <w:lvlText w:val="•"/>
      <w:lvlJc w:val="left"/>
      <w:pPr>
        <w:ind w:left="2089" w:hanging="324"/>
      </w:pPr>
      <w:rPr>
        <w:rFonts w:hint="default"/>
        <w:lang w:val="zh-CN" w:eastAsia="zh-CN" w:bidi="zh-CN"/>
      </w:rPr>
    </w:lvl>
    <w:lvl w:ilvl="3" w:tentative="0">
      <w:start w:val="0"/>
      <w:numFmt w:val="bullet"/>
      <w:lvlText w:val="•"/>
      <w:lvlJc w:val="left"/>
      <w:pPr>
        <w:ind w:left="2973" w:hanging="324"/>
      </w:pPr>
      <w:rPr>
        <w:rFonts w:hint="default"/>
        <w:lang w:val="zh-CN" w:eastAsia="zh-CN" w:bidi="zh-CN"/>
      </w:rPr>
    </w:lvl>
    <w:lvl w:ilvl="4" w:tentative="0">
      <w:start w:val="0"/>
      <w:numFmt w:val="bullet"/>
      <w:lvlText w:val="•"/>
      <w:lvlJc w:val="left"/>
      <w:pPr>
        <w:ind w:left="3858" w:hanging="324"/>
      </w:pPr>
      <w:rPr>
        <w:rFonts w:hint="default"/>
        <w:lang w:val="zh-CN" w:eastAsia="zh-CN" w:bidi="zh-CN"/>
      </w:rPr>
    </w:lvl>
    <w:lvl w:ilvl="5" w:tentative="0">
      <w:start w:val="0"/>
      <w:numFmt w:val="bullet"/>
      <w:lvlText w:val="•"/>
      <w:lvlJc w:val="left"/>
      <w:pPr>
        <w:ind w:left="4743" w:hanging="324"/>
      </w:pPr>
      <w:rPr>
        <w:rFonts w:hint="default"/>
        <w:lang w:val="zh-CN" w:eastAsia="zh-CN" w:bidi="zh-CN"/>
      </w:rPr>
    </w:lvl>
    <w:lvl w:ilvl="6" w:tentative="0">
      <w:start w:val="0"/>
      <w:numFmt w:val="bullet"/>
      <w:lvlText w:val="•"/>
      <w:lvlJc w:val="left"/>
      <w:pPr>
        <w:ind w:left="5627" w:hanging="324"/>
      </w:pPr>
      <w:rPr>
        <w:rFonts w:hint="default"/>
        <w:lang w:val="zh-CN" w:eastAsia="zh-CN" w:bidi="zh-CN"/>
      </w:rPr>
    </w:lvl>
    <w:lvl w:ilvl="7" w:tentative="0">
      <w:start w:val="0"/>
      <w:numFmt w:val="bullet"/>
      <w:lvlText w:val="•"/>
      <w:lvlJc w:val="left"/>
      <w:pPr>
        <w:ind w:left="6512" w:hanging="324"/>
      </w:pPr>
      <w:rPr>
        <w:rFonts w:hint="default"/>
        <w:lang w:val="zh-CN" w:eastAsia="zh-CN" w:bidi="zh-CN"/>
      </w:rPr>
    </w:lvl>
    <w:lvl w:ilvl="8" w:tentative="0">
      <w:start w:val="0"/>
      <w:numFmt w:val="bullet"/>
      <w:lvlText w:val="•"/>
      <w:lvlJc w:val="left"/>
      <w:pPr>
        <w:ind w:left="7396" w:hanging="324"/>
      </w:pPr>
      <w:rPr>
        <w:rFonts w:hint="default"/>
        <w:lang w:val="zh-CN" w:eastAsia="zh-CN" w:bidi="zh-CN"/>
      </w:rPr>
    </w:lvl>
  </w:abstractNum>
  <w:abstractNum w:abstractNumId="44">
    <w:nsid w:val="4FB438A5"/>
    <w:multiLevelType w:val="multilevel"/>
    <w:tmpl w:val="4FB438A5"/>
    <w:lvl w:ilvl="0" w:tentative="0">
      <w:start w:val="1"/>
      <w:numFmt w:val="decimal"/>
      <w:lvlText w:val="（%1）"/>
      <w:lvlJc w:val="left"/>
      <w:pPr>
        <w:ind w:left="1760" w:hanging="800"/>
        <w:jc w:val="left"/>
      </w:pPr>
      <w:rPr>
        <w:rFonts w:hint="default" w:ascii="仿宋_GB2312" w:hAnsi="仿宋_GB2312" w:eastAsia="仿宋_GB2312" w:cs="仿宋_GB2312"/>
        <w:w w:val="99"/>
        <w:sz w:val="30"/>
        <w:szCs w:val="30"/>
        <w:lang w:val="zh-CN" w:eastAsia="zh-CN" w:bidi="zh-CN"/>
      </w:rPr>
    </w:lvl>
    <w:lvl w:ilvl="1" w:tentative="0">
      <w:start w:val="0"/>
      <w:numFmt w:val="bullet"/>
      <w:lvlText w:val="•"/>
      <w:lvlJc w:val="left"/>
      <w:pPr>
        <w:ind w:left="2500" w:hanging="800"/>
      </w:pPr>
      <w:rPr>
        <w:rFonts w:hint="default"/>
        <w:lang w:val="zh-CN" w:eastAsia="zh-CN" w:bidi="zh-CN"/>
      </w:rPr>
    </w:lvl>
    <w:lvl w:ilvl="2" w:tentative="0">
      <w:start w:val="0"/>
      <w:numFmt w:val="bullet"/>
      <w:lvlText w:val="•"/>
      <w:lvlJc w:val="left"/>
      <w:pPr>
        <w:ind w:left="3241" w:hanging="800"/>
      </w:pPr>
      <w:rPr>
        <w:rFonts w:hint="default"/>
        <w:lang w:val="zh-CN" w:eastAsia="zh-CN" w:bidi="zh-CN"/>
      </w:rPr>
    </w:lvl>
    <w:lvl w:ilvl="3" w:tentative="0">
      <w:start w:val="0"/>
      <w:numFmt w:val="bullet"/>
      <w:lvlText w:val="•"/>
      <w:lvlJc w:val="left"/>
      <w:pPr>
        <w:ind w:left="3981" w:hanging="800"/>
      </w:pPr>
      <w:rPr>
        <w:rFonts w:hint="default"/>
        <w:lang w:val="zh-CN" w:eastAsia="zh-CN" w:bidi="zh-CN"/>
      </w:rPr>
    </w:lvl>
    <w:lvl w:ilvl="4" w:tentative="0">
      <w:start w:val="0"/>
      <w:numFmt w:val="bullet"/>
      <w:lvlText w:val="•"/>
      <w:lvlJc w:val="left"/>
      <w:pPr>
        <w:ind w:left="4722" w:hanging="800"/>
      </w:pPr>
      <w:rPr>
        <w:rFonts w:hint="default"/>
        <w:lang w:val="zh-CN" w:eastAsia="zh-CN" w:bidi="zh-CN"/>
      </w:rPr>
    </w:lvl>
    <w:lvl w:ilvl="5" w:tentative="0">
      <w:start w:val="0"/>
      <w:numFmt w:val="bullet"/>
      <w:lvlText w:val="•"/>
      <w:lvlJc w:val="left"/>
      <w:pPr>
        <w:ind w:left="5463" w:hanging="800"/>
      </w:pPr>
      <w:rPr>
        <w:rFonts w:hint="default"/>
        <w:lang w:val="zh-CN" w:eastAsia="zh-CN" w:bidi="zh-CN"/>
      </w:rPr>
    </w:lvl>
    <w:lvl w:ilvl="6" w:tentative="0">
      <w:start w:val="0"/>
      <w:numFmt w:val="bullet"/>
      <w:lvlText w:val="•"/>
      <w:lvlJc w:val="left"/>
      <w:pPr>
        <w:ind w:left="6203" w:hanging="800"/>
      </w:pPr>
      <w:rPr>
        <w:rFonts w:hint="default"/>
        <w:lang w:val="zh-CN" w:eastAsia="zh-CN" w:bidi="zh-CN"/>
      </w:rPr>
    </w:lvl>
    <w:lvl w:ilvl="7" w:tentative="0">
      <w:start w:val="0"/>
      <w:numFmt w:val="bullet"/>
      <w:lvlText w:val="•"/>
      <w:lvlJc w:val="left"/>
      <w:pPr>
        <w:ind w:left="6944" w:hanging="800"/>
      </w:pPr>
      <w:rPr>
        <w:rFonts w:hint="default"/>
        <w:lang w:val="zh-CN" w:eastAsia="zh-CN" w:bidi="zh-CN"/>
      </w:rPr>
    </w:lvl>
    <w:lvl w:ilvl="8" w:tentative="0">
      <w:start w:val="0"/>
      <w:numFmt w:val="bullet"/>
      <w:lvlText w:val="•"/>
      <w:lvlJc w:val="left"/>
      <w:pPr>
        <w:ind w:left="7684" w:hanging="800"/>
      </w:pPr>
      <w:rPr>
        <w:rFonts w:hint="default"/>
        <w:lang w:val="zh-CN" w:eastAsia="zh-CN" w:bidi="zh-CN"/>
      </w:rPr>
    </w:lvl>
  </w:abstractNum>
  <w:abstractNum w:abstractNumId="45">
    <w:nsid w:val="51C4BC33"/>
    <w:multiLevelType w:val="multilevel"/>
    <w:tmpl w:val="51C4BC33"/>
    <w:lvl w:ilvl="0" w:tentative="0">
      <w:start w:val="1"/>
      <w:numFmt w:val="decimal"/>
      <w:lvlText w:val="%1."/>
      <w:lvlJc w:val="left"/>
      <w:pPr>
        <w:ind w:left="320" w:hanging="324"/>
        <w:jc w:val="left"/>
      </w:pPr>
      <w:rPr>
        <w:rFonts w:hint="default" w:ascii="黑体" w:hAnsi="黑体" w:eastAsia="黑体" w:cs="黑体"/>
        <w:spacing w:val="1"/>
        <w:w w:val="99"/>
        <w:sz w:val="30"/>
        <w:szCs w:val="30"/>
        <w:lang w:val="zh-CN" w:eastAsia="zh-CN" w:bidi="zh-CN"/>
      </w:rPr>
    </w:lvl>
    <w:lvl w:ilvl="1" w:tentative="0">
      <w:start w:val="0"/>
      <w:numFmt w:val="bullet"/>
      <w:lvlText w:val="•"/>
      <w:lvlJc w:val="left"/>
      <w:pPr>
        <w:ind w:left="1204" w:hanging="324"/>
      </w:pPr>
      <w:rPr>
        <w:rFonts w:hint="default"/>
        <w:lang w:val="zh-CN" w:eastAsia="zh-CN" w:bidi="zh-CN"/>
      </w:rPr>
    </w:lvl>
    <w:lvl w:ilvl="2" w:tentative="0">
      <w:start w:val="0"/>
      <w:numFmt w:val="bullet"/>
      <w:lvlText w:val="•"/>
      <w:lvlJc w:val="left"/>
      <w:pPr>
        <w:ind w:left="2089" w:hanging="324"/>
      </w:pPr>
      <w:rPr>
        <w:rFonts w:hint="default"/>
        <w:lang w:val="zh-CN" w:eastAsia="zh-CN" w:bidi="zh-CN"/>
      </w:rPr>
    </w:lvl>
    <w:lvl w:ilvl="3" w:tentative="0">
      <w:start w:val="0"/>
      <w:numFmt w:val="bullet"/>
      <w:lvlText w:val="•"/>
      <w:lvlJc w:val="left"/>
      <w:pPr>
        <w:ind w:left="2973" w:hanging="324"/>
      </w:pPr>
      <w:rPr>
        <w:rFonts w:hint="default"/>
        <w:lang w:val="zh-CN" w:eastAsia="zh-CN" w:bidi="zh-CN"/>
      </w:rPr>
    </w:lvl>
    <w:lvl w:ilvl="4" w:tentative="0">
      <w:start w:val="0"/>
      <w:numFmt w:val="bullet"/>
      <w:lvlText w:val="•"/>
      <w:lvlJc w:val="left"/>
      <w:pPr>
        <w:ind w:left="3858" w:hanging="324"/>
      </w:pPr>
      <w:rPr>
        <w:rFonts w:hint="default"/>
        <w:lang w:val="zh-CN" w:eastAsia="zh-CN" w:bidi="zh-CN"/>
      </w:rPr>
    </w:lvl>
    <w:lvl w:ilvl="5" w:tentative="0">
      <w:start w:val="0"/>
      <w:numFmt w:val="bullet"/>
      <w:lvlText w:val="•"/>
      <w:lvlJc w:val="left"/>
      <w:pPr>
        <w:ind w:left="4743" w:hanging="324"/>
      </w:pPr>
      <w:rPr>
        <w:rFonts w:hint="default"/>
        <w:lang w:val="zh-CN" w:eastAsia="zh-CN" w:bidi="zh-CN"/>
      </w:rPr>
    </w:lvl>
    <w:lvl w:ilvl="6" w:tentative="0">
      <w:start w:val="0"/>
      <w:numFmt w:val="bullet"/>
      <w:lvlText w:val="•"/>
      <w:lvlJc w:val="left"/>
      <w:pPr>
        <w:ind w:left="5627" w:hanging="324"/>
      </w:pPr>
      <w:rPr>
        <w:rFonts w:hint="default"/>
        <w:lang w:val="zh-CN" w:eastAsia="zh-CN" w:bidi="zh-CN"/>
      </w:rPr>
    </w:lvl>
    <w:lvl w:ilvl="7" w:tentative="0">
      <w:start w:val="0"/>
      <w:numFmt w:val="bullet"/>
      <w:lvlText w:val="•"/>
      <w:lvlJc w:val="left"/>
      <w:pPr>
        <w:ind w:left="6512" w:hanging="324"/>
      </w:pPr>
      <w:rPr>
        <w:rFonts w:hint="default"/>
        <w:lang w:val="zh-CN" w:eastAsia="zh-CN" w:bidi="zh-CN"/>
      </w:rPr>
    </w:lvl>
    <w:lvl w:ilvl="8" w:tentative="0">
      <w:start w:val="0"/>
      <w:numFmt w:val="bullet"/>
      <w:lvlText w:val="•"/>
      <w:lvlJc w:val="left"/>
      <w:pPr>
        <w:ind w:left="7396" w:hanging="324"/>
      </w:pPr>
      <w:rPr>
        <w:rFonts w:hint="default"/>
        <w:lang w:val="zh-CN" w:eastAsia="zh-CN" w:bidi="zh-CN"/>
      </w:rPr>
    </w:lvl>
  </w:abstractNum>
  <w:abstractNum w:abstractNumId="46">
    <w:nsid w:val="54701CA1"/>
    <w:multiLevelType w:val="multilevel"/>
    <w:tmpl w:val="54701CA1"/>
    <w:lvl w:ilvl="0" w:tentative="0">
      <w:start w:val="1"/>
      <w:numFmt w:val="decimal"/>
      <w:lvlText w:val="（%1）"/>
      <w:lvlJc w:val="left"/>
      <w:pPr>
        <w:ind w:left="1760" w:hanging="800"/>
        <w:jc w:val="left"/>
      </w:pPr>
      <w:rPr>
        <w:rFonts w:hint="default" w:ascii="仿宋_GB2312" w:hAnsi="仿宋_GB2312" w:eastAsia="仿宋_GB2312" w:cs="仿宋_GB2312"/>
        <w:w w:val="99"/>
        <w:sz w:val="30"/>
        <w:szCs w:val="30"/>
        <w:lang w:val="zh-CN" w:eastAsia="zh-CN" w:bidi="zh-CN"/>
      </w:rPr>
    </w:lvl>
    <w:lvl w:ilvl="1" w:tentative="0">
      <w:start w:val="0"/>
      <w:numFmt w:val="bullet"/>
      <w:lvlText w:val="•"/>
      <w:lvlJc w:val="left"/>
      <w:pPr>
        <w:ind w:left="2500" w:hanging="800"/>
      </w:pPr>
      <w:rPr>
        <w:rFonts w:hint="default"/>
        <w:lang w:val="zh-CN" w:eastAsia="zh-CN" w:bidi="zh-CN"/>
      </w:rPr>
    </w:lvl>
    <w:lvl w:ilvl="2" w:tentative="0">
      <w:start w:val="0"/>
      <w:numFmt w:val="bullet"/>
      <w:lvlText w:val="•"/>
      <w:lvlJc w:val="left"/>
      <w:pPr>
        <w:ind w:left="3241" w:hanging="800"/>
      </w:pPr>
      <w:rPr>
        <w:rFonts w:hint="default"/>
        <w:lang w:val="zh-CN" w:eastAsia="zh-CN" w:bidi="zh-CN"/>
      </w:rPr>
    </w:lvl>
    <w:lvl w:ilvl="3" w:tentative="0">
      <w:start w:val="0"/>
      <w:numFmt w:val="bullet"/>
      <w:lvlText w:val="•"/>
      <w:lvlJc w:val="left"/>
      <w:pPr>
        <w:ind w:left="3981" w:hanging="800"/>
      </w:pPr>
      <w:rPr>
        <w:rFonts w:hint="default"/>
        <w:lang w:val="zh-CN" w:eastAsia="zh-CN" w:bidi="zh-CN"/>
      </w:rPr>
    </w:lvl>
    <w:lvl w:ilvl="4" w:tentative="0">
      <w:start w:val="0"/>
      <w:numFmt w:val="bullet"/>
      <w:lvlText w:val="•"/>
      <w:lvlJc w:val="left"/>
      <w:pPr>
        <w:ind w:left="4722" w:hanging="800"/>
      </w:pPr>
      <w:rPr>
        <w:rFonts w:hint="default"/>
        <w:lang w:val="zh-CN" w:eastAsia="zh-CN" w:bidi="zh-CN"/>
      </w:rPr>
    </w:lvl>
    <w:lvl w:ilvl="5" w:tentative="0">
      <w:start w:val="0"/>
      <w:numFmt w:val="bullet"/>
      <w:lvlText w:val="•"/>
      <w:lvlJc w:val="left"/>
      <w:pPr>
        <w:ind w:left="5463" w:hanging="800"/>
      </w:pPr>
      <w:rPr>
        <w:rFonts w:hint="default"/>
        <w:lang w:val="zh-CN" w:eastAsia="zh-CN" w:bidi="zh-CN"/>
      </w:rPr>
    </w:lvl>
    <w:lvl w:ilvl="6" w:tentative="0">
      <w:start w:val="0"/>
      <w:numFmt w:val="bullet"/>
      <w:lvlText w:val="•"/>
      <w:lvlJc w:val="left"/>
      <w:pPr>
        <w:ind w:left="6203" w:hanging="800"/>
      </w:pPr>
      <w:rPr>
        <w:rFonts w:hint="default"/>
        <w:lang w:val="zh-CN" w:eastAsia="zh-CN" w:bidi="zh-CN"/>
      </w:rPr>
    </w:lvl>
    <w:lvl w:ilvl="7" w:tentative="0">
      <w:start w:val="0"/>
      <w:numFmt w:val="bullet"/>
      <w:lvlText w:val="•"/>
      <w:lvlJc w:val="left"/>
      <w:pPr>
        <w:ind w:left="6944" w:hanging="800"/>
      </w:pPr>
      <w:rPr>
        <w:rFonts w:hint="default"/>
        <w:lang w:val="zh-CN" w:eastAsia="zh-CN" w:bidi="zh-CN"/>
      </w:rPr>
    </w:lvl>
    <w:lvl w:ilvl="8" w:tentative="0">
      <w:start w:val="0"/>
      <w:numFmt w:val="bullet"/>
      <w:lvlText w:val="•"/>
      <w:lvlJc w:val="left"/>
      <w:pPr>
        <w:ind w:left="7684" w:hanging="800"/>
      </w:pPr>
      <w:rPr>
        <w:rFonts w:hint="default"/>
        <w:lang w:val="zh-CN" w:eastAsia="zh-CN" w:bidi="zh-CN"/>
      </w:rPr>
    </w:lvl>
  </w:abstractNum>
  <w:abstractNum w:abstractNumId="47">
    <w:nsid w:val="5FCE4367"/>
    <w:multiLevelType w:val="multilevel"/>
    <w:tmpl w:val="5FCE4367"/>
    <w:lvl w:ilvl="0" w:tentative="0">
      <w:start w:val="1"/>
      <w:numFmt w:val="decimal"/>
      <w:lvlText w:val="（%1）"/>
      <w:lvlJc w:val="left"/>
      <w:pPr>
        <w:ind w:left="1760" w:hanging="800"/>
        <w:jc w:val="left"/>
      </w:pPr>
      <w:rPr>
        <w:rFonts w:hint="default" w:ascii="仿宋_GB2312" w:hAnsi="仿宋_GB2312" w:eastAsia="仿宋_GB2312" w:cs="仿宋_GB2312"/>
        <w:w w:val="99"/>
        <w:sz w:val="30"/>
        <w:szCs w:val="30"/>
        <w:lang w:val="zh-CN" w:eastAsia="zh-CN" w:bidi="zh-CN"/>
      </w:rPr>
    </w:lvl>
    <w:lvl w:ilvl="1" w:tentative="0">
      <w:start w:val="0"/>
      <w:numFmt w:val="bullet"/>
      <w:lvlText w:val="•"/>
      <w:lvlJc w:val="left"/>
      <w:pPr>
        <w:ind w:left="2500" w:hanging="800"/>
      </w:pPr>
      <w:rPr>
        <w:rFonts w:hint="default"/>
        <w:lang w:val="zh-CN" w:eastAsia="zh-CN" w:bidi="zh-CN"/>
      </w:rPr>
    </w:lvl>
    <w:lvl w:ilvl="2" w:tentative="0">
      <w:start w:val="0"/>
      <w:numFmt w:val="bullet"/>
      <w:lvlText w:val="•"/>
      <w:lvlJc w:val="left"/>
      <w:pPr>
        <w:ind w:left="3241" w:hanging="800"/>
      </w:pPr>
      <w:rPr>
        <w:rFonts w:hint="default"/>
        <w:lang w:val="zh-CN" w:eastAsia="zh-CN" w:bidi="zh-CN"/>
      </w:rPr>
    </w:lvl>
    <w:lvl w:ilvl="3" w:tentative="0">
      <w:start w:val="0"/>
      <w:numFmt w:val="bullet"/>
      <w:lvlText w:val="•"/>
      <w:lvlJc w:val="left"/>
      <w:pPr>
        <w:ind w:left="3981" w:hanging="800"/>
      </w:pPr>
      <w:rPr>
        <w:rFonts w:hint="default"/>
        <w:lang w:val="zh-CN" w:eastAsia="zh-CN" w:bidi="zh-CN"/>
      </w:rPr>
    </w:lvl>
    <w:lvl w:ilvl="4" w:tentative="0">
      <w:start w:val="0"/>
      <w:numFmt w:val="bullet"/>
      <w:lvlText w:val="•"/>
      <w:lvlJc w:val="left"/>
      <w:pPr>
        <w:ind w:left="4722" w:hanging="800"/>
      </w:pPr>
      <w:rPr>
        <w:rFonts w:hint="default"/>
        <w:lang w:val="zh-CN" w:eastAsia="zh-CN" w:bidi="zh-CN"/>
      </w:rPr>
    </w:lvl>
    <w:lvl w:ilvl="5" w:tentative="0">
      <w:start w:val="0"/>
      <w:numFmt w:val="bullet"/>
      <w:lvlText w:val="•"/>
      <w:lvlJc w:val="left"/>
      <w:pPr>
        <w:ind w:left="5463" w:hanging="800"/>
      </w:pPr>
      <w:rPr>
        <w:rFonts w:hint="default"/>
        <w:lang w:val="zh-CN" w:eastAsia="zh-CN" w:bidi="zh-CN"/>
      </w:rPr>
    </w:lvl>
    <w:lvl w:ilvl="6" w:tentative="0">
      <w:start w:val="0"/>
      <w:numFmt w:val="bullet"/>
      <w:lvlText w:val="•"/>
      <w:lvlJc w:val="left"/>
      <w:pPr>
        <w:ind w:left="6203" w:hanging="800"/>
      </w:pPr>
      <w:rPr>
        <w:rFonts w:hint="default"/>
        <w:lang w:val="zh-CN" w:eastAsia="zh-CN" w:bidi="zh-CN"/>
      </w:rPr>
    </w:lvl>
    <w:lvl w:ilvl="7" w:tentative="0">
      <w:start w:val="0"/>
      <w:numFmt w:val="bullet"/>
      <w:lvlText w:val="•"/>
      <w:lvlJc w:val="left"/>
      <w:pPr>
        <w:ind w:left="6944" w:hanging="800"/>
      </w:pPr>
      <w:rPr>
        <w:rFonts w:hint="default"/>
        <w:lang w:val="zh-CN" w:eastAsia="zh-CN" w:bidi="zh-CN"/>
      </w:rPr>
    </w:lvl>
    <w:lvl w:ilvl="8" w:tentative="0">
      <w:start w:val="0"/>
      <w:numFmt w:val="bullet"/>
      <w:lvlText w:val="•"/>
      <w:lvlJc w:val="left"/>
      <w:pPr>
        <w:ind w:left="7684" w:hanging="800"/>
      </w:pPr>
      <w:rPr>
        <w:rFonts w:hint="default"/>
        <w:lang w:val="zh-CN" w:eastAsia="zh-CN" w:bidi="zh-CN"/>
      </w:rPr>
    </w:lvl>
  </w:abstractNum>
  <w:abstractNum w:abstractNumId="48">
    <w:nsid w:val="610EFE5C"/>
    <w:multiLevelType w:val="multilevel"/>
    <w:tmpl w:val="610EFE5C"/>
    <w:lvl w:ilvl="0" w:tentative="0">
      <w:start w:val="1"/>
      <w:numFmt w:val="decimal"/>
      <w:lvlText w:val="（%1）"/>
      <w:lvlJc w:val="left"/>
      <w:pPr>
        <w:ind w:left="320" w:hanging="819"/>
        <w:jc w:val="left"/>
      </w:pPr>
      <w:rPr>
        <w:rFonts w:hint="default" w:ascii="仿宋_GB2312" w:hAnsi="仿宋_GB2312" w:eastAsia="仿宋_GB2312" w:cs="仿宋_GB2312"/>
        <w:spacing w:val="5"/>
        <w:w w:val="99"/>
        <w:sz w:val="30"/>
        <w:szCs w:val="30"/>
        <w:lang w:val="zh-CN" w:eastAsia="zh-CN" w:bidi="zh-CN"/>
      </w:rPr>
    </w:lvl>
    <w:lvl w:ilvl="1" w:tentative="0">
      <w:start w:val="0"/>
      <w:numFmt w:val="bullet"/>
      <w:lvlText w:val="•"/>
      <w:lvlJc w:val="left"/>
      <w:pPr>
        <w:ind w:left="1204" w:hanging="819"/>
      </w:pPr>
      <w:rPr>
        <w:rFonts w:hint="default"/>
        <w:lang w:val="zh-CN" w:eastAsia="zh-CN" w:bidi="zh-CN"/>
      </w:rPr>
    </w:lvl>
    <w:lvl w:ilvl="2" w:tentative="0">
      <w:start w:val="0"/>
      <w:numFmt w:val="bullet"/>
      <w:lvlText w:val="•"/>
      <w:lvlJc w:val="left"/>
      <w:pPr>
        <w:ind w:left="2089" w:hanging="819"/>
      </w:pPr>
      <w:rPr>
        <w:rFonts w:hint="default"/>
        <w:lang w:val="zh-CN" w:eastAsia="zh-CN" w:bidi="zh-CN"/>
      </w:rPr>
    </w:lvl>
    <w:lvl w:ilvl="3" w:tentative="0">
      <w:start w:val="0"/>
      <w:numFmt w:val="bullet"/>
      <w:lvlText w:val="•"/>
      <w:lvlJc w:val="left"/>
      <w:pPr>
        <w:ind w:left="2973" w:hanging="819"/>
      </w:pPr>
      <w:rPr>
        <w:rFonts w:hint="default"/>
        <w:lang w:val="zh-CN" w:eastAsia="zh-CN" w:bidi="zh-CN"/>
      </w:rPr>
    </w:lvl>
    <w:lvl w:ilvl="4" w:tentative="0">
      <w:start w:val="0"/>
      <w:numFmt w:val="bullet"/>
      <w:lvlText w:val="•"/>
      <w:lvlJc w:val="left"/>
      <w:pPr>
        <w:ind w:left="3858" w:hanging="819"/>
      </w:pPr>
      <w:rPr>
        <w:rFonts w:hint="default"/>
        <w:lang w:val="zh-CN" w:eastAsia="zh-CN" w:bidi="zh-CN"/>
      </w:rPr>
    </w:lvl>
    <w:lvl w:ilvl="5" w:tentative="0">
      <w:start w:val="0"/>
      <w:numFmt w:val="bullet"/>
      <w:lvlText w:val="•"/>
      <w:lvlJc w:val="left"/>
      <w:pPr>
        <w:ind w:left="4743" w:hanging="819"/>
      </w:pPr>
      <w:rPr>
        <w:rFonts w:hint="default"/>
        <w:lang w:val="zh-CN" w:eastAsia="zh-CN" w:bidi="zh-CN"/>
      </w:rPr>
    </w:lvl>
    <w:lvl w:ilvl="6" w:tentative="0">
      <w:start w:val="0"/>
      <w:numFmt w:val="bullet"/>
      <w:lvlText w:val="•"/>
      <w:lvlJc w:val="left"/>
      <w:pPr>
        <w:ind w:left="5627" w:hanging="819"/>
      </w:pPr>
      <w:rPr>
        <w:rFonts w:hint="default"/>
        <w:lang w:val="zh-CN" w:eastAsia="zh-CN" w:bidi="zh-CN"/>
      </w:rPr>
    </w:lvl>
    <w:lvl w:ilvl="7" w:tentative="0">
      <w:start w:val="0"/>
      <w:numFmt w:val="bullet"/>
      <w:lvlText w:val="•"/>
      <w:lvlJc w:val="left"/>
      <w:pPr>
        <w:ind w:left="6512" w:hanging="819"/>
      </w:pPr>
      <w:rPr>
        <w:rFonts w:hint="default"/>
        <w:lang w:val="zh-CN" w:eastAsia="zh-CN" w:bidi="zh-CN"/>
      </w:rPr>
    </w:lvl>
    <w:lvl w:ilvl="8" w:tentative="0">
      <w:start w:val="0"/>
      <w:numFmt w:val="bullet"/>
      <w:lvlText w:val="•"/>
      <w:lvlJc w:val="left"/>
      <w:pPr>
        <w:ind w:left="7396" w:hanging="819"/>
      </w:pPr>
      <w:rPr>
        <w:rFonts w:hint="default"/>
        <w:lang w:val="zh-CN" w:eastAsia="zh-CN" w:bidi="zh-CN"/>
      </w:rPr>
    </w:lvl>
  </w:abstractNum>
  <w:abstractNum w:abstractNumId="49">
    <w:nsid w:val="6AFC2A1C"/>
    <w:multiLevelType w:val="multilevel"/>
    <w:tmpl w:val="6AFC2A1C"/>
    <w:lvl w:ilvl="0" w:tentative="0">
      <w:start w:val="19"/>
      <w:numFmt w:val="decimal"/>
      <w:lvlText w:val="%1."/>
      <w:lvlJc w:val="left"/>
      <w:pPr>
        <w:ind w:left="804" w:hanging="485"/>
        <w:jc w:val="left"/>
      </w:pPr>
      <w:rPr>
        <w:rFonts w:hint="default" w:ascii="仿宋" w:hAnsi="仿宋" w:eastAsia="仿宋" w:cs="仿宋"/>
        <w:b/>
        <w:bCs/>
        <w:spacing w:val="-2"/>
        <w:w w:val="98"/>
        <w:sz w:val="30"/>
        <w:szCs w:val="30"/>
        <w:lang w:val="zh-CN" w:eastAsia="zh-CN" w:bidi="zh-CN"/>
      </w:rPr>
    </w:lvl>
    <w:lvl w:ilvl="1" w:tentative="0">
      <w:start w:val="1"/>
      <w:numFmt w:val="decimal"/>
      <w:lvlText w:val="%2."/>
      <w:lvlJc w:val="left"/>
      <w:pPr>
        <w:ind w:left="320" w:hanging="322"/>
        <w:jc w:val="left"/>
      </w:pPr>
      <w:rPr>
        <w:rFonts w:hint="default"/>
        <w:spacing w:val="-2"/>
        <w:w w:val="99"/>
        <w:lang w:val="zh-CN" w:eastAsia="zh-CN" w:bidi="zh-CN"/>
      </w:rPr>
    </w:lvl>
    <w:lvl w:ilvl="2" w:tentative="0">
      <w:start w:val="0"/>
      <w:numFmt w:val="bullet"/>
      <w:lvlText w:val="•"/>
      <w:lvlJc w:val="left"/>
      <w:pPr>
        <w:ind w:left="1280" w:hanging="322"/>
      </w:pPr>
      <w:rPr>
        <w:rFonts w:hint="default"/>
        <w:lang w:val="zh-CN" w:eastAsia="zh-CN" w:bidi="zh-CN"/>
      </w:rPr>
    </w:lvl>
    <w:lvl w:ilvl="3" w:tentative="0">
      <w:start w:val="0"/>
      <w:numFmt w:val="bullet"/>
      <w:lvlText w:val="•"/>
      <w:lvlJc w:val="left"/>
      <w:pPr>
        <w:ind w:left="1300" w:hanging="322"/>
      </w:pPr>
      <w:rPr>
        <w:rFonts w:hint="default"/>
        <w:lang w:val="zh-CN" w:eastAsia="zh-CN" w:bidi="zh-CN"/>
      </w:rPr>
    </w:lvl>
    <w:lvl w:ilvl="4" w:tentative="0">
      <w:start w:val="0"/>
      <w:numFmt w:val="bullet"/>
      <w:lvlText w:val="•"/>
      <w:lvlJc w:val="left"/>
      <w:pPr>
        <w:ind w:left="2423" w:hanging="322"/>
      </w:pPr>
      <w:rPr>
        <w:rFonts w:hint="default"/>
        <w:lang w:val="zh-CN" w:eastAsia="zh-CN" w:bidi="zh-CN"/>
      </w:rPr>
    </w:lvl>
    <w:lvl w:ilvl="5" w:tentative="0">
      <w:start w:val="0"/>
      <w:numFmt w:val="bullet"/>
      <w:lvlText w:val="•"/>
      <w:lvlJc w:val="left"/>
      <w:pPr>
        <w:ind w:left="3547" w:hanging="322"/>
      </w:pPr>
      <w:rPr>
        <w:rFonts w:hint="default"/>
        <w:lang w:val="zh-CN" w:eastAsia="zh-CN" w:bidi="zh-CN"/>
      </w:rPr>
    </w:lvl>
    <w:lvl w:ilvl="6" w:tentative="0">
      <w:start w:val="0"/>
      <w:numFmt w:val="bullet"/>
      <w:lvlText w:val="•"/>
      <w:lvlJc w:val="left"/>
      <w:pPr>
        <w:ind w:left="4671" w:hanging="322"/>
      </w:pPr>
      <w:rPr>
        <w:rFonts w:hint="default"/>
        <w:lang w:val="zh-CN" w:eastAsia="zh-CN" w:bidi="zh-CN"/>
      </w:rPr>
    </w:lvl>
    <w:lvl w:ilvl="7" w:tentative="0">
      <w:start w:val="0"/>
      <w:numFmt w:val="bullet"/>
      <w:lvlText w:val="•"/>
      <w:lvlJc w:val="left"/>
      <w:pPr>
        <w:ind w:left="5794" w:hanging="322"/>
      </w:pPr>
      <w:rPr>
        <w:rFonts w:hint="default"/>
        <w:lang w:val="zh-CN" w:eastAsia="zh-CN" w:bidi="zh-CN"/>
      </w:rPr>
    </w:lvl>
    <w:lvl w:ilvl="8" w:tentative="0">
      <w:start w:val="0"/>
      <w:numFmt w:val="bullet"/>
      <w:lvlText w:val="•"/>
      <w:lvlJc w:val="left"/>
      <w:pPr>
        <w:ind w:left="6918" w:hanging="322"/>
      </w:pPr>
      <w:rPr>
        <w:rFonts w:hint="default"/>
        <w:lang w:val="zh-CN" w:eastAsia="zh-CN" w:bidi="zh-CN"/>
      </w:rPr>
    </w:lvl>
  </w:abstractNum>
  <w:abstractNum w:abstractNumId="50">
    <w:nsid w:val="6D423078"/>
    <w:multiLevelType w:val="multilevel"/>
    <w:tmpl w:val="6D423078"/>
    <w:lvl w:ilvl="0" w:tentative="0">
      <w:start w:val="1"/>
      <w:numFmt w:val="decimal"/>
      <w:lvlText w:val="（%1）"/>
      <w:lvlJc w:val="left"/>
      <w:pPr>
        <w:ind w:left="1760" w:hanging="800"/>
        <w:jc w:val="left"/>
      </w:pPr>
      <w:rPr>
        <w:rFonts w:hint="default" w:ascii="仿宋_GB2312" w:hAnsi="仿宋_GB2312" w:eastAsia="仿宋_GB2312" w:cs="仿宋_GB2312"/>
        <w:w w:val="99"/>
        <w:sz w:val="30"/>
        <w:szCs w:val="30"/>
        <w:lang w:val="zh-CN" w:eastAsia="zh-CN" w:bidi="zh-CN"/>
      </w:rPr>
    </w:lvl>
    <w:lvl w:ilvl="1" w:tentative="0">
      <w:start w:val="0"/>
      <w:numFmt w:val="bullet"/>
      <w:lvlText w:val="•"/>
      <w:lvlJc w:val="left"/>
      <w:pPr>
        <w:ind w:left="2500" w:hanging="800"/>
      </w:pPr>
      <w:rPr>
        <w:rFonts w:hint="default"/>
        <w:lang w:val="zh-CN" w:eastAsia="zh-CN" w:bidi="zh-CN"/>
      </w:rPr>
    </w:lvl>
    <w:lvl w:ilvl="2" w:tentative="0">
      <w:start w:val="0"/>
      <w:numFmt w:val="bullet"/>
      <w:lvlText w:val="•"/>
      <w:lvlJc w:val="left"/>
      <w:pPr>
        <w:ind w:left="3241" w:hanging="800"/>
      </w:pPr>
      <w:rPr>
        <w:rFonts w:hint="default"/>
        <w:lang w:val="zh-CN" w:eastAsia="zh-CN" w:bidi="zh-CN"/>
      </w:rPr>
    </w:lvl>
    <w:lvl w:ilvl="3" w:tentative="0">
      <w:start w:val="0"/>
      <w:numFmt w:val="bullet"/>
      <w:lvlText w:val="•"/>
      <w:lvlJc w:val="left"/>
      <w:pPr>
        <w:ind w:left="3981" w:hanging="800"/>
      </w:pPr>
      <w:rPr>
        <w:rFonts w:hint="default"/>
        <w:lang w:val="zh-CN" w:eastAsia="zh-CN" w:bidi="zh-CN"/>
      </w:rPr>
    </w:lvl>
    <w:lvl w:ilvl="4" w:tentative="0">
      <w:start w:val="0"/>
      <w:numFmt w:val="bullet"/>
      <w:lvlText w:val="•"/>
      <w:lvlJc w:val="left"/>
      <w:pPr>
        <w:ind w:left="4722" w:hanging="800"/>
      </w:pPr>
      <w:rPr>
        <w:rFonts w:hint="default"/>
        <w:lang w:val="zh-CN" w:eastAsia="zh-CN" w:bidi="zh-CN"/>
      </w:rPr>
    </w:lvl>
    <w:lvl w:ilvl="5" w:tentative="0">
      <w:start w:val="0"/>
      <w:numFmt w:val="bullet"/>
      <w:lvlText w:val="•"/>
      <w:lvlJc w:val="left"/>
      <w:pPr>
        <w:ind w:left="5463" w:hanging="800"/>
      </w:pPr>
      <w:rPr>
        <w:rFonts w:hint="default"/>
        <w:lang w:val="zh-CN" w:eastAsia="zh-CN" w:bidi="zh-CN"/>
      </w:rPr>
    </w:lvl>
    <w:lvl w:ilvl="6" w:tentative="0">
      <w:start w:val="0"/>
      <w:numFmt w:val="bullet"/>
      <w:lvlText w:val="•"/>
      <w:lvlJc w:val="left"/>
      <w:pPr>
        <w:ind w:left="6203" w:hanging="800"/>
      </w:pPr>
      <w:rPr>
        <w:rFonts w:hint="default"/>
        <w:lang w:val="zh-CN" w:eastAsia="zh-CN" w:bidi="zh-CN"/>
      </w:rPr>
    </w:lvl>
    <w:lvl w:ilvl="7" w:tentative="0">
      <w:start w:val="0"/>
      <w:numFmt w:val="bullet"/>
      <w:lvlText w:val="•"/>
      <w:lvlJc w:val="left"/>
      <w:pPr>
        <w:ind w:left="6944" w:hanging="800"/>
      </w:pPr>
      <w:rPr>
        <w:rFonts w:hint="default"/>
        <w:lang w:val="zh-CN" w:eastAsia="zh-CN" w:bidi="zh-CN"/>
      </w:rPr>
    </w:lvl>
    <w:lvl w:ilvl="8" w:tentative="0">
      <w:start w:val="0"/>
      <w:numFmt w:val="bullet"/>
      <w:lvlText w:val="•"/>
      <w:lvlJc w:val="left"/>
      <w:pPr>
        <w:ind w:left="7684" w:hanging="800"/>
      </w:pPr>
      <w:rPr>
        <w:rFonts w:hint="default"/>
        <w:lang w:val="zh-CN" w:eastAsia="zh-CN" w:bidi="zh-CN"/>
      </w:rPr>
    </w:lvl>
  </w:abstractNum>
  <w:num w:numId="1">
    <w:abstractNumId w:val="31"/>
  </w:num>
  <w:num w:numId="2">
    <w:abstractNumId w:val="42"/>
  </w:num>
  <w:num w:numId="3">
    <w:abstractNumId w:val="10"/>
  </w:num>
  <w:num w:numId="4">
    <w:abstractNumId w:val="48"/>
  </w:num>
  <w:num w:numId="5">
    <w:abstractNumId w:val="0"/>
  </w:num>
  <w:num w:numId="6">
    <w:abstractNumId w:val="2"/>
  </w:num>
  <w:num w:numId="7">
    <w:abstractNumId w:val="25"/>
  </w:num>
  <w:num w:numId="8">
    <w:abstractNumId w:val="8"/>
  </w:num>
  <w:num w:numId="9">
    <w:abstractNumId w:val="11"/>
  </w:num>
  <w:num w:numId="10">
    <w:abstractNumId w:val="12"/>
  </w:num>
  <w:num w:numId="11">
    <w:abstractNumId w:val="24"/>
  </w:num>
  <w:num w:numId="12">
    <w:abstractNumId w:val="47"/>
  </w:num>
  <w:num w:numId="13">
    <w:abstractNumId w:val="22"/>
  </w:num>
  <w:num w:numId="14">
    <w:abstractNumId w:val="46"/>
  </w:num>
  <w:num w:numId="15">
    <w:abstractNumId w:val="33"/>
  </w:num>
  <w:num w:numId="16">
    <w:abstractNumId w:val="4"/>
  </w:num>
  <w:num w:numId="17">
    <w:abstractNumId w:val="27"/>
  </w:num>
  <w:num w:numId="18">
    <w:abstractNumId w:val="7"/>
  </w:num>
  <w:num w:numId="19">
    <w:abstractNumId w:val="36"/>
  </w:num>
  <w:num w:numId="20">
    <w:abstractNumId w:val="45"/>
  </w:num>
  <w:num w:numId="21">
    <w:abstractNumId w:val="14"/>
  </w:num>
  <w:num w:numId="22">
    <w:abstractNumId w:val="5"/>
  </w:num>
  <w:num w:numId="23">
    <w:abstractNumId w:val="35"/>
  </w:num>
  <w:num w:numId="24">
    <w:abstractNumId w:val="40"/>
  </w:num>
  <w:num w:numId="25">
    <w:abstractNumId w:val="30"/>
  </w:num>
  <w:num w:numId="26">
    <w:abstractNumId w:val="43"/>
  </w:num>
  <w:num w:numId="27">
    <w:abstractNumId w:val="44"/>
  </w:num>
  <w:num w:numId="28">
    <w:abstractNumId w:val="34"/>
  </w:num>
  <w:num w:numId="29">
    <w:abstractNumId w:val="18"/>
  </w:num>
  <w:num w:numId="30">
    <w:abstractNumId w:val="6"/>
  </w:num>
  <w:num w:numId="31">
    <w:abstractNumId w:val="38"/>
  </w:num>
  <w:num w:numId="32">
    <w:abstractNumId w:val="39"/>
  </w:num>
  <w:num w:numId="33">
    <w:abstractNumId w:val="29"/>
  </w:num>
  <w:num w:numId="34">
    <w:abstractNumId w:val="50"/>
  </w:num>
  <w:num w:numId="35">
    <w:abstractNumId w:val="17"/>
  </w:num>
  <w:num w:numId="36">
    <w:abstractNumId w:val="32"/>
  </w:num>
  <w:num w:numId="37">
    <w:abstractNumId w:val="28"/>
  </w:num>
  <w:num w:numId="38">
    <w:abstractNumId w:val="19"/>
  </w:num>
  <w:num w:numId="39">
    <w:abstractNumId w:val="21"/>
  </w:num>
  <w:num w:numId="40">
    <w:abstractNumId w:val="15"/>
  </w:num>
  <w:num w:numId="41">
    <w:abstractNumId w:val="41"/>
  </w:num>
  <w:num w:numId="42">
    <w:abstractNumId w:val="23"/>
  </w:num>
  <w:num w:numId="43">
    <w:abstractNumId w:val="3"/>
  </w:num>
  <w:num w:numId="44">
    <w:abstractNumId w:val="20"/>
  </w:num>
  <w:num w:numId="45">
    <w:abstractNumId w:val="26"/>
  </w:num>
  <w:num w:numId="46">
    <w:abstractNumId w:val="13"/>
  </w:num>
  <w:num w:numId="47">
    <w:abstractNumId w:val="37"/>
  </w:num>
  <w:num w:numId="48">
    <w:abstractNumId w:val="49"/>
  </w:num>
  <w:num w:numId="49">
    <w:abstractNumId w:val="16"/>
  </w:num>
  <w:num w:numId="50">
    <w:abstractNumId w:val="9"/>
  </w:num>
  <w:num w:numId="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hdrShapeDefaults>
    <o:shapelayout v:ext="edit">
      <o:idmap v:ext="edit" data="3,4"/>
    </o:shapelayout>
  </w:hdrShapeDefault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4ODBlZjE2MjQ4NmJkYzJiNGQxMjllMWNiMmNhYWEifQ=="/>
  </w:docVars>
  <w:rsids>
    <w:rsidRoot w:val="00000000"/>
    <w:rsid w:val="048C4CF8"/>
    <w:rsid w:val="7DFFE6F0"/>
    <w:rsid w:val="8FDFEED7"/>
    <w:rsid w:val="DD3F9BBD"/>
    <w:rsid w:val="E5D9563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zh-CN" w:eastAsia="zh-CN" w:bidi="zh-CN"/>
    </w:rPr>
  </w:style>
  <w:style w:type="paragraph" w:styleId="2">
    <w:name w:val="heading 1"/>
    <w:basedOn w:val="1"/>
    <w:next w:val="1"/>
    <w:qFormat/>
    <w:uiPriority w:val="1"/>
    <w:pPr>
      <w:spacing w:before="22"/>
      <w:ind w:left="1756"/>
      <w:outlineLvl w:val="1"/>
    </w:pPr>
    <w:rPr>
      <w:rFonts w:ascii="黑体" w:hAnsi="黑体" w:eastAsia="黑体" w:cs="黑体"/>
      <w:sz w:val="36"/>
      <w:szCs w:val="36"/>
      <w:lang w:val="zh-CN" w:eastAsia="zh-CN" w:bidi="zh-CN"/>
    </w:rPr>
  </w:style>
  <w:style w:type="paragraph" w:styleId="3">
    <w:name w:val="heading 2"/>
    <w:basedOn w:val="1"/>
    <w:next w:val="1"/>
    <w:qFormat/>
    <w:uiPriority w:val="1"/>
    <w:pPr>
      <w:spacing w:before="214"/>
      <w:ind w:left="320"/>
      <w:outlineLvl w:val="2"/>
    </w:pPr>
    <w:rPr>
      <w:rFonts w:ascii="宋体" w:hAnsi="宋体" w:eastAsia="宋体" w:cs="宋体"/>
      <w:b/>
      <w:bCs/>
      <w:sz w:val="32"/>
      <w:szCs w:val="32"/>
      <w:lang w:val="zh-CN" w:eastAsia="zh-CN" w:bidi="zh-CN"/>
    </w:rPr>
  </w:style>
  <w:style w:type="character" w:default="1" w:styleId="10">
    <w:name w:val="Default Paragraph Font"/>
    <w:semiHidden/>
    <w:unhideWhenUsed/>
    <w:qFormat/>
    <w:uiPriority w:val="1"/>
  </w:style>
  <w:style w:type="table" w:default="1" w:styleId="9">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pPr>
      <w:spacing w:before="214"/>
      <w:ind w:left="320" w:firstLine="640"/>
    </w:pPr>
    <w:rPr>
      <w:rFonts w:ascii="仿宋_GB2312" w:hAnsi="仿宋_GB2312" w:eastAsia="仿宋_GB2312" w:cs="仿宋_GB2312"/>
      <w:sz w:val="32"/>
      <w:szCs w:val="32"/>
      <w:lang w:val="zh-CN" w:eastAsia="zh-CN" w:bidi="zh-CN"/>
    </w:rPr>
  </w:style>
  <w:style w:type="paragraph" w:styleId="5">
    <w:name w:val="footer"/>
    <w:basedOn w:val="1"/>
    <w:qFormat/>
    <w:uiPriority w:val="0"/>
    <w:pPr>
      <w:tabs>
        <w:tab w:val="center" w:pos="4153"/>
        <w:tab w:val="right" w:pos="8306"/>
      </w:tabs>
      <w:snapToGrid w:val="0"/>
      <w:jc w:val="left"/>
    </w:pPr>
    <w:rPr>
      <w:sz w:val="18"/>
    </w:rPr>
  </w:style>
  <w:style w:type="paragraph" w:styleId="6">
    <w:name w:val="toc 1"/>
    <w:basedOn w:val="1"/>
    <w:next w:val="1"/>
    <w:qFormat/>
    <w:uiPriority w:val="1"/>
    <w:pPr>
      <w:spacing w:before="43"/>
      <w:ind w:left="1527" w:right="538" w:hanging="1528"/>
      <w:jc w:val="right"/>
    </w:pPr>
    <w:rPr>
      <w:rFonts w:ascii="宋体" w:hAnsi="宋体" w:eastAsia="宋体" w:cs="宋体"/>
      <w:sz w:val="21"/>
      <w:szCs w:val="21"/>
      <w:lang w:val="zh-CN" w:eastAsia="zh-CN" w:bidi="zh-CN"/>
    </w:rPr>
  </w:style>
  <w:style w:type="paragraph" w:styleId="7">
    <w:name w:val="toc 2"/>
    <w:basedOn w:val="1"/>
    <w:next w:val="1"/>
    <w:qFormat/>
    <w:uiPriority w:val="1"/>
    <w:pPr>
      <w:spacing w:before="43"/>
      <w:ind w:left="1527" w:hanging="368"/>
    </w:pPr>
    <w:rPr>
      <w:rFonts w:ascii="宋体" w:hAnsi="宋体" w:eastAsia="宋体" w:cs="宋体"/>
      <w:sz w:val="21"/>
      <w:szCs w:val="21"/>
      <w:lang w:val="zh-CN" w:eastAsia="zh-CN" w:bidi="zh-CN"/>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table" w:customStyle="1" w:styleId="11">
    <w:name w:val="Table Normal"/>
    <w:semiHidden/>
    <w:unhideWhenUsed/>
    <w:qFormat/>
    <w:uiPriority w:val="2"/>
    <w:tblPr>
      <w:tblCellMar>
        <w:top w:w="0" w:type="dxa"/>
        <w:left w:w="0" w:type="dxa"/>
        <w:bottom w:w="0" w:type="dxa"/>
        <w:right w:w="0" w:type="dxa"/>
      </w:tblCellMar>
    </w:tblPr>
  </w:style>
  <w:style w:type="paragraph" w:styleId="12">
    <w:name w:val="List Paragraph"/>
    <w:basedOn w:val="1"/>
    <w:qFormat/>
    <w:uiPriority w:val="1"/>
    <w:pPr>
      <w:spacing w:before="214"/>
      <w:ind w:left="320" w:firstLine="640"/>
    </w:pPr>
    <w:rPr>
      <w:rFonts w:ascii="仿宋_GB2312" w:hAnsi="仿宋_GB2312" w:eastAsia="仿宋_GB2312" w:cs="仿宋_GB2312"/>
      <w:lang w:val="zh-CN" w:eastAsia="zh-CN" w:bidi="zh-CN"/>
    </w:rPr>
  </w:style>
  <w:style w:type="paragraph" w:customStyle="1" w:styleId="13">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83</Pages>
  <Words>30991</Words>
  <Characters>31871</Characters>
  <TotalTime>27</TotalTime>
  <ScaleCrop>false</ScaleCrop>
  <LinksUpToDate>false</LinksUpToDate>
  <CharactersWithSpaces>32991</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2022-06-07T03:47:00Z</dcterms:created>
  <dc:creator>Administrator</dc:creator>
  <cp:lastModifiedBy>uos</cp:lastModifiedBy>
  <dcterms:modified xsi:type="dcterms:W3CDTF">2022-06-08T09:50:49Z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5248DBAC5F0145FA8A385226DCF65BC1</vt:lpwstr>
  </property>
</Properties>
</file>