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方正小标宋简体" w:hAnsi="宋体" w:eastAsia="方正小标宋简体"/>
          <w:color w:val="auto"/>
          <w:sz w:val="72"/>
          <w:szCs w:val="72"/>
          <w:highlight w:val="none"/>
        </w:rPr>
      </w:pPr>
      <w:bookmarkStart w:id="0" w:name="_Toc15377193"/>
      <w:bookmarkStart w:id="1" w:name="_Toc15377425"/>
      <w:bookmarkStart w:id="2" w:name="_Toc15396475"/>
      <w:bookmarkStart w:id="3" w:name="_Toc15306267"/>
      <w:bookmarkStart w:id="4" w:name="_Toc15396597"/>
      <w:bookmarkStart w:id="5" w:name="_Toc15378441"/>
    </w:p>
    <w:p>
      <w:pPr>
        <w:pStyle w:val="2"/>
        <w:rPr>
          <w:rFonts w:ascii="方正小标宋简体" w:hAnsi="宋体" w:eastAsia="方正小标宋简体"/>
          <w:color w:val="auto"/>
          <w:sz w:val="72"/>
          <w:szCs w:val="72"/>
          <w:highlight w:val="none"/>
        </w:rPr>
      </w:pPr>
    </w:p>
    <w:p>
      <w:pPr>
        <w:pStyle w:val="2"/>
        <w:rPr>
          <w:rFonts w:ascii="方正小标宋简体" w:hAnsi="宋体" w:eastAsia="方正小标宋简体"/>
          <w:color w:val="auto"/>
          <w:sz w:val="72"/>
          <w:szCs w:val="72"/>
          <w:highlight w:val="none"/>
        </w:rPr>
      </w:pPr>
    </w:p>
    <w:p>
      <w:pPr>
        <w:pStyle w:val="2"/>
        <w:keepNext w:val="0"/>
        <w:keepLines w:val="0"/>
        <w:pageBreakBefore w:val="0"/>
        <w:shd w:val="clear"/>
        <w:kinsoku/>
        <w:wordWrap/>
        <w:overflowPunct/>
        <w:topLinePunct w:val="0"/>
        <w:autoSpaceDE/>
        <w:autoSpaceDN/>
        <w:bidi w:val="0"/>
        <w:outlineLvl w:val="9"/>
        <w:rPr>
          <w:color w:val="auto"/>
          <w:highlight w:val="none"/>
        </w:rPr>
      </w:pPr>
    </w:p>
    <w:bookmarkEnd w:id="0"/>
    <w:bookmarkEnd w:id="1"/>
    <w:bookmarkEnd w:id="2"/>
    <w:bookmarkEnd w:id="3"/>
    <w:bookmarkEnd w:id="4"/>
    <w:bookmarkEnd w:id="5"/>
    <w:p>
      <w:pPr>
        <w:keepNext w:val="0"/>
        <w:keepLines w:val="0"/>
        <w:pageBreakBefore w:val="0"/>
        <w:shd w:val="clear"/>
        <w:kinsoku/>
        <w:wordWrap/>
        <w:overflowPunct/>
        <w:topLinePunct w:val="0"/>
        <w:autoSpaceDE/>
        <w:autoSpaceDN/>
        <w:bidi w:val="0"/>
        <w:adjustRightInd w:val="0"/>
        <w:snapToGrid w:val="0"/>
        <w:spacing w:line="360" w:lineRule="auto"/>
        <w:jc w:val="center"/>
        <w:outlineLvl w:val="9"/>
        <w:rPr>
          <w:rFonts w:hint="eastAsia" w:ascii="方正小标宋简体" w:hAnsi="方正小标宋简体" w:eastAsia="方正小标宋简体" w:cs="方正小标宋简体"/>
          <w:color w:val="auto"/>
          <w:sz w:val="72"/>
          <w:szCs w:val="72"/>
          <w:highlight w:val="none"/>
        </w:rPr>
      </w:pPr>
      <w:bookmarkStart w:id="6" w:name="_Toc4130"/>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6"/>
    </w:p>
    <w:p>
      <w:pPr>
        <w:keepNext w:val="0"/>
        <w:keepLines w:val="0"/>
        <w:pageBreakBefore w:val="0"/>
        <w:shd w:val="clear"/>
        <w:kinsoku/>
        <w:wordWrap/>
        <w:overflowPunct/>
        <w:topLinePunct w:val="0"/>
        <w:autoSpaceDE/>
        <w:autoSpaceDN/>
        <w:bidi w:val="0"/>
        <w:adjustRightInd w:val="0"/>
        <w:snapToGrid w:val="0"/>
        <w:spacing w:line="360" w:lineRule="auto"/>
        <w:jc w:val="center"/>
        <w:outlineLvl w:val="9"/>
        <w:rPr>
          <w:rFonts w:hint="eastAsia" w:ascii="方正小标宋简体" w:hAnsi="方正小标宋简体" w:eastAsia="方正小标宋简体" w:cs="方正小标宋简体"/>
          <w:color w:val="auto"/>
          <w:sz w:val="72"/>
          <w:szCs w:val="72"/>
          <w:highlight w:val="none"/>
          <w:lang w:val="en-US" w:eastAsia="zh-CN"/>
        </w:rPr>
      </w:pPr>
      <w:bookmarkStart w:id="7" w:name="_Toc15378442"/>
      <w:bookmarkStart w:id="8" w:name="_Toc7033"/>
      <w:bookmarkStart w:id="9" w:name="_Toc15396598"/>
      <w:bookmarkStart w:id="10" w:name="_Toc15396476"/>
      <w:bookmarkStart w:id="11" w:name="_Toc15377426"/>
      <w:bookmarkStart w:id="12" w:name="_Toc15377194"/>
      <w:r>
        <w:rPr>
          <w:rFonts w:hint="eastAsia" w:ascii="方正小标宋简体" w:hAnsi="方正小标宋简体" w:eastAsia="方正小标宋简体" w:cs="方正小标宋简体"/>
          <w:color w:val="auto"/>
          <w:sz w:val="72"/>
          <w:szCs w:val="72"/>
          <w:highlight w:val="none"/>
          <w:lang w:val="en-US" w:eastAsia="zh-CN"/>
        </w:rPr>
        <w:t>广元市</w:t>
      </w:r>
      <w:bookmarkStart w:id="13" w:name="_Toc15306268"/>
      <w:r>
        <w:rPr>
          <w:rFonts w:hint="eastAsia" w:ascii="方正小标宋简体" w:hAnsi="方正小标宋简体" w:eastAsia="方正小标宋简体" w:cs="方正小标宋简体"/>
          <w:color w:val="auto"/>
          <w:sz w:val="72"/>
          <w:szCs w:val="72"/>
          <w:highlight w:val="none"/>
          <w:lang w:val="en-US" w:eastAsia="zh-CN"/>
        </w:rPr>
        <w:t>经济合作和外事局</w:t>
      </w:r>
    </w:p>
    <w:p>
      <w:pPr>
        <w:keepNext w:val="0"/>
        <w:keepLines w:val="0"/>
        <w:pageBreakBefore w:val="0"/>
        <w:shd w:val="clear"/>
        <w:kinsoku/>
        <w:wordWrap/>
        <w:overflowPunct/>
        <w:topLinePunct w:val="0"/>
        <w:autoSpaceDE/>
        <w:autoSpaceDN/>
        <w:bidi w:val="0"/>
        <w:adjustRightInd w:val="0"/>
        <w:snapToGrid w:val="0"/>
        <w:spacing w:line="360" w:lineRule="auto"/>
        <w:jc w:val="center"/>
        <w:outlineLvl w:val="9"/>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rPr>
        <w:t>部</w:t>
      </w:r>
      <w:r>
        <w:rPr>
          <w:rFonts w:hint="eastAsia" w:ascii="方正小标宋简体" w:hAnsi="方正小标宋简体" w:eastAsia="方正小标宋简体" w:cs="方正小标宋简体"/>
          <w:color w:val="auto"/>
          <w:sz w:val="72"/>
          <w:szCs w:val="72"/>
          <w:highlight w:val="none"/>
          <w:lang w:val="en-US" w:eastAsia="zh-CN"/>
        </w:rPr>
        <w:t xml:space="preserve"> </w:t>
      </w:r>
      <w:r>
        <w:rPr>
          <w:rFonts w:hint="eastAsia" w:ascii="方正小标宋简体" w:hAnsi="方正小标宋简体" w:eastAsia="方正小标宋简体" w:cs="方正小标宋简体"/>
          <w:color w:val="auto"/>
          <w:sz w:val="72"/>
          <w:szCs w:val="72"/>
          <w:highlight w:val="none"/>
        </w:rPr>
        <w:t>门</w:t>
      </w:r>
      <w:r>
        <w:rPr>
          <w:rFonts w:hint="eastAsia" w:ascii="方正小标宋简体" w:hAnsi="方正小标宋简体" w:eastAsia="方正小标宋简体" w:cs="方正小标宋简体"/>
          <w:color w:val="auto"/>
          <w:sz w:val="72"/>
          <w:szCs w:val="72"/>
          <w:highlight w:val="none"/>
          <w:lang w:val="en-US" w:eastAsia="zh-CN"/>
        </w:rPr>
        <w:t xml:space="preserve"> </w:t>
      </w:r>
      <w:r>
        <w:rPr>
          <w:rFonts w:hint="eastAsia" w:ascii="方正小标宋简体" w:hAnsi="方正小标宋简体" w:eastAsia="方正小标宋简体" w:cs="方正小标宋简体"/>
          <w:color w:val="auto"/>
          <w:sz w:val="72"/>
          <w:szCs w:val="72"/>
          <w:highlight w:val="none"/>
        </w:rPr>
        <w:t>决</w:t>
      </w:r>
      <w:r>
        <w:rPr>
          <w:rFonts w:hint="eastAsia" w:ascii="方正小标宋简体" w:hAnsi="方正小标宋简体" w:eastAsia="方正小标宋简体" w:cs="方正小标宋简体"/>
          <w:color w:val="auto"/>
          <w:sz w:val="72"/>
          <w:szCs w:val="72"/>
          <w:highlight w:val="none"/>
          <w:lang w:val="en-US" w:eastAsia="zh-CN"/>
        </w:rPr>
        <w:t xml:space="preserve"> </w:t>
      </w:r>
      <w:r>
        <w:rPr>
          <w:rFonts w:hint="eastAsia" w:ascii="方正小标宋简体" w:hAnsi="方正小标宋简体" w:eastAsia="方正小标宋简体" w:cs="方正小标宋简体"/>
          <w:color w:val="auto"/>
          <w:sz w:val="72"/>
          <w:szCs w:val="72"/>
          <w:highlight w:val="none"/>
        </w:rPr>
        <w:t>算</w:t>
      </w:r>
      <w:bookmarkEnd w:id="7"/>
      <w:bookmarkEnd w:id="8"/>
      <w:bookmarkEnd w:id="9"/>
      <w:bookmarkEnd w:id="10"/>
      <w:bookmarkEnd w:id="11"/>
      <w:bookmarkEnd w:id="12"/>
      <w:bookmarkEnd w:id="13"/>
    </w:p>
    <w:p>
      <w:pPr>
        <w:shd w:val="clear"/>
        <w:rPr>
          <w:rFonts w:ascii="方正小标宋简体" w:hAnsi="宋体" w:eastAsia="方正小标宋简体"/>
          <w:color w:val="auto"/>
          <w:sz w:val="36"/>
          <w:szCs w:val="36"/>
          <w:highlight w:val="none"/>
        </w:rPr>
      </w:pPr>
    </w:p>
    <w:p>
      <w:r>
        <w:br w:type="page"/>
      </w:r>
    </w:p>
    <w:p>
      <w:pPr>
        <w:pStyle w:val="2"/>
      </w:pPr>
    </w:p>
    <w:p>
      <w:pPr>
        <w:pStyle w:val="2"/>
        <w:sectPr>
          <w:headerReference r:id="rId3" w:type="default"/>
          <w:footerReference r:id="rId4" w:type="default"/>
          <w:pgSz w:w="11906" w:h="16838"/>
          <w:pgMar w:top="2098" w:right="1474" w:bottom="1984" w:left="1587" w:header="851" w:footer="1587" w:gutter="0"/>
          <w:pgNumType w:start="1"/>
          <w:cols w:space="0" w:num="1"/>
          <w:titlePg/>
          <w:rtlGutter w:val="0"/>
          <w:docGrid w:type="lines" w:linePitch="312" w:charSpace="0"/>
        </w:sectPr>
      </w:pPr>
    </w:p>
    <w:p>
      <w:pPr>
        <w:keepNext w:val="0"/>
        <w:keepLines w:val="0"/>
        <w:pageBreakBefore w:val="0"/>
        <w:widowControl/>
        <w:shd w:val="clear"/>
        <w:kinsoku/>
        <w:wordWrap/>
        <w:overflowPunct/>
        <w:topLinePunct w:val="0"/>
        <w:autoSpaceDE/>
        <w:autoSpaceDN/>
        <w:bidi w:val="0"/>
        <w:adjustRightInd/>
        <w:snapToGrid/>
        <w:spacing w:line="576" w:lineRule="exact"/>
        <w:jc w:val="both"/>
        <w:textAlignment w:val="auto"/>
        <w:outlineLvl w:val="9"/>
        <w:rPr>
          <w:rFonts w:hint="eastAsia" w:ascii="黑体" w:hAnsi="黑体" w:eastAsia="黑体"/>
          <w:color w:val="auto"/>
          <w:sz w:val="48"/>
          <w:szCs w:val="48"/>
          <w:highlight w:val="none"/>
        </w:rPr>
      </w:pPr>
    </w:p>
    <w:p>
      <w:pPr>
        <w:keepNext w:val="0"/>
        <w:keepLines w:val="0"/>
        <w:pageBreakBefore w:val="0"/>
        <w:widowControl/>
        <w:shd w:val="clear"/>
        <w:kinsoku/>
        <w:wordWrap/>
        <w:overflowPunct/>
        <w:topLinePunct w:val="0"/>
        <w:autoSpaceDE/>
        <w:autoSpaceDN/>
        <w:bidi w:val="0"/>
        <w:adjustRightInd/>
        <w:snapToGrid/>
        <w:spacing w:line="600" w:lineRule="exact"/>
        <w:jc w:val="center"/>
        <w:textAlignment w:val="auto"/>
        <w:rPr>
          <w:rFonts w:ascii="黑体" w:hAnsi="黑体" w:eastAsia="黑体" w:cstheme="minorBidi"/>
          <w:color w:val="auto"/>
          <w:sz w:val="28"/>
          <w:szCs w:val="28"/>
          <w:highlight w:val="none"/>
        </w:rPr>
      </w:pPr>
      <w:bookmarkStart w:id="14" w:name="_Toc15377196"/>
      <w:bookmarkStart w:id="15" w:name="_Toc15396599"/>
      <w:r>
        <w:rPr>
          <w:rFonts w:hint="eastAsia" w:ascii="方正小标宋简体" w:hAnsi="方正小标宋简体" w:eastAsia="方正小标宋简体" w:cs="方正小标宋简体"/>
          <w:color w:val="auto"/>
          <w:sz w:val="44"/>
          <w:szCs w:val="44"/>
          <w:highlight w:val="none"/>
        </w:rPr>
        <w:t>目</w:t>
      </w:r>
      <w:r>
        <w:rPr>
          <w:rFonts w:hint="eastAsia" w:ascii="方正小标宋简体" w:hAnsi="方正小标宋简体" w:eastAsia="方正小标宋简体" w:cs="方正小标宋简体"/>
          <w:color w:val="auto"/>
          <w:sz w:val="44"/>
          <w:szCs w:val="44"/>
          <w:highlight w:val="none"/>
          <w:lang w:val="en-US" w:eastAsia="zh-CN"/>
        </w:rPr>
        <w:t xml:space="preserve">    </w:t>
      </w:r>
      <w:r>
        <w:rPr>
          <w:rFonts w:hint="eastAsia" w:ascii="方正小标宋简体" w:hAnsi="方正小标宋简体" w:eastAsia="方正小标宋简体" w:cs="方正小标宋简体"/>
          <w:color w:val="auto"/>
          <w:sz w:val="44"/>
          <w:szCs w:val="44"/>
          <w:highlight w:val="none"/>
        </w:rPr>
        <w:t>录</w:t>
      </w:r>
    </w:p>
    <w:p>
      <w:pPr>
        <w:pStyle w:val="13"/>
        <w:keepNext w:val="0"/>
        <w:keepLines w:val="0"/>
        <w:pageBreakBefore w:val="0"/>
        <w:shd w:val="clear"/>
        <w:kinsoku/>
        <w:wordWrap/>
        <w:overflowPunct/>
        <w:topLinePunct w:val="0"/>
        <w:autoSpaceDE/>
        <w:autoSpaceDN/>
        <w:bidi w:val="0"/>
        <w:adjustRightInd/>
        <w:snapToGrid/>
        <w:spacing w:before="0" w:line="600" w:lineRule="exact"/>
        <w:textAlignment w:val="auto"/>
        <w:rPr>
          <w:rFonts w:hint="eastAsia" w:ascii="方正楷体简体" w:hAnsi="方正楷体简体" w:eastAsia="方正楷体简体" w:cs="方正楷体简体"/>
          <w:color w:val="auto"/>
          <w:sz w:val="32"/>
          <w:szCs w:val="32"/>
          <w:highlight w:val="none"/>
        </w:rPr>
      </w:pPr>
    </w:p>
    <w:p>
      <w:pPr>
        <w:pStyle w:val="13"/>
        <w:keepNext w:val="0"/>
        <w:keepLines w:val="0"/>
        <w:pageBreakBefore w:val="0"/>
        <w:shd w:val="clear"/>
        <w:kinsoku/>
        <w:wordWrap/>
        <w:overflowPunct/>
        <w:topLinePunct w:val="0"/>
        <w:autoSpaceDE/>
        <w:autoSpaceDN/>
        <w:bidi w:val="0"/>
        <w:adjustRightInd/>
        <w:snapToGrid/>
        <w:spacing w:before="0" w:line="600" w:lineRule="exact"/>
        <w:textAlignment w:val="auto"/>
        <w:rPr>
          <w:rFonts w:hint="eastAsia" w:ascii="宋体" w:hAnsi="宋体"/>
          <w:color w:val="auto"/>
          <w:highlight w:val="none"/>
        </w:rPr>
      </w:pPr>
      <w:r>
        <w:rPr>
          <w:rFonts w:hint="eastAsia" w:ascii="宋体" w:hAnsi="宋体" w:eastAsia="方正楷体简体" w:cs="方正楷体简体"/>
          <w:color w:val="auto"/>
          <w:sz w:val="32"/>
          <w:szCs w:val="32"/>
          <w:highlight w:val="none"/>
        </w:rPr>
        <w:t>公开时间：20</w:t>
      </w:r>
      <w:r>
        <w:rPr>
          <w:rFonts w:hint="eastAsia" w:ascii="宋体" w:hAnsi="宋体" w:eastAsia="方正楷体简体" w:cs="方正楷体简体"/>
          <w:color w:val="auto"/>
          <w:sz w:val="32"/>
          <w:szCs w:val="32"/>
          <w:highlight w:val="none"/>
          <w:lang w:val="en-US" w:eastAsia="zh-CN"/>
        </w:rPr>
        <w:t>23</w:t>
      </w:r>
      <w:r>
        <w:rPr>
          <w:rFonts w:hint="eastAsia" w:ascii="宋体" w:hAnsi="宋体" w:eastAsia="方正楷体简体" w:cs="方正楷体简体"/>
          <w:color w:val="auto"/>
          <w:sz w:val="32"/>
          <w:szCs w:val="32"/>
          <w:highlight w:val="none"/>
        </w:rPr>
        <w:t>年</w:t>
      </w:r>
      <w:r>
        <w:rPr>
          <w:rFonts w:hint="eastAsia" w:ascii="宋体" w:hAnsi="宋体" w:eastAsia="方正楷体简体" w:cs="方正楷体简体"/>
          <w:color w:val="auto"/>
          <w:sz w:val="32"/>
          <w:szCs w:val="32"/>
          <w:highlight w:val="none"/>
          <w:lang w:val="en-US" w:eastAsia="zh-CN"/>
        </w:rPr>
        <w:t>10</w:t>
      </w:r>
      <w:r>
        <w:rPr>
          <w:rFonts w:hint="eastAsia" w:ascii="宋体" w:hAnsi="宋体" w:eastAsia="方正楷体简体" w:cs="方正楷体简体"/>
          <w:color w:val="auto"/>
          <w:sz w:val="32"/>
          <w:szCs w:val="32"/>
          <w:highlight w:val="none"/>
        </w:rPr>
        <w:t>月</w:t>
      </w:r>
      <w:r>
        <w:rPr>
          <w:rFonts w:hint="eastAsia" w:ascii="宋体" w:hAnsi="宋体" w:eastAsia="方正楷体简体" w:cs="方正楷体简体"/>
          <w:color w:val="auto"/>
          <w:sz w:val="32"/>
          <w:szCs w:val="32"/>
          <w:highlight w:val="none"/>
          <w:lang w:val="en-US" w:eastAsia="zh-CN"/>
        </w:rPr>
        <w:t>7</w:t>
      </w:r>
      <w:r>
        <w:rPr>
          <w:rFonts w:hint="eastAsia" w:ascii="宋体" w:hAnsi="宋体" w:eastAsia="方正楷体简体" w:cs="方正楷体简体"/>
          <w:color w:val="auto"/>
          <w:sz w:val="32"/>
          <w:szCs w:val="32"/>
          <w:highlight w:val="none"/>
        </w:rPr>
        <w:t>日</w:t>
      </w:r>
    </w:p>
    <w:p>
      <w:pPr>
        <w:pStyle w:val="13"/>
        <w:keepNext w:val="0"/>
        <w:keepLines w:val="0"/>
        <w:pageBreakBefore w:val="0"/>
        <w:shd w:val="clear"/>
        <w:tabs>
          <w:tab w:val="right" w:leader="dot" w:pos="8845"/>
          <w:tab w:val="clear" w:pos="8296"/>
        </w:tabs>
        <w:kinsoku/>
        <w:wordWrap/>
        <w:overflowPunct/>
        <w:topLinePunct w:val="0"/>
        <w:autoSpaceDE/>
        <w:autoSpaceDN/>
        <w:bidi w:val="0"/>
        <w:adjustRightInd/>
        <w:snapToGrid/>
        <w:spacing w:before="0" w:line="600" w:lineRule="exact"/>
        <w:textAlignment w:val="auto"/>
        <w:rPr>
          <w:color w:val="auto"/>
          <w:sz w:val="32"/>
          <w:szCs w:val="32"/>
          <w:highlight w:val="none"/>
        </w:rPr>
      </w:pP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before="0" w:line="600" w:lineRule="exact"/>
        <w:ind w:left="0" w:leftChars="0"/>
        <w:jc w:val="both"/>
        <w:textAlignment w:val="auto"/>
        <w:rPr>
          <w:rFonts w:hint="eastAsia" w:ascii="宋体" w:hAnsi="宋体" w:eastAsia="楷体_GB2312" w:cs="楷体_GB2312"/>
          <w:sz w:val="32"/>
          <w:szCs w:val="32"/>
        </w:rPr>
      </w:pPr>
      <w:r>
        <w:rPr>
          <w:rFonts w:hint="eastAsia" w:ascii="宋体" w:hAnsi="宋体" w:eastAsia="楷体_GB2312" w:cs="楷体_GB2312"/>
          <w:color w:val="auto"/>
          <w:sz w:val="32"/>
          <w:szCs w:val="32"/>
          <w:highlight w:val="none"/>
        </w:rPr>
        <w:fldChar w:fldCharType="begin"/>
      </w:r>
      <w:r>
        <w:rPr>
          <w:rFonts w:hint="eastAsia" w:ascii="宋体" w:hAnsi="宋体" w:eastAsia="楷体_GB2312" w:cs="楷体_GB2312"/>
          <w:color w:val="auto"/>
          <w:sz w:val="32"/>
          <w:szCs w:val="32"/>
          <w:highlight w:val="none"/>
        </w:rPr>
        <w:instrText xml:space="preserve">TOC \o "1-2" \h \u </w:instrText>
      </w:r>
      <w:r>
        <w:rPr>
          <w:rFonts w:hint="eastAsia" w:ascii="宋体" w:hAnsi="宋体" w:eastAsia="楷体_GB2312" w:cs="楷体_GB2312"/>
          <w:color w:val="auto"/>
          <w:sz w:val="32"/>
          <w:szCs w:val="32"/>
          <w:highlight w:val="none"/>
        </w:rPr>
        <w:fldChar w:fldCharType="separate"/>
      </w:r>
      <w:r>
        <w:rPr>
          <w:rFonts w:hint="eastAsia" w:ascii="宋体" w:hAnsi="宋体" w:eastAsia="楷体_GB2312" w:cs="楷体_GB2312"/>
          <w:b/>
          <w:bCs/>
          <w:color w:val="auto"/>
          <w:sz w:val="32"/>
          <w:szCs w:val="32"/>
          <w:highlight w:val="none"/>
        </w:rPr>
        <w:fldChar w:fldCharType="begin"/>
      </w:r>
      <w:r>
        <w:rPr>
          <w:rFonts w:hint="eastAsia" w:ascii="宋体" w:hAnsi="宋体" w:eastAsia="楷体_GB2312" w:cs="楷体_GB2312"/>
          <w:b/>
          <w:bCs/>
          <w:sz w:val="32"/>
          <w:szCs w:val="32"/>
          <w:highlight w:val="none"/>
        </w:rPr>
        <w:instrText xml:space="preserve"> HYPERLINK \l _Toc21307 </w:instrText>
      </w:r>
      <w:r>
        <w:rPr>
          <w:rFonts w:hint="eastAsia" w:ascii="宋体" w:hAnsi="宋体" w:eastAsia="楷体_GB2312" w:cs="楷体_GB2312"/>
          <w:b/>
          <w:bCs/>
          <w:sz w:val="32"/>
          <w:szCs w:val="32"/>
          <w:highlight w:val="none"/>
        </w:rPr>
        <w:fldChar w:fldCharType="separate"/>
      </w:r>
      <w:r>
        <w:rPr>
          <w:rFonts w:hint="eastAsia" w:ascii="宋体" w:hAnsi="宋体" w:eastAsia="楷体_GB2312" w:cs="楷体_GB2312"/>
          <w:b/>
          <w:bCs/>
          <w:sz w:val="32"/>
          <w:szCs w:val="32"/>
          <w:highlight w:val="none"/>
        </w:rPr>
        <w:t xml:space="preserve">第一部分 </w:t>
      </w:r>
      <w:r>
        <w:rPr>
          <w:rFonts w:hint="eastAsia" w:ascii="宋体" w:hAnsi="宋体" w:eastAsia="楷体_GB2312" w:cs="楷体_GB2312"/>
          <w:b/>
          <w:bCs/>
          <w:sz w:val="32"/>
          <w:szCs w:val="32"/>
          <w:highlight w:val="none"/>
          <w:lang w:val="en-US" w:eastAsia="zh-CN"/>
        </w:rPr>
        <w:t xml:space="preserve"> </w:t>
      </w:r>
      <w:r>
        <w:rPr>
          <w:rFonts w:hint="eastAsia" w:ascii="宋体" w:hAnsi="宋体" w:eastAsia="楷体_GB2312" w:cs="楷体_GB2312"/>
          <w:b/>
          <w:bCs/>
          <w:sz w:val="32"/>
          <w:szCs w:val="32"/>
          <w:highlight w:val="none"/>
        </w:rPr>
        <w:t>部门概况</w:t>
      </w:r>
      <w:r>
        <w:rPr>
          <w:rFonts w:hint="eastAsia" w:ascii="宋体" w:hAnsi="宋体" w:eastAsia="楷体_GB2312" w:cs="楷体_GB2312"/>
          <w:b/>
          <w:bCs/>
          <w:sz w:val="32"/>
          <w:szCs w:val="32"/>
        </w:rPr>
        <w:tab/>
      </w:r>
      <w:r>
        <w:rPr>
          <w:rFonts w:hint="eastAsia" w:ascii="宋体" w:hAnsi="宋体" w:eastAsia="楷体_GB2312" w:cs="楷体_GB2312"/>
          <w:b w:val="0"/>
          <w:bCs w:val="0"/>
          <w:sz w:val="32"/>
          <w:szCs w:val="32"/>
        </w:rPr>
        <w:fldChar w:fldCharType="begin"/>
      </w:r>
      <w:r>
        <w:rPr>
          <w:rFonts w:hint="eastAsia" w:ascii="宋体" w:hAnsi="宋体" w:eastAsia="楷体_GB2312" w:cs="楷体_GB2312"/>
          <w:b w:val="0"/>
          <w:bCs w:val="0"/>
          <w:sz w:val="32"/>
          <w:szCs w:val="32"/>
        </w:rPr>
        <w:instrText xml:space="preserve"> PAGEREF _Toc21307 \h </w:instrText>
      </w:r>
      <w:r>
        <w:rPr>
          <w:rFonts w:hint="eastAsia" w:ascii="宋体" w:hAnsi="宋体" w:eastAsia="楷体_GB2312" w:cs="楷体_GB2312"/>
          <w:b w:val="0"/>
          <w:bCs w:val="0"/>
          <w:sz w:val="32"/>
          <w:szCs w:val="32"/>
        </w:rPr>
        <w:fldChar w:fldCharType="separate"/>
      </w:r>
      <w:r>
        <w:rPr>
          <w:rFonts w:hint="eastAsia" w:ascii="宋体" w:hAnsi="宋体" w:eastAsia="楷体_GB2312" w:cs="楷体_GB2312"/>
          <w:b w:val="0"/>
          <w:bCs w:val="0"/>
          <w:sz w:val="32"/>
          <w:szCs w:val="32"/>
        </w:rPr>
        <w:t>1</w:t>
      </w:r>
      <w:r>
        <w:rPr>
          <w:rFonts w:hint="eastAsia" w:ascii="宋体" w:hAnsi="宋体" w:eastAsia="楷体_GB2312" w:cs="楷体_GB2312"/>
          <w:b w:val="0"/>
          <w:bCs w:val="0"/>
          <w:sz w:val="32"/>
          <w:szCs w:val="32"/>
        </w:rPr>
        <w:fldChar w:fldCharType="end"/>
      </w:r>
      <w:r>
        <w:rPr>
          <w:rFonts w:hint="eastAsia" w:ascii="宋体" w:hAnsi="宋体" w:eastAsia="楷体_GB2312" w:cs="楷体_GB2312"/>
          <w:b/>
          <w:bCs/>
          <w:color w:val="auto"/>
          <w:sz w:val="32"/>
          <w:szCs w:val="32"/>
          <w:highlight w:val="none"/>
        </w:rPr>
        <w:fldChar w:fldCharType="end"/>
      </w:r>
    </w:p>
    <w:p>
      <w:pPr>
        <w:pStyle w:val="15"/>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600" w:lineRule="exact"/>
        <w:ind w:left="0" w:leftChars="0"/>
        <w:jc w:val="both"/>
        <w:textAlignment w:val="auto"/>
        <w:rPr>
          <w:rFonts w:hint="eastAsia" w:ascii="宋体" w:hAnsi="宋体" w:eastAsia="楷体_GB2312" w:cs="楷体_GB2312"/>
          <w:sz w:val="32"/>
          <w:szCs w:val="32"/>
        </w:rPr>
      </w:pPr>
      <w:r>
        <w:rPr>
          <w:rFonts w:hint="eastAsia" w:ascii="宋体" w:hAnsi="宋体" w:eastAsia="楷体_GB2312" w:cs="楷体_GB2312"/>
          <w:color w:val="auto"/>
          <w:sz w:val="32"/>
          <w:szCs w:val="32"/>
          <w:highlight w:val="none"/>
        </w:rPr>
        <w:fldChar w:fldCharType="begin"/>
      </w:r>
      <w:r>
        <w:rPr>
          <w:rFonts w:hint="eastAsia" w:ascii="宋体" w:hAnsi="宋体" w:eastAsia="楷体_GB2312" w:cs="楷体_GB2312"/>
          <w:sz w:val="32"/>
          <w:szCs w:val="32"/>
          <w:highlight w:val="none"/>
        </w:rPr>
        <w:instrText xml:space="preserve"> HYPERLINK \l _Toc26749 </w:instrText>
      </w:r>
      <w:r>
        <w:rPr>
          <w:rFonts w:hint="eastAsia" w:ascii="宋体" w:hAnsi="宋体" w:eastAsia="楷体_GB2312" w:cs="楷体_GB2312"/>
          <w:sz w:val="32"/>
          <w:szCs w:val="32"/>
          <w:highlight w:val="none"/>
        </w:rPr>
        <w:fldChar w:fldCharType="separate"/>
      </w:r>
      <w:r>
        <w:rPr>
          <w:rFonts w:hint="eastAsia" w:ascii="宋体" w:hAnsi="宋体" w:eastAsia="楷体_GB2312" w:cs="楷体_GB2312"/>
          <w:sz w:val="32"/>
          <w:szCs w:val="32"/>
          <w:highlight w:val="none"/>
          <w:lang w:eastAsia="zh-CN"/>
        </w:rPr>
        <w:t>一、部门职责</w:t>
      </w:r>
      <w:r>
        <w:rPr>
          <w:rFonts w:hint="eastAsia" w:ascii="宋体" w:hAnsi="宋体" w:eastAsia="楷体_GB2312" w:cs="楷体_GB2312"/>
          <w:sz w:val="32"/>
          <w:szCs w:val="32"/>
        </w:rPr>
        <w:tab/>
      </w:r>
      <w:r>
        <w:rPr>
          <w:rFonts w:hint="eastAsia" w:ascii="宋体" w:hAnsi="宋体" w:eastAsia="楷体_GB2312" w:cs="楷体_GB2312"/>
          <w:sz w:val="32"/>
          <w:szCs w:val="32"/>
        </w:rPr>
        <w:fldChar w:fldCharType="begin"/>
      </w:r>
      <w:r>
        <w:rPr>
          <w:rFonts w:hint="eastAsia" w:ascii="宋体" w:hAnsi="宋体" w:eastAsia="楷体_GB2312" w:cs="楷体_GB2312"/>
          <w:sz w:val="32"/>
          <w:szCs w:val="32"/>
        </w:rPr>
        <w:instrText xml:space="preserve"> PAGEREF _Toc26749 \h </w:instrText>
      </w:r>
      <w:r>
        <w:rPr>
          <w:rFonts w:hint="eastAsia" w:ascii="宋体" w:hAnsi="宋体" w:eastAsia="楷体_GB2312" w:cs="楷体_GB2312"/>
          <w:sz w:val="32"/>
          <w:szCs w:val="32"/>
        </w:rPr>
        <w:fldChar w:fldCharType="separate"/>
      </w:r>
      <w:r>
        <w:rPr>
          <w:rFonts w:hint="eastAsia" w:ascii="宋体" w:hAnsi="宋体" w:eastAsia="楷体_GB2312" w:cs="楷体_GB2312"/>
          <w:sz w:val="32"/>
          <w:szCs w:val="32"/>
        </w:rPr>
        <w:t>1</w:t>
      </w:r>
      <w:r>
        <w:rPr>
          <w:rFonts w:hint="eastAsia" w:ascii="宋体" w:hAnsi="宋体" w:eastAsia="楷体_GB2312" w:cs="楷体_GB2312"/>
          <w:sz w:val="32"/>
          <w:szCs w:val="32"/>
        </w:rPr>
        <w:fldChar w:fldCharType="end"/>
      </w:r>
      <w:r>
        <w:rPr>
          <w:rFonts w:hint="eastAsia" w:ascii="宋体" w:hAnsi="宋体" w:eastAsia="楷体_GB2312" w:cs="楷体_GB2312"/>
          <w:color w:val="auto"/>
          <w:sz w:val="32"/>
          <w:szCs w:val="32"/>
          <w:highlight w:val="none"/>
        </w:rPr>
        <w:fldChar w:fldCharType="end"/>
      </w:r>
    </w:p>
    <w:p>
      <w:pPr>
        <w:pStyle w:val="15"/>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600" w:lineRule="exact"/>
        <w:ind w:left="0" w:leftChars="0"/>
        <w:jc w:val="both"/>
        <w:textAlignment w:val="auto"/>
        <w:rPr>
          <w:rFonts w:hint="eastAsia" w:ascii="宋体" w:hAnsi="宋体" w:eastAsia="楷体_GB2312" w:cs="楷体_GB2312"/>
          <w:sz w:val="32"/>
          <w:szCs w:val="32"/>
        </w:rPr>
      </w:pPr>
      <w:r>
        <w:rPr>
          <w:rFonts w:hint="eastAsia" w:ascii="宋体" w:hAnsi="宋体" w:eastAsia="楷体_GB2312" w:cs="楷体_GB2312"/>
          <w:color w:val="auto"/>
          <w:sz w:val="32"/>
          <w:szCs w:val="32"/>
          <w:highlight w:val="none"/>
        </w:rPr>
        <w:fldChar w:fldCharType="begin"/>
      </w:r>
      <w:r>
        <w:rPr>
          <w:rFonts w:hint="eastAsia" w:ascii="宋体" w:hAnsi="宋体" w:eastAsia="楷体_GB2312" w:cs="楷体_GB2312"/>
          <w:sz w:val="32"/>
          <w:szCs w:val="32"/>
          <w:highlight w:val="none"/>
        </w:rPr>
        <w:instrText xml:space="preserve"> HYPERLINK \l _Toc26345 </w:instrText>
      </w:r>
      <w:r>
        <w:rPr>
          <w:rFonts w:hint="eastAsia" w:ascii="宋体" w:hAnsi="宋体" w:eastAsia="楷体_GB2312" w:cs="楷体_GB2312"/>
          <w:sz w:val="32"/>
          <w:szCs w:val="32"/>
          <w:highlight w:val="none"/>
        </w:rPr>
        <w:fldChar w:fldCharType="separate"/>
      </w:r>
      <w:r>
        <w:rPr>
          <w:rFonts w:hint="eastAsia" w:ascii="宋体" w:hAnsi="宋体" w:eastAsia="楷体_GB2312" w:cs="楷体_GB2312"/>
          <w:sz w:val="32"/>
          <w:szCs w:val="32"/>
          <w:highlight w:val="none"/>
          <w:lang w:eastAsia="zh-CN"/>
        </w:rPr>
        <w:t>二、机构设置</w:t>
      </w:r>
      <w:r>
        <w:rPr>
          <w:rFonts w:hint="eastAsia" w:ascii="宋体" w:hAnsi="宋体" w:eastAsia="楷体_GB2312" w:cs="楷体_GB2312"/>
          <w:sz w:val="32"/>
          <w:szCs w:val="32"/>
        </w:rPr>
        <w:tab/>
      </w:r>
      <w:r>
        <w:rPr>
          <w:rFonts w:hint="eastAsia" w:ascii="宋体" w:hAnsi="宋体" w:eastAsia="楷体_GB2312" w:cs="楷体_GB2312"/>
          <w:sz w:val="32"/>
          <w:szCs w:val="32"/>
        </w:rPr>
        <w:fldChar w:fldCharType="begin"/>
      </w:r>
      <w:r>
        <w:rPr>
          <w:rFonts w:hint="eastAsia" w:ascii="宋体" w:hAnsi="宋体" w:eastAsia="楷体_GB2312" w:cs="楷体_GB2312"/>
          <w:sz w:val="32"/>
          <w:szCs w:val="32"/>
        </w:rPr>
        <w:instrText xml:space="preserve"> PAGEREF _Toc26345 \h </w:instrText>
      </w:r>
      <w:r>
        <w:rPr>
          <w:rFonts w:hint="eastAsia" w:ascii="宋体" w:hAnsi="宋体" w:eastAsia="楷体_GB2312" w:cs="楷体_GB2312"/>
          <w:sz w:val="32"/>
          <w:szCs w:val="32"/>
        </w:rPr>
        <w:fldChar w:fldCharType="separate"/>
      </w:r>
      <w:r>
        <w:rPr>
          <w:rFonts w:hint="eastAsia" w:ascii="宋体" w:hAnsi="宋体" w:eastAsia="楷体_GB2312" w:cs="楷体_GB2312"/>
          <w:sz w:val="32"/>
          <w:szCs w:val="32"/>
        </w:rPr>
        <w:t>3</w:t>
      </w:r>
      <w:r>
        <w:rPr>
          <w:rFonts w:hint="eastAsia" w:ascii="宋体" w:hAnsi="宋体" w:eastAsia="楷体_GB2312" w:cs="楷体_GB2312"/>
          <w:sz w:val="32"/>
          <w:szCs w:val="32"/>
        </w:rPr>
        <w:fldChar w:fldCharType="end"/>
      </w:r>
      <w:r>
        <w:rPr>
          <w:rFonts w:hint="eastAsia" w:ascii="宋体" w:hAnsi="宋体" w:eastAsia="楷体_GB2312" w:cs="楷体_GB2312"/>
          <w:color w:val="auto"/>
          <w:sz w:val="32"/>
          <w:szCs w:val="32"/>
          <w:highlight w:val="none"/>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before="0" w:line="600" w:lineRule="exact"/>
        <w:ind w:left="0" w:leftChars="0"/>
        <w:jc w:val="both"/>
        <w:textAlignment w:val="auto"/>
        <w:rPr>
          <w:rFonts w:hint="eastAsia" w:ascii="宋体" w:hAnsi="宋体" w:eastAsia="楷体_GB2312" w:cs="楷体_GB2312"/>
          <w:sz w:val="32"/>
          <w:szCs w:val="32"/>
        </w:rPr>
      </w:pPr>
      <w:r>
        <w:rPr>
          <w:rFonts w:hint="eastAsia" w:ascii="宋体" w:hAnsi="宋体" w:eastAsia="楷体_GB2312" w:cs="楷体_GB2312"/>
          <w:color w:val="auto"/>
          <w:sz w:val="32"/>
          <w:szCs w:val="32"/>
          <w:highlight w:val="none"/>
        </w:rPr>
        <w:fldChar w:fldCharType="begin"/>
      </w:r>
      <w:r>
        <w:rPr>
          <w:rFonts w:hint="eastAsia" w:ascii="宋体" w:hAnsi="宋体" w:eastAsia="楷体_GB2312" w:cs="楷体_GB2312"/>
          <w:sz w:val="32"/>
          <w:szCs w:val="32"/>
          <w:highlight w:val="none"/>
        </w:rPr>
        <w:instrText xml:space="preserve"> HYPERLINK \l _Toc31676 </w:instrText>
      </w:r>
      <w:r>
        <w:rPr>
          <w:rFonts w:hint="eastAsia" w:ascii="宋体" w:hAnsi="宋体" w:eastAsia="楷体_GB2312" w:cs="楷体_GB2312"/>
          <w:sz w:val="32"/>
          <w:szCs w:val="32"/>
          <w:highlight w:val="none"/>
        </w:rPr>
        <w:fldChar w:fldCharType="separate"/>
      </w:r>
      <w:r>
        <w:rPr>
          <w:rFonts w:hint="eastAsia" w:ascii="宋体" w:hAnsi="宋体" w:eastAsia="楷体_GB2312" w:cs="楷体_GB2312"/>
          <w:b/>
          <w:bCs/>
          <w:sz w:val="32"/>
          <w:szCs w:val="32"/>
          <w:highlight w:val="none"/>
          <w:lang w:eastAsia="zh-CN"/>
        </w:rPr>
        <w:t xml:space="preserve">第二部分 </w:t>
      </w:r>
      <w:r>
        <w:rPr>
          <w:rFonts w:hint="eastAsia" w:ascii="宋体" w:hAnsi="宋体" w:eastAsia="楷体_GB2312" w:cs="楷体_GB2312"/>
          <w:b/>
          <w:bCs/>
          <w:sz w:val="32"/>
          <w:szCs w:val="32"/>
          <w:highlight w:val="none"/>
          <w:lang w:val="en-US" w:eastAsia="zh-CN"/>
        </w:rPr>
        <w:t xml:space="preserve"> 2022年度</w:t>
      </w:r>
      <w:r>
        <w:rPr>
          <w:rFonts w:hint="eastAsia" w:ascii="宋体" w:hAnsi="宋体" w:eastAsia="楷体_GB2312" w:cs="楷体_GB2312"/>
          <w:b/>
          <w:bCs/>
          <w:sz w:val="32"/>
          <w:szCs w:val="32"/>
          <w:highlight w:val="none"/>
          <w:lang w:eastAsia="zh-CN"/>
        </w:rPr>
        <w:t>部门决算情况说明</w:t>
      </w:r>
      <w:r>
        <w:rPr>
          <w:rFonts w:hint="eastAsia" w:ascii="宋体" w:hAnsi="宋体" w:eastAsia="楷体_GB2312" w:cs="楷体_GB2312"/>
          <w:sz w:val="32"/>
          <w:szCs w:val="32"/>
        </w:rPr>
        <w:tab/>
      </w:r>
      <w:r>
        <w:rPr>
          <w:rFonts w:hint="eastAsia" w:ascii="宋体" w:hAnsi="宋体" w:eastAsia="楷体_GB2312" w:cs="楷体_GB2312"/>
          <w:sz w:val="32"/>
          <w:szCs w:val="32"/>
        </w:rPr>
        <w:fldChar w:fldCharType="begin"/>
      </w:r>
      <w:r>
        <w:rPr>
          <w:rFonts w:hint="eastAsia" w:ascii="宋体" w:hAnsi="宋体" w:eastAsia="楷体_GB2312" w:cs="楷体_GB2312"/>
          <w:sz w:val="32"/>
          <w:szCs w:val="32"/>
        </w:rPr>
        <w:instrText xml:space="preserve"> PAGEREF _Toc31676 \h </w:instrText>
      </w:r>
      <w:r>
        <w:rPr>
          <w:rFonts w:hint="eastAsia" w:ascii="宋体" w:hAnsi="宋体" w:eastAsia="楷体_GB2312" w:cs="楷体_GB2312"/>
          <w:sz w:val="32"/>
          <w:szCs w:val="32"/>
        </w:rPr>
        <w:fldChar w:fldCharType="separate"/>
      </w:r>
      <w:r>
        <w:rPr>
          <w:rFonts w:hint="eastAsia" w:ascii="宋体" w:hAnsi="宋体" w:eastAsia="楷体_GB2312" w:cs="楷体_GB2312"/>
          <w:sz w:val="32"/>
          <w:szCs w:val="32"/>
        </w:rPr>
        <w:t>4</w:t>
      </w:r>
      <w:r>
        <w:rPr>
          <w:rFonts w:hint="eastAsia" w:ascii="宋体" w:hAnsi="宋体" w:eastAsia="楷体_GB2312" w:cs="楷体_GB2312"/>
          <w:sz w:val="32"/>
          <w:szCs w:val="32"/>
        </w:rPr>
        <w:fldChar w:fldCharType="end"/>
      </w:r>
      <w:r>
        <w:rPr>
          <w:rFonts w:hint="eastAsia" w:ascii="宋体" w:hAnsi="宋体" w:eastAsia="楷体_GB2312" w:cs="楷体_GB2312"/>
          <w:color w:val="auto"/>
          <w:sz w:val="32"/>
          <w:szCs w:val="32"/>
          <w:highlight w:val="none"/>
        </w:rPr>
        <w:fldChar w:fldCharType="end"/>
      </w:r>
    </w:p>
    <w:p>
      <w:pPr>
        <w:pStyle w:val="15"/>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600" w:lineRule="exact"/>
        <w:ind w:left="0" w:leftChars="0"/>
        <w:jc w:val="both"/>
        <w:textAlignment w:val="auto"/>
        <w:rPr>
          <w:rFonts w:hint="eastAsia" w:ascii="宋体" w:hAnsi="宋体" w:eastAsia="楷体_GB2312" w:cs="楷体_GB2312"/>
          <w:sz w:val="32"/>
          <w:szCs w:val="32"/>
        </w:rPr>
      </w:pPr>
      <w:r>
        <w:rPr>
          <w:rFonts w:hint="eastAsia" w:ascii="宋体" w:hAnsi="宋体" w:eastAsia="楷体_GB2312" w:cs="楷体_GB2312"/>
          <w:color w:val="auto"/>
          <w:sz w:val="32"/>
          <w:szCs w:val="32"/>
          <w:highlight w:val="none"/>
        </w:rPr>
        <w:fldChar w:fldCharType="begin"/>
      </w:r>
      <w:r>
        <w:rPr>
          <w:rFonts w:hint="eastAsia" w:ascii="宋体" w:hAnsi="宋体" w:eastAsia="楷体_GB2312" w:cs="楷体_GB2312"/>
          <w:sz w:val="32"/>
          <w:szCs w:val="32"/>
          <w:highlight w:val="none"/>
        </w:rPr>
        <w:instrText xml:space="preserve"> HYPERLINK \l _Toc27887 </w:instrText>
      </w:r>
      <w:r>
        <w:rPr>
          <w:rFonts w:hint="eastAsia" w:ascii="宋体" w:hAnsi="宋体" w:eastAsia="楷体_GB2312" w:cs="楷体_GB2312"/>
          <w:sz w:val="32"/>
          <w:szCs w:val="32"/>
          <w:highlight w:val="none"/>
        </w:rPr>
        <w:fldChar w:fldCharType="separate"/>
      </w:r>
      <w:r>
        <w:rPr>
          <w:rFonts w:hint="eastAsia" w:ascii="宋体" w:hAnsi="宋体" w:eastAsia="楷体_GB2312" w:cs="楷体_GB2312"/>
          <w:sz w:val="32"/>
          <w:szCs w:val="32"/>
          <w:highlight w:val="none"/>
          <w:lang w:eastAsia="zh-CN"/>
        </w:rPr>
        <w:t>一、收入支出决算总体情况说明</w:t>
      </w:r>
      <w:r>
        <w:rPr>
          <w:rFonts w:hint="eastAsia" w:ascii="宋体" w:hAnsi="宋体" w:eastAsia="楷体_GB2312" w:cs="楷体_GB2312"/>
          <w:sz w:val="32"/>
          <w:szCs w:val="32"/>
        </w:rPr>
        <w:tab/>
      </w:r>
      <w:r>
        <w:rPr>
          <w:rFonts w:hint="eastAsia" w:ascii="宋体" w:hAnsi="宋体" w:eastAsia="楷体_GB2312" w:cs="楷体_GB2312"/>
          <w:sz w:val="32"/>
          <w:szCs w:val="32"/>
        </w:rPr>
        <w:fldChar w:fldCharType="begin"/>
      </w:r>
      <w:r>
        <w:rPr>
          <w:rFonts w:hint="eastAsia" w:ascii="宋体" w:hAnsi="宋体" w:eastAsia="楷体_GB2312" w:cs="楷体_GB2312"/>
          <w:sz w:val="32"/>
          <w:szCs w:val="32"/>
        </w:rPr>
        <w:instrText xml:space="preserve"> PAGEREF _Toc27887 \h </w:instrText>
      </w:r>
      <w:r>
        <w:rPr>
          <w:rFonts w:hint="eastAsia" w:ascii="宋体" w:hAnsi="宋体" w:eastAsia="楷体_GB2312" w:cs="楷体_GB2312"/>
          <w:sz w:val="32"/>
          <w:szCs w:val="32"/>
        </w:rPr>
        <w:fldChar w:fldCharType="separate"/>
      </w:r>
      <w:r>
        <w:rPr>
          <w:rFonts w:hint="eastAsia" w:ascii="宋体" w:hAnsi="宋体" w:eastAsia="楷体_GB2312" w:cs="楷体_GB2312"/>
          <w:sz w:val="32"/>
          <w:szCs w:val="32"/>
        </w:rPr>
        <w:t>4</w:t>
      </w:r>
      <w:r>
        <w:rPr>
          <w:rFonts w:hint="eastAsia" w:ascii="宋体" w:hAnsi="宋体" w:eastAsia="楷体_GB2312" w:cs="楷体_GB2312"/>
          <w:sz w:val="32"/>
          <w:szCs w:val="32"/>
        </w:rPr>
        <w:fldChar w:fldCharType="end"/>
      </w:r>
      <w:r>
        <w:rPr>
          <w:rFonts w:hint="eastAsia" w:ascii="宋体" w:hAnsi="宋体" w:eastAsia="楷体_GB2312" w:cs="楷体_GB2312"/>
          <w:color w:val="auto"/>
          <w:sz w:val="32"/>
          <w:szCs w:val="32"/>
          <w:highlight w:val="none"/>
        </w:rPr>
        <w:fldChar w:fldCharType="end"/>
      </w:r>
    </w:p>
    <w:p>
      <w:pPr>
        <w:pStyle w:val="15"/>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600" w:lineRule="exact"/>
        <w:ind w:left="0" w:leftChars="0"/>
        <w:jc w:val="both"/>
        <w:textAlignment w:val="auto"/>
        <w:rPr>
          <w:rFonts w:hint="eastAsia" w:ascii="宋体" w:hAnsi="宋体" w:eastAsia="楷体_GB2312" w:cs="楷体_GB2312"/>
          <w:sz w:val="32"/>
          <w:szCs w:val="32"/>
        </w:rPr>
      </w:pPr>
      <w:r>
        <w:rPr>
          <w:rFonts w:hint="eastAsia" w:ascii="宋体" w:hAnsi="宋体" w:eastAsia="楷体_GB2312" w:cs="楷体_GB2312"/>
          <w:color w:val="auto"/>
          <w:sz w:val="32"/>
          <w:szCs w:val="32"/>
          <w:highlight w:val="none"/>
        </w:rPr>
        <w:fldChar w:fldCharType="begin"/>
      </w:r>
      <w:r>
        <w:rPr>
          <w:rFonts w:hint="eastAsia" w:ascii="宋体" w:hAnsi="宋体" w:eastAsia="楷体_GB2312" w:cs="楷体_GB2312"/>
          <w:sz w:val="32"/>
          <w:szCs w:val="32"/>
          <w:highlight w:val="none"/>
        </w:rPr>
        <w:instrText xml:space="preserve"> HYPERLINK \l _Toc10887 </w:instrText>
      </w:r>
      <w:r>
        <w:rPr>
          <w:rFonts w:hint="eastAsia" w:ascii="宋体" w:hAnsi="宋体" w:eastAsia="楷体_GB2312" w:cs="楷体_GB2312"/>
          <w:sz w:val="32"/>
          <w:szCs w:val="32"/>
          <w:highlight w:val="none"/>
        </w:rPr>
        <w:fldChar w:fldCharType="separate"/>
      </w:r>
      <w:r>
        <w:rPr>
          <w:rFonts w:hint="eastAsia" w:ascii="宋体" w:hAnsi="宋体" w:eastAsia="楷体_GB2312" w:cs="楷体_GB2312"/>
          <w:sz w:val="32"/>
          <w:szCs w:val="32"/>
          <w:highlight w:val="none"/>
          <w:lang w:eastAsia="zh-CN"/>
        </w:rPr>
        <w:t>二、收入决算情况说明</w:t>
      </w:r>
      <w:r>
        <w:rPr>
          <w:rFonts w:hint="eastAsia" w:ascii="宋体" w:hAnsi="宋体" w:eastAsia="楷体_GB2312" w:cs="楷体_GB2312"/>
          <w:sz w:val="32"/>
          <w:szCs w:val="32"/>
        </w:rPr>
        <w:tab/>
      </w:r>
      <w:r>
        <w:rPr>
          <w:rFonts w:hint="eastAsia" w:ascii="宋体" w:hAnsi="宋体" w:eastAsia="楷体_GB2312" w:cs="楷体_GB2312"/>
          <w:sz w:val="32"/>
          <w:szCs w:val="32"/>
        </w:rPr>
        <w:fldChar w:fldCharType="begin"/>
      </w:r>
      <w:r>
        <w:rPr>
          <w:rFonts w:hint="eastAsia" w:ascii="宋体" w:hAnsi="宋体" w:eastAsia="楷体_GB2312" w:cs="楷体_GB2312"/>
          <w:sz w:val="32"/>
          <w:szCs w:val="32"/>
        </w:rPr>
        <w:instrText xml:space="preserve"> PAGEREF _Toc10887 \h </w:instrText>
      </w:r>
      <w:r>
        <w:rPr>
          <w:rFonts w:hint="eastAsia" w:ascii="宋体" w:hAnsi="宋体" w:eastAsia="楷体_GB2312" w:cs="楷体_GB2312"/>
          <w:sz w:val="32"/>
          <w:szCs w:val="32"/>
        </w:rPr>
        <w:fldChar w:fldCharType="separate"/>
      </w:r>
      <w:r>
        <w:rPr>
          <w:rFonts w:hint="eastAsia" w:ascii="宋体" w:hAnsi="宋体" w:eastAsia="楷体_GB2312" w:cs="楷体_GB2312"/>
          <w:sz w:val="32"/>
          <w:szCs w:val="32"/>
        </w:rPr>
        <w:t>4</w:t>
      </w:r>
      <w:r>
        <w:rPr>
          <w:rFonts w:hint="eastAsia" w:ascii="宋体" w:hAnsi="宋体" w:eastAsia="楷体_GB2312" w:cs="楷体_GB2312"/>
          <w:sz w:val="32"/>
          <w:szCs w:val="32"/>
        </w:rPr>
        <w:fldChar w:fldCharType="end"/>
      </w:r>
      <w:r>
        <w:rPr>
          <w:rFonts w:hint="eastAsia" w:ascii="宋体" w:hAnsi="宋体" w:eastAsia="楷体_GB2312" w:cs="楷体_GB2312"/>
          <w:color w:val="auto"/>
          <w:sz w:val="32"/>
          <w:szCs w:val="32"/>
          <w:highlight w:val="none"/>
        </w:rPr>
        <w:fldChar w:fldCharType="end"/>
      </w:r>
    </w:p>
    <w:p>
      <w:pPr>
        <w:pStyle w:val="15"/>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600" w:lineRule="exact"/>
        <w:ind w:left="0" w:leftChars="0"/>
        <w:jc w:val="both"/>
        <w:textAlignment w:val="auto"/>
        <w:rPr>
          <w:rFonts w:hint="eastAsia" w:ascii="宋体" w:hAnsi="宋体" w:eastAsia="楷体_GB2312" w:cs="楷体_GB2312"/>
          <w:sz w:val="32"/>
          <w:szCs w:val="32"/>
        </w:rPr>
      </w:pPr>
      <w:r>
        <w:rPr>
          <w:rFonts w:hint="eastAsia" w:ascii="宋体" w:hAnsi="宋体" w:eastAsia="楷体_GB2312" w:cs="楷体_GB2312"/>
          <w:color w:val="auto"/>
          <w:sz w:val="32"/>
          <w:szCs w:val="32"/>
          <w:highlight w:val="none"/>
        </w:rPr>
        <w:fldChar w:fldCharType="begin"/>
      </w:r>
      <w:r>
        <w:rPr>
          <w:rFonts w:hint="eastAsia" w:ascii="宋体" w:hAnsi="宋体" w:eastAsia="楷体_GB2312" w:cs="楷体_GB2312"/>
          <w:sz w:val="32"/>
          <w:szCs w:val="32"/>
          <w:highlight w:val="none"/>
        </w:rPr>
        <w:instrText xml:space="preserve"> HYPERLINK \l _Toc7579 </w:instrText>
      </w:r>
      <w:r>
        <w:rPr>
          <w:rFonts w:hint="eastAsia" w:ascii="宋体" w:hAnsi="宋体" w:eastAsia="楷体_GB2312" w:cs="楷体_GB2312"/>
          <w:sz w:val="32"/>
          <w:szCs w:val="32"/>
          <w:highlight w:val="none"/>
        </w:rPr>
        <w:fldChar w:fldCharType="separate"/>
      </w:r>
      <w:r>
        <w:rPr>
          <w:rFonts w:hint="eastAsia" w:ascii="宋体" w:hAnsi="宋体" w:eastAsia="楷体_GB2312" w:cs="楷体_GB2312"/>
          <w:sz w:val="32"/>
          <w:szCs w:val="32"/>
          <w:highlight w:val="none"/>
          <w:lang w:eastAsia="zh-CN"/>
        </w:rPr>
        <w:t>三、支出决算情况说明</w:t>
      </w:r>
      <w:r>
        <w:rPr>
          <w:rFonts w:hint="eastAsia" w:ascii="宋体" w:hAnsi="宋体" w:eastAsia="楷体_GB2312" w:cs="楷体_GB2312"/>
          <w:sz w:val="32"/>
          <w:szCs w:val="32"/>
        </w:rPr>
        <w:tab/>
      </w:r>
      <w:r>
        <w:rPr>
          <w:rFonts w:hint="eastAsia" w:ascii="宋体" w:hAnsi="宋体" w:eastAsia="楷体_GB2312" w:cs="楷体_GB2312"/>
          <w:sz w:val="32"/>
          <w:szCs w:val="32"/>
        </w:rPr>
        <w:fldChar w:fldCharType="begin"/>
      </w:r>
      <w:r>
        <w:rPr>
          <w:rFonts w:hint="eastAsia" w:ascii="宋体" w:hAnsi="宋体" w:eastAsia="楷体_GB2312" w:cs="楷体_GB2312"/>
          <w:sz w:val="32"/>
          <w:szCs w:val="32"/>
        </w:rPr>
        <w:instrText xml:space="preserve"> PAGEREF _Toc7579 \h </w:instrText>
      </w:r>
      <w:r>
        <w:rPr>
          <w:rFonts w:hint="eastAsia" w:ascii="宋体" w:hAnsi="宋体" w:eastAsia="楷体_GB2312" w:cs="楷体_GB2312"/>
          <w:sz w:val="32"/>
          <w:szCs w:val="32"/>
        </w:rPr>
        <w:fldChar w:fldCharType="separate"/>
      </w:r>
      <w:r>
        <w:rPr>
          <w:rFonts w:hint="eastAsia" w:ascii="宋体" w:hAnsi="宋体" w:eastAsia="楷体_GB2312" w:cs="楷体_GB2312"/>
          <w:sz w:val="32"/>
          <w:szCs w:val="32"/>
        </w:rPr>
        <w:t>5</w:t>
      </w:r>
      <w:r>
        <w:rPr>
          <w:rFonts w:hint="eastAsia" w:ascii="宋体" w:hAnsi="宋体" w:eastAsia="楷体_GB2312" w:cs="楷体_GB2312"/>
          <w:sz w:val="32"/>
          <w:szCs w:val="32"/>
        </w:rPr>
        <w:fldChar w:fldCharType="end"/>
      </w:r>
      <w:r>
        <w:rPr>
          <w:rFonts w:hint="eastAsia" w:ascii="宋体" w:hAnsi="宋体" w:eastAsia="楷体_GB2312" w:cs="楷体_GB2312"/>
          <w:color w:val="auto"/>
          <w:sz w:val="32"/>
          <w:szCs w:val="32"/>
          <w:highlight w:val="none"/>
        </w:rPr>
        <w:fldChar w:fldCharType="end"/>
      </w:r>
    </w:p>
    <w:p>
      <w:pPr>
        <w:pStyle w:val="15"/>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600" w:lineRule="exact"/>
        <w:ind w:left="0" w:leftChars="0"/>
        <w:jc w:val="both"/>
        <w:textAlignment w:val="auto"/>
        <w:rPr>
          <w:rFonts w:hint="eastAsia" w:ascii="宋体" w:hAnsi="宋体" w:eastAsia="楷体_GB2312" w:cs="楷体_GB2312"/>
          <w:sz w:val="32"/>
          <w:szCs w:val="32"/>
        </w:rPr>
      </w:pPr>
      <w:r>
        <w:rPr>
          <w:rFonts w:hint="eastAsia" w:ascii="宋体" w:hAnsi="宋体" w:eastAsia="楷体_GB2312" w:cs="楷体_GB2312"/>
          <w:color w:val="auto"/>
          <w:sz w:val="32"/>
          <w:szCs w:val="32"/>
          <w:highlight w:val="none"/>
        </w:rPr>
        <w:fldChar w:fldCharType="begin"/>
      </w:r>
      <w:r>
        <w:rPr>
          <w:rFonts w:hint="eastAsia" w:ascii="宋体" w:hAnsi="宋体" w:eastAsia="楷体_GB2312" w:cs="楷体_GB2312"/>
          <w:sz w:val="32"/>
          <w:szCs w:val="32"/>
          <w:highlight w:val="none"/>
        </w:rPr>
        <w:instrText xml:space="preserve"> HYPERLINK \l _Toc25208 </w:instrText>
      </w:r>
      <w:r>
        <w:rPr>
          <w:rFonts w:hint="eastAsia" w:ascii="宋体" w:hAnsi="宋体" w:eastAsia="楷体_GB2312" w:cs="楷体_GB2312"/>
          <w:sz w:val="32"/>
          <w:szCs w:val="32"/>
          <w:highlight w:val="none"/>
        </w:rPr>
        <w:fldChar w:fldCharType="separate"/>
      </w:r>
      <w:r>
        <w:rPr>
          <w:rFonts w:hint="eastAsia" w:ascii="宋体" w:hAnsi="宋体" w:eastAsia="楷体_GB2312" w:cs="楷体_GB2312"/>
          <w:sz w:val="32"/>
          <w:szCs w:val="32"/>
          <w:highlight w:val="none"/>
          <w:lang w:eastAsia="zh-CN"/>
        </w:rPr>
        <w:t>四、财政拨款收入支出决算总体情况说明</w:t>
      </w:r>
      <w:r>
        <w:rPr>
          <w:rFonts w:hint="eastAsia" w:ascii="宋体" w:hAnsi="宋体" w:eastAsia="楷体_GB2312" w:cs="楷体_GB2312"/>
          <w:sz w:val="32"/>
          <w:szCs w:val="32"/>
        </w:rPr>
        <w:tab/>
      </w:r>
      <w:r>
        <w:rPr>
          <w:rFonts w:hint="eastAsia" w:ascii="宋体" w:hAnsi="宋体" w:eastAsia="楷体_GB2312" w:cs="楷体_GB2312"/>
          <w:sz w:val="32"/>
          <w:szCs w:val="32"/>
        </w:rPr>
        <w:fldChar w:fldCharType="begin"/>
      </w:r>
      <w:r>
        <w:rPr>
          <w:rFonts w:hint="eastAsia" w:ascii="宋体" w:hAnsi="宋体" w:eastAsia="楷体_GB2312" w:cs="楷体_GB2312"/>
          <w:sz w:val="32"/>
          <w:szCs w:val="32"/>
        </w:rPr>
        <w:instrText xml:space="preserve"> PAGEREF _Toc25208 \h </w:instrText>
      </w:r>
      <w:r>
        <w:rPr>
          <w:rFonts w:hint="eastAsia" w:ascii="宋体" w:hAnsi="宋体" w:eastAsia="楷体_GB2312" w:cs="楷体_GB2312"/>
          <w:sz w:val="32"/>
          <w:szCs w:val="32"/>
        </w:rPr>
        <w:fldChar w:fldCharType="separate"/>
      </w:r>
      <w:r>
        <w:rPr>
          <w:rFonts w:hint="eastAsia" w:ascii="宋体" w:hAnsi="宋体" w:eastAsia="楷体_GB2312" w:cs="楷体_GB2312"/>
          <w:sz w:val="32"/>
          <w:szCs w:val="32"/>
        </w:rPr>
        <w:t>6</w:t>
      </w:r>
      <w:r>
        <w:rPr>
          <w:rFonts w:hint="eastAsia" w:ascii="宋体" w:hAnsi="宋体" w:eastAsia="楷体_GB2312" w:cs="楷体_GB2312"/>
          <w:sz w:val="32"/>
          <w:szCs w:val="32"/>
        </w:rPr>
        <w:fldChar w:fldCharType="end"/>
      </w:r>
      <w:r>
        <w:rPr>
          <w:rFonts w:hint="eastAsia" w:ascii="宋体" w:hAnsi="宋体" w:eastAsia="楷体_GB2312" w:cs="楷体_GB2312"/>
          <w:color w:val="auto"/>
          <w:sz w:val="32"/>
          <w:szCs w:val="32"/>
          <w:highlight w:val="none"/>
        </w:rPr>
        <w:fldChar w:fldCharType="end"/>
      </w:r>
    </w:p>
    <w:p>
      <w:pPr>
        <w:pStyle w:val="15"/>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600" w:lineRule="exact"/>
        <w:ind w:left="0" w:leftChars="0"/>
        <w:jc w:val="both"/>
        <w:textAlignment w:val="auto"/>
        <w:rPr>
          <w:rFonts w:hint="eastAsia" w:ascii="宋体" w:hAnsi="宋体" w:eastAsia="楷体_GB2312" w:cs="楷体_GB2312"/>
          <w:sz w:val="32"/>
          <w:szCs w:val="32"/>
        </w:rPr>
      </w:pPr>
      <w:r>
        <w:rPr>
          <w:rFonts w:hint="eastAsia" w:ascii="宋体" w:hAnsi="宋体" w:eastAsia="楷体_GB2312" w:cs="楷体_GB2312"/>
          <w:color w:val="auto"/>
          <w:sz w:val="32"/>
          <w:szCs w:val="32"/>
          <w:highlight w:val="none"/>
        </w:rPr>
        <w:fldChar w:fldCharType="begin"/>
      </w:r>
      <w:r>
        <w:rPr>
          <w:rFonts w:hint="eastAsia" w:ascii="宋体" w:hAnsi="宋体" w:eastAsia="楷体_GB2312" w:cs="楷体_GB2312"/>
          <w:sz w:val="32"/>
          <w:szCs w:val="32"/>
          <w:highlight w:val="none"/>
        </w:rPr>
        <w:instrText xml:space="preserve"> HYPERLINK \l _Toc5252 </w:instrText>
      </w:r>
      <w:r>
        <w:rPr>
          <w:rFonts w:hint="eastAsia" w:ascii="宋体" w:hAnsi="宋体" w:eastAsia="楷体_GB2312" w:cs="楷体_GB2312"/>
          <w:sz w:val="32"/>
          <w:szCs w:val="32"/>
          <w:highlight w:val="none"/>
        </w:rPr>
        <w:fldChar w:fldCharType="separate"/>
      </w:r>
      <w:r>
        <w:rPr>
          <w:rFonts w:hint="eastAsia" w:ascii="宋体" w:hAnsi="宋体" w:eastAsia="楷体_GB2312" w:cs="楷体_GB2312"/>
          <w:sz w:val="32"/>
          <w:szCs w:val="32"/>
          <w:highlight w:val="none"/>
          <w:lang w:eastAsia="zh-CN"/>
        </w:rPr>
        <w:t>五、一般公共预算财政拨款支出决算情况说明</w:t>
      </w:r>
      <w:r>
        <w:rPr>
          <w:rFonts w:hint="eastAsia" w:ascii="宋体" w:hAnsi="宋体" w:eastAsia="楷体_GB2312" w:cs="楷体_GB2312"/>
          <w:sz w:val="32"/>
          <w:szCs w:val="32"/>
        </w:rPr>
        <w:tab/>
      </w:r>
      <w:r>
        <w:rPr>
          <w:rFonts w:hint="eastAsia" w:ascii="宋体" w:hAnsi="宋体" w:eastAsia="楷体_GB2312" w:cs="楷体_GB2312"/>
          <w:sz w:val="32"/>
          <w:szCs w:val="32"/>
        </w:rPr>
        <w:fldChar w:fldCharType="begin"/>
      </w:r>
      <w:r>
        <w:rPr>
          <w:rFonts w:hint="eastAsia" w:ascii="宋体" w:hAnsi="宋体" w:eastAsia="楷体_GB2312" w:cs="楷体_GB2312"/>
          <w:sz w:val="32"/>
          <w:szCs w:val="32"/>
        </w:rPr>
        <w:instrText xml:space="preserve"> PAGEREF _Toc5252 \h </w:instrText>
      </w:r>
      <w:r>
        <w:rPr>
          <w:rFonts w:hint="eastAsia" w:ascii="宋体" w:hAnsi="宋体" w:eastAsia="楷体_GB2312" w:cs="楷体_GB2312"/>
          <w:sz w:val="32"/>
          <w:szCs w:val="32"/>
        </w:rPr>
        <w:fldChar w:fldCharType="separate"/>
      </w:r>
      <w:r>
        <w:rPr>
          <w:rFonts w:hint="eastAsia" w:ascii="宋体" w:hAnsi="宋体" w:eastAsia="楷体_GB2312" w:cs="楷体_GB2312"/>
          <w:sz w:val="32"/>
          <w:szCs w:val="32"/>
        </w:rPr>
        <w:t>6</w:t>
      </w:r>
      <w:r>
        <w:rPr>
          <w:rFonts w:hint="eastAsia" w:ascii="宋体" w:hAnsi="宋体" w:eastAsia="楷体_GB2312" w:cs="楷体_GB2312"/>
          <w:sz w:val="32"/>
          <w:szCs w:val="32"/>
        </w:rPr>
        <w:fldChar w:fldCharType="end"/>
      </w:r>
      <w:r>
        <w:rPr>
          <w:rFonts w:hint="eastAsia" w:ascii="宋体" w:hAnsi="宋体" w:eastAsia="楷体_GB2312" w:cs="楷体_GB2312"/>
          <w:color w:val="auto"/>
          <w:sz w:val="32"/>
          <w:szCs w:val="32"/>
          <w:highlight w:val="none"/>
        </w:rPr>
        <w:fldChar w:fldCharType="end"/>
      </w:r>
    </w:p>
    <w:p>
      <w:pPr>
        <w:pStyle w:val="15"/>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600" w:lineRule="exact"/>
        <w:ind w:left="0" w:leftChars="0"/>
        <w:jc w:val="both"/>
        <w:textAlignment w:val="auto"/>
        <w:rPr>
          <w:rFonts w:hint="eastAsia" w:ascii="宋体" w:hAnsi="宋体" w:eastAsia="楷体_GB2312" w:cs="楷体_GB2312"/>
          <w:sz w:val="32"/>
          <w:szCs w:val="32"/>
        </w:rPr>
      </w:pPr>
      <w:r>
        <w:rPr>
          <w:rFonts w:hint="eastAsia" w:ascii="宋体" w:hAnsi="宋体" w:eastAsia="楷体_GB2312" w:cs="楷体_GB2312"/>
          <w:color w:val="auto"/>
          <w:sz w:val="32"/>
          <w:szCs w:val="32"/>
          <w:highlight w:val="none"/>
        </w:rPr>
        <w:fldChar w:fldCharType="begin"/>
      </w:r>
      <w:r>
        <w:rPr>
          <w:rFonts w:hint="eastAsia" w:ascii="宋体" w:hAnsi="宋体" w:eastAsia="楷体_GB2312" w:cs="楷体_GB2312"/>
          <w:sz w:val="32"/>
          <w:szCs w:val="32"/>
          <w:highlight w:val="none"/>
        </w:rPr>
        <w:instrText xml:space="preserve"> HYPERLINK \l _Toc11178 </w:instrText>
      </w:r>
      <w:r>
        <w:rPr>
          <w:rFonts w:hint="eastAsia" w:ascii="宋体" w:hAnsi="宋体" w:eastAsia="楷体_GB2312" w:cs="楷体_GB2312"/>
          <w:sz w:val="32"/>
          <w:szCs w:val="32"/>
          <w:highlight w:val="none"/>
        </w:rPr>
        <w:fldChar w:fldCharType="separate"/>
      </w:r>
      <w:r>
        <w:rPr>
          <w:rFonts w:hint="eastAsia" w:ascii="宋体" w:hAnsi="宋体" w:eastAsia="楷体_GB2312" w:cs="楷体_GB2312"/>
          <w:sz w:val="32"/>
          <w:szCs w:val="32"/>
          <w:highlight w:val="none"/>
          <w:lang w:eastAsia="zh-CN"/>
        </w:rPr>
        <w:t>六、一般公共预算财政拨款基本支出决算情况说明</w:t>
      </w:r>
      <w:r>
        <w:rPr>
          <w:rFonts w:hint="eastAsia" w:ascii="宋体" w:hAnsi="宋体" w:eastAsia="楷体_GB2312" w:cs="楷体_GB2312"/>
          <w:sz w:val="32"/>
          <w:szCs w:val="32"/>
        </w:rPr>
        <w:tab/>
      </w:r>
      <w:r>
        <w:rPr>
          <w:rFonts w:hint="eastAsia" w:ascii="宋体" w:hAnsi="宋体" w:eastAsia="楷体_GB2312" w:cs="楷体_GB2312"/>
          <w:sz w:val="32"/>
          <w:szCs w:val="32"/>
        </w:rPr>
        <w:fldChar w:fldCharType="begin"/>
      </w:r>
      <w:r>
        <w:rPr>
          <w:rFonts w:hint="eastAsia" w:ascii="宋体" w:hAnsi="宋体" w:eastAsia="楷体_GB2312" w:cs="楷体_GB2312"/>
          <w:sz w:val="32"/>
          <w:szCs w:val="32"/>
        </w:rPr>
        <w:instrText xml:space="preserve"> PAGEREF _Toc11178 \h </w:instrText>
      </w:r>
      <w:r>
        <w:rPr>
          <w:rFonts w:hint="eastAsia" w:ascii="宋体" w:hAnsi="宋体" w:eastAsia="楷体_GB2312" w:cs="楷体_GB2312"/>
          <w:sz w:val="32"/>
          <w:szCs w:val="32"/>
        </w:rPr>
        <w:fldChar w:fldCharType="separate"/>
      </w:r>
      <w:r>
        <w:rPr>
          <w:rFonts w:hint="eastAsia" w:ascii="宋体" w:hAnsi="宋体" w:eastAsia="楷体_GB2312" w:cs="楷体_GB2312"/>
          <w:sz w:val="32"/>
          <w:szCs w:val="32"/>
        </w:rPr>
        <w:t>9</w:t>
      </w:r>
      <w:r>
        <w:rPr>
          <w:rFonts w:hint="eastAsia" w:ascii="宋体" w:hAnsi="宋体" w:eastAsia="楷体_GB2312" w:cs="楷体_GB2312"/>
          <w:sz w:val="32"/>
          <w:szCs w:val="32"/>
        </w:rPr>
        <w:fldChar w:fldCharType="end"/>
      </w:r>
      <w:r>
        <w:rPr>
          <w:rFonts w:hint="eastAsia" w:ascii="宋体" w:hAnsi="宋体" w:eastAsia="楷体_GB2312" w:cs="楷体_GB2312"/>
          <w:color w:val="auto"/>
          <w:sz w:val="32"/>
          <w:szCs w:val="32"/>
          <w:highlight w:val="none"/>
        </w:rPr>
        <w:fldChar w:fldCharType="end"/>
      </w:r>
    </w:p>
    <w:p>
      <w:pPr>
        <w:pStyle w:val="15"/>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600" w:lineRule="exact"/>
        <w:ind w:left="0" w:leftChars="0"/>
        <w:jc w:val="both"/>
        <w:textAlignment w:val="auto"/>
        <w:rPr>
          <w:rFonts w:hint="eastAsia" w:ascii="宋体" w:hAnsi="宋体" w:eastAsia="楷体_GB2312" w:cs="楷体_GB2312"/>
          <w:sz w:val="32"/>
          <w:szCs w:val="32"/>
        </w:rPr>
      </w:pPr>
      <w:r>
        <w:rPr>
          <w:rFonts w:hint="eastAsia" w:ascii="宋体" w:hAnsi="宋体" w:eastAsia="楷体_GB2312" w:cs="楷体_GB2312"/>
          <w:color w:val="auto"/>
          <w:sz w:val="32"/>
          <w:szCs w:val="32"/>
          <w:highlight w:val="none"/>
        </w:rPr>
        <w:fldChar w:fldCharType="begin"/>
      </w:r>
      <w:r>
        <w:rPr>
          <w:rFonts w:hint="eastAsia" w:ascii="宋体" w:hAnsi="宋体" w:eastAsia="楷体_GB2312" w:cs="楷体_GB2312"/>
          <w:sz w:val="32"/>
          <w:szCs w:val="32"/>
          <w:highlight w:val="none"/>
        </w:rPr>
        <w:instrText xml:space="preserve"> HYPERLINK \l _Toc4296 </w:instrText>
      </w:r>
      <w:r>
        <w:rPr>
          <w:rFonts w:hint="eastAsia" w:ascii="宋体" w:hAnsi="宋体" w:eastAsia="楷体_GB2312" w:cs="楷体_GB2312"/>
          <w:sz w:val="32"/>
          <w:szCs w:val="32"/>
          <w:highlight w:val="none"/>
        </w:rPr>
        <w:fldChar w:fldCharType="separate"/>
      </w:r>
      <w:r>
        <w:rPr>
          <w:rFonts w:hint="eastAsia" w:ascii="宋体" w:hAnsi="宋体" w:eastAsia="楷体_GB2312" w:cs="楷体_GB2312"/>
          <w:sz w:val="32"/>
          <w:szCs w:val="32"/>
          <w:highlight w:val="none"/>
          <w:lang w:eastAsia="zh-CN"/>
        </w:rPr>
        <w:t>七、财政拨款“三公”经费支出决算情况说明</w:t>
      </w:r>
      <w:r>
        <w:rPr>
          <w:rFonts w:hint="eastAsia" w:ascii="宋体" w:hAnsi="宋体" w:eastAsia="楷体_GB2312" w:cs="楷体_GB2312"/>
          <w:sz w:val="32"/>
          <w:szCs w:val="32"/>
        </w:rPr>
        <w:tab/>
      </w:r>
      <w:r>
        <w:rPr>
          <w:rFonts w:hint="eastAsia" w:ascii="宋体" w:hAnsi="宋体" w:eastAsia="楷体_GB2312" w:cs="楷体_GB2312"/>
          <w:sz w:val="32"/>
          <w:szCs w:val="32"/>
        </w:rPr>
        <w:fldChar w:fldCharType="begin"/>
      </w:r>
      <w:r>
        <w:rPr>
          <w:rFonts w:hint="eastAsia" w:ascii="宋体" w:hAnsi="宋体" w:eastAsia="楷体_GB2312" w:cs="楷体_GB2312"/>
          <w:sz w:val="32"/>
          <w:szCs w:val="32"/>
        </w:rPr>
        <w:instrText xml:space="preserve"> PAGEREF _Toc4296 \h </w:instrText>
      </w:r>
      <w:r>
        <w:rPr>
          <w:rFonts w:hint="eastAsia" w:ascii="宋体" w:hAnsi="宋体" w:eastAsia="楷体_GB2312" w:cs="楷体_GB2312"/>
          <w:sz w:val="32"/>
          <w:szCs w:val="32"/>
        </w:rPr>
        <w:fldChar w:fldCharType="separate"/>
      </w:r>
      <w:r>
        <w:rPr>
          <w:rFonts w:hint="eastAsia" w:ascii="宋体" w:hAnsi="宋体" w:eastAsia="楷体_GB2312" w:cs="楷体_GB2312"/>
          <w:sz w:val="32"/>
          <w:szCs w:val="32"/>
        </w:rPr>
        <w:t>9</w:t>
      </w:r>
      <w:r>
        <w:rPr>
          <w:rFonts w:hint="eastAsia" w:ascii="宋体" w:hAnsi="宋体" w:eastAsia="楷体_GB2312" w:cs="楷体_GB2312"/>
          <w:sz w:val="32"/>
          <w:szCs w:val="32"/>
        </w:rPr>
        <w:fldChar w:fldCharType="end"/>
      </w:r>
      <w:r>
        <w:rPr>
          <w:rFonts w:hint="eastAsia" w:ascii="宋体" w:hAnsi="宋体" w:eastAsia="楷体_GB2312" w:cs="楷体_GB2312"/>
          <w:color w:val="auto"/>
          <w:sz w:val="32"/>
          <w:szCs w:val="32"/>
          <w:highlight w:val="none"/>
        </w:rPr>
        <w:fldChar w:fldCharType="end"/>
      </w:r>
    </w:p>
    <w:p>
      <w:pPr>
        <w:pStyle w:val="15"/>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600" w:lineRule="exact"/>
        <w:ind w:left="0" w:leftChars="0"/>
        <w:jc w:val="both"/>
        <w:textAlignment w:val="auto"/>
        <w:rPr>
          <w:rFonts w:hint="eastAsia" w:ascii="宋体" w:hAnsi="宋体" w:eastAsia="楷体_GB2312" w:cs="楷体_GB2312"/>
          <w:sz w:val="32"/>
          <w:szCs w:val="32"/>
        </w:rPr>
      </w:pPr>
      <w:r>
        <w:rPr>
          <w:rFonts w:hint="eastAsia" w:ascii="宋体" w:hAnsi="宋体" w:eastAsia="楷体_GB2312" w:cs="楷体_GB2312"/>
          <w:color w:val="auto"/>
          <w:sz w:val="32"/>
          <w:szCs w:val="32"/>
          <w:highlight w:val="none"/>
        </w:rPr>
        <w:fldChar w:fldCharType="begin"/>
      </w:r>
      <w:r>
        <w:rPr>
          <w:rFonts w:hint="eastAsia" w:ascii="宋体" w:hAnsi="宋体" w:eastAsia="楷体_GB2312" w:cs="楷体_GB2312"/>
          <w:sz w:val="32"/>
          <w:szCs w:val="32"/>
          <w:highlight w:val="none"/>
        </w:rPr>
        <w:instrText xml:space="preserve"> HYPERLINK \l _Toc2663 </w:instrText>
      </w:r>
      <w:r>
        <w:rPr>
          <w:rFonts w:hint="eastAsia" w:ascii="宋体" w:hAnsi="宋体" w:eastAsia="楷体_GB2312" w:cs="楷体_GB2312"/>
          <w:sz w:val="32"/>
          <w:szCs w:val="32"/>
          <w:highlight w:val="none"/>
        </w:rPr>
        <w:fldChar w:fldCharType="separate"/>
      </w:r>
      <w:r>
        <w:rPr>
          <w:rFonts w:hint="eastAsia" w:ascii="宋体" w:hAnsi="宋体" w:eastAsia="楷体_GB2312" w:cs="楷体_GB2312"/>
          <w:sz w:val="32"/>
          <w:szCs w:val="32"/>
          <w:highlight w:val="none"/>
          <w:lang w:eastAsia="zh-CN"/>
        </w:rPr>
        <w:t>八、政府性基金预算支出决算情况说明</w:t>
      </w:r>
      <w:r>
        <w:rPr>
          <w:rFonts w:hint="eastAsia" w:ascii="宋体" w:hAnsi="宋体" w:eastAsia="楷体_GB2312" w:cs="楷体_GB2312"/>
          <w:sz w:val="32"/>
          <w:szCs w:val="32"/>
        </w:rPr>
        <w:tab/>
      </w:r>
      <w:r>
        <w:rPr>
          <w:rFonts w:hint="eastAsia" w:ascii="宋体" w:hAnsi="宋体" w:eastAsia="楷体_GB2312" w:cs="楷体_GB2312"/>
          <w:sz w:val="32"/>
          <w:szCs w:val="32"/>
        </w:rPr>
        <w:fldChar w:fldCharType="begin"/>
      </w:r>
      <w:r>
        <w:rPr>
          <w:rFonts w:hint="eastAsia" w:ascii="宋体" w:hAnsi="宋体" w:eastAsia="楷体_GB2312" w:cs="楷体_GB2312"/>
          <w:sz w:val="32"/>
          <w:szCs w:val="32"/>
        </w:rPr>
        <w:instrText xml:space="preserve"> PAGEREF _Toc2663 \h </w:instrText>
      </w:r>
      <w:r>
        <w:rPr>
          <w:rFonts w:hint="eastAsia" w:ascii="宋体" w:hAnsi="宋体" w:eastAsia="楷体_GB2312" w:cs="楷体_GB2312"/>
          <w:sz w:val="32"/>
          <w:szCs w:val="32"/>
        </w:rPr>
        <w:fldChar w:fldCharType="separate"/>
      </w:r>
      <w:r>
        <w:rPr>
          <w:rFonts w:hint="eastAsia" w:ascii="宋体" w:hAnsi="宋体" w:eastAsia="楷体_GB2312" w:cs="楷体_GB2312"/>
          <w:sz w:val="32"/>
          <w:szCs w:val="32"/>
        </w:rPr>
        <w:t>11</w:t>
      </w:r>
      <w:r>
        <w:rPr>
          <w:rFonts w:hint="eastAsia" w:ascii="宋体" w:hAnsi="宋体" w:eastAsia="楷体_GB2312" w:cs="楷体_GB2312"/>
          <w:sz w:val="32"/>
          <w:szCs w:val="32"/>
        </w:rPr>
        <w:fldChar w:fldCharType="end"/>
      </w:r>
      <w:r>
        <w:rPr>
          <w:rFonts w:hint="eastAsia" w:ascii="宋体" w:hAnsi="宋体" w:eastAsia="楷体_GB2312" w:cs="楷体_GB2312"/>
          <w:color w:val="auto"/>
          <w:sz w:val="32"/>
          <w:szCs w:val="32"/>
          <w:highlight w:val="none"/>
        </w:rPr>
        <w:fldChar w:fldCharType="end"/>
      </w:r>
    </w:p>
    <w:p>
      <w:pPr>
        <w:pStyle w:val="15"/>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600" w:lineRule="exact"/>
        <w:ind w:left="0" w:leftChars="0"/>
        <w:jc w:val="both"/>
        <w:textAlignment w:val="auto"/>
        <w:rPr>
          <w:rFonts w:hint="eastAsia" w:ascii="宋体" w:hAnsi="宋体" w:eastAsia="楷体_GB2312" w:cs="楷体_GB2312"/>
          <w:sz w:val="32"/>
          <w:szCs w:val="32"/>
        </w:rPr>
      </w:pPr>
      <w:r>
        <w:rPr>
          <w:rFonts w:hint="eastAsia" w:ascii="宋体" w:hAnsi="宋体" w:eastAsia="楷体_GB2312" w:cs="楷体_GB2312"/>
          <w:color w:val="auto"/>
          <w:sz w:val="32"/>
          <w:szCs w:val="32"/>
          <w:highlight w:val="none"/>
        </w:rPr>
        <w:fldChar w:fldCharType="begin"/>
      </w:r>
      <w:r>
        <w:rPr>
          <w:rFonts w:hint="eastAsia" w:ascii="宋体" w:hAnsi="宋体" w:eastAsia="楷体_GB2312" w:cs="楷体_GB2312"/>
          <w:sz w:val="32"/>
          <w:szCs w:val="32"/>
          <w:highlight w:val="none"/>
        </w:rPr>
        <w:instrText xml:space="preserve"> HYPERLINK \l _Toc26769 </w:instrText>
      </w:r>
      <w:r>
        <w:rPr>
          <w:rFonts w:hint="eastAsia" w:ascii="宋体" w:hAnsi="宋体" w:eastAsia="楷体_GB2312" w:cs="楷体_GB2312"/>
          <w:sz w:val="32"/>
          <w:szCs w:val="32"/>
          <w:highlight w:val="none"/>
        </w:rPr>
        <w:fldChar w:fldCharType="separate"/>
      </w:r>
      <w:r>
        <w:rPr>
          <w:rFonts w:hint="eastAsia" w:ascii="宋体" w:hAnsi="宋体" w:eastAsia="楷体_GB2312" w:cs="楷体_GB2312"/>
          <w:sz w:val="32"/>
          <w:szCs w:val="32"/>
          <w:highlight w:val="none"/>
          <w:lang w:eastAsia="zh-CN"/>
        </w:rPr>
        <w:t>九、国有资本经营预算支出决算情况说明</w:t>
      </w:r>
      <w:r>
        <w:rPr>
          <w:rFonts w:hint="eastAsia" w:ascii="宋体" w:hAnsi="宋体" w:eastAsia="楷体_GB2312" w:cs="楷体_GB2312"/>
          <w:sz w:val="32"/>
          <w:szCs w:val="32"/>
        </w:rPr>
        <w:tab/>
      </w:r>
      <w:r>
        <w:rPr>
          <w:rFonts w:hint="eastAsia" w:ascii="宋体" w:hAnsi="宋体" w:eastAsia="楷体_GB2312" w:cs="楷体_GB2312"/>
          <w:sz w:val="32"/>
          <w:szCs w:val="32"/>
        </w:rPr>
        <w:fldChar w:fldCharType="begin"/>
      </w:r>
      <w:r>
        <w:rPr>
          <w:rFonts w:hint="eastAsia" w:ascii="宋体" w:hAnsi="宋体" w:eastAsia="楷体_GB2312" w:cs="楷体_GB2312"/>
          <w:sz w:val="32"/>
          <w:szCs w:val="32"/>
        </w:rPr>
        <w:instrText xml:space="preserve"> PAGEREF _Toc26769 \h </w:instrText>
      </w:r>
      <w:r>
        <w:rPr>
          <w:rFonts w:hint="eastAsia" w:ascii="宋体" w:hAnsi="宋体" w:eastAsia="楷体_GB2312" w:cs="楷体_GB2312"/>
          <w:sz w:val="32"/>
          <w:szCs w:val="32"/>
        </w:rPr>
        <w:fldChar w:fldCharType="separate"/>
      </w:r>
      <w:r>
        <w:rPr>
          <w:rFonts w:hint="eastAsia" w:ascii="宋体" w:hAnsi="宋体" w:eastAsia="楷体_GB2312" w:cs="楷体_GB2312"/>
          <w:sz w:val="32"/>
          <w:szCs w:val="32"/>
        </w:rPr>
        <w:t>11</w:t>
      </w:r>
      <w:r>
        <w:rPr>
          <w:rFonts w:hint="eastAsia" w:ascii="宋体" w:hAnsi="宋体" w:eastAsia="楷体_GB2312" w:cs="楷体_GB2312"/>
          <w:sz w:val="32"/>
          <w:szCs w:val="32"/>
        </w:rPr>
        <w:fldChar w:fldCharType="end"/>
      </w:r>
      <w:r>
        <w:rPr>
          <w:rFonts w:hint="eastAsia" w:ascii="宋体" w:hAnsi="宋体" w:eastAsia="楷体_GB2312" w:cs="楷体_GB2312"/>
          <w:color w:val="auto"/>
          <w:sz w:val="32"/>
          <w:szCs w:val="32"/>
          <w:highlight w:val="none"/>
        </w:rPr>
        <w:fldChar w:fldCharType="end"/>
      </w:r>
    </w:p>
    <w:p>
      <w:pPr>
        <w:pStyle w:val="15"/>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600" w:lineRule="exact"/>
        <w:ind w:left="0" w:leftChars="0"/>
        <w:jc w:val="both"/>
        <w:textAlignment w:val="auto"/>
        <w:rPr>
          <w:rFonts w:hint="eastAsia" w:ascii="宋体" w:hAnsi="宋体" w:eastAsia="楷体_GB2312" w:cs="楷体_GB2312"/>
          <w:sz w:val="32"/>
          <w:szCs w:val="32"/>
        </w:rPr>
      </w:pPr>
      <w:r>
        <w:rPr>
          <w:rFonts w:hint="eastAsia" w:ascii="宋体" w:hAnsi="宋体" w:eastAsia="楷体_GB2312" w:cs="楷体_GB2312"/>
          <w:color w:val="auto"/>
          <w:sz w:val="32"/>
          <w:szCs w:val="32"/>
          <w:highlight w:val="none"/>
        </w:rPr>
        <w:fldChar w:fldCharType="begin"/>
      </w:r>
      <w:r>
        <w:rPr>
          <w:rFonts w:hint="eastAsia" w:ascii="宋体" w:hAnsi="宋体" w:eastAsia="楷体_GB2312" w:cs="楷体_GB2312"/>
          <w:sz w:val="32"/>
          <w:szCs w:val="32"/>
          <w:highlight w:val="none"/>
        </w:rPr>
        <w:instrText xml:space="preserve"> HYPERLINK \l _Toc23345 </w:instrText>
      </w:r>
      <w:r>
        <w:rPr>
          <w:rFonts w:hint="eastAsia" w:ascii="宋体" w:hAnsi="宋体" w:eastAsia="楷体_GB2312" w:cs="楷体_GB2312"/>
          <w:sz w:val="32"/>
          <w:szCs w:val="32"/>
          <w:highlight w:val="none"/>
        </w:rPr>
        <w:fldChar w:fldCharType="separate"/>
      </w:r>
      <w:r>
        <w:rPr>
          <w:rFonts w:hint="eastAsia" w:ascii="宋体" w:hAnsi="宋体" w:eastAsia="楷体_GB2312" w:cs="楷体_GB2312"/>
          <w:sz w:val="32"/>
          <w:szCs w:val="32"/>
          <w:highlight w:val="none"/>
          <w:lang w:eastAsia="zh-CN"/>
        </w:rPr>
        <w:t>十、其他重要事项的情况说明</w:t>
      </w:r>
      <w:r>
        <w:rPr>
          <w:rFonts w:hint="eastAsia" w:ascii="宋体" w:hAnsi="宋体" w:eastAsia="楷体_GB2312" w:cs="楷体_GB2312"/>
          <w:sz w:val="32"/>
          <w:szCs w:val="32"/>
        </w:rPr>
        <w:tab/>
      </w:r>
      <w:r>
        <w:rPr>
          <w:rFonts w:hint="eastAsia" w:ascii="宋体" w:hAnsi="宋体" w:eastAsia="楷体_GB2312" w:cs="楷体_GB2312"/>
          <w:sz w:val="32"/>
          <w:szCs w:val="32"/>
        </w:rPr>
        <w:fldChar w:fldCharType="begin"/>
      </w:r>
      <w:r>
        <w:rPr>
          <w:rFonts w:hint="eastAsia" w:ascii="宋体" w:hAnsi="宋体" w:eastAsia="楷体_GB2312" w:cs="楷体_GB2312"/>
          <w:sz w:val="32"/>
          <w:szCs w:val="32"/>
        </w:rPr>
        <w:instrText xml:space="preserve"> PAGEREF _Toc23345 \h </w:instrText>
      </w:r>
      <w:r>
        <w:rPr>
          <w:rFonts w:hint="eastAsia" w:ascii="宋体" w:hAnsi="宋体" w:eastAsia="楷体_GB2312" w:cs="楷体_GB2312"/>
          <w:sz w:val="32"/>
          <w:szCs w:val="32"/>
        </w:rPr>
        <w:fldChar w:fldCharType="separate"/>
      </w:r>
      <w:r>
        <w:rPr>
          <w:rFonts w:hint="eastAsia" w:ascii="宋体" w:hAnsi="宋体" w:eastAsia="楷体_GB2312" w:cs="楷体_GB2312"/>
          <w:sz w:val="32"/>
          <w:szCs w:val="32"/>
        </w:rPr>
        <w:t>12</w:t>
      </w:r>
      <w:r>
        <w:rPr>
          <w:rFonts w:hint="eastAsia" w:ascii="宋体" w:hAnsi="宋体" w:eastAsia="楷体_GB2312" w:cs="楷体_GB2312"/>
          <w:sz w:val="32"/>
          <w:szCs w:val="32"/>
        </w:rPr>
        <w:fldChar w:fldCharType="end"/>
      </w:r>
      <w:r>
        <w:rPr>
          <w:rFonts w:hint="eastAsia" w:ascii="宋体" w:hAnsi="宋体" w:eastAsia="楷体_GB2312" w:cs="楷体_GB2312"/>
          <w:color w:val="auto"/>
          <w:sz w:val="32"/>
          <w:szCs w:val="32"/>
          <w:highlight w:val="none"/>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before="0" w:line="600" w:lineRule="exact"/>
        <w:ind w:left="0" w:leftChars="0"/>
        <w:jc w:val="both"/>
        <w:textAlignment w:val="auto"/>
        <w:rPr>
          <w:rFonts w:hint="eastAsia" w:ascii="宋体" w:hAnsi="宋体" w:eastAsia="楷体_GB2312" w:cs="楷体_GB2312"/>
          <w:sz w:val="32"/>
          <w:szCs w:val="32"/>
        </w:rPr>
      </w:pPr>
      <w:r>
        <w:rPr>
          <w:rFonts w:hint="eastAsia" w:ascii="宋体" w:hAnsi="宋体" w:eastAsia="楷体_GB2312" w:cs="楷体_GB2312"/>
          <w:color w:val="auto"/>
          <w:sz w:val="32"/>
          <w:szCs w:val="32"/>
          <w:highlight w:val="none"/>
        </w:rPr>
        <w:fldChar w:fldCharType="begin"/>
      </w:r>
      <w:r>
        <w:rPr>
          <w:rFonts w:hint="eastAsia" w:ascii="宋体" w:hAnsi="宋体" w:eastAsia="楷体_GB2312" w:cs="楷体_GB2312"/>
          <w:sz w:val="32"/>
          <w:szCs w:val="32"/>
          <w:highlight w:val="none"/>
        </w:rPr>
        <w:instrText xml:space="preserve"> HYPERLINK \l _Toc20837 </w:instrText>
      </w:r>
      <w:r>
        <w:rPr>
          <w:rFonts w:hint="eastAsia" w:ascii="宋体" w:hAnsi="宋体" w:eastAsia="楷体_GB2312" w:cs="楷体_GB2312"/>
          <w:sz w:val="32"/>
          <w:szCs w:val="32"/>
          <w:highlight w:val="none"/>
        </w:rPr>
        <w:fldChar w:fldCharType="separate"/>
      </w:r>
      <w:r>
        <w:rPr>
          <w:rFonts w:hint="eastAsia" w:ascii="宋体" w:hAnsi="宋体" w:eastAsia="楷体_GB2312" w:cs="楷体_GB2312"/>
          <w:b/>
          <w:bCs/>
          <w:sz w:val="32"/>
          <w:szCs w:val="32"/>
          <w:highlight w:val="none"/>
          <w:lang w:eastAsia="zh-CN"/>
        </w:rPr>
        <w:t>第三部分</w:t>
      </w:r>
      <w:r>
        <w:rPr>
          <w:rFonts w:hint="eastAsia" w:ascii="宋体" w:hAnsi="宋体" w:eastAsia="楷体_GB2312" w:cs="楷体_GB2312"/>
          <w:b/>
          <w:bCs/>
          <w:sz w:val="32"/>
          <w:szCs w:val="32"/>
          <w:highlight w:val="none"/>
          <w:lang w:val="en-US" w:eastAsia="zh-CN"/>
        </w:rPr>
        <w:t xml:space="preserve">  </w:t>
      </w:r>
      <w:r>
        <w:rPr>
          <w:rFonts w:hint="eastAsia" w:ascii="宋体" w:hAnsi="宋体" w:eastAsia="楷体_GB2312" w:cs="楷体_GB2312"/>
          <w:b/>
          <w:bCs/>
          <w:sz w:val="32"/>
          <w:szCs w:val="32"/>
          <w:highlight w:val="none"/>
        </w:rPr>
        <w:t>名词解释</w:t>
      </w:r>
      <w:r>
        <w:rPr>
          <w:rFonts w:hint="eastAsia" w:ascii="宋体" w:hAnsi="宋体" w:eastAsia="楷体_GB2312" w:cs="楷体_GB2312"/>
          <w:sz w:val="32"/>
          <w:szCs w:val="32"/>
        </w:rPr>
        <w:tab/>
      </w:r>
      <w:r>
        <w:rPr>
          <w:rFonts w:hint="eastAsia" w:ascii="宋体" w:hAnsi="宋体" w:eastAsia="楷体_GB2312" w:cs="楷体_GB2312"/>
          <w:sz w:val="32"/>
          <w:szCs w:val="32"/>
        </w:rPr>
        <w:fldChar w:fldCharType="begin"/>
      </w:r>
      <w:r>
        <w:rPr>
          <w:rFonts w:hint="eastAsia" w:ascii="宋体" w:hAnsi="宋体" w:eastAsia="楷体_GB2312" w:cs="楷体_GB2312"/>
          <w:sz w:val="32"/>
          <w:szCs w:val="32"/>
        </w:rPr>
        <w:instrText xml:space="preserve"> PAGEREF _Toc20837 \h </w:instrText>
      </w:r>
      <w:r>
        <w:rPr>
          <w:rFonts w:hint="eastAsia" w:ascii="宋体" w:hAnsi="宋体" w:eastAsia="楷体_GB2312" w:cs="楷体_GB2312"/>
          <w:sz w:val="32"/>
          <w:szCs w:val="32"/>
        </w:rPr>
        <w:fldChar w:fldCharType="separate"/>
      </w:r>
      <w:r>
        <w:rPr>
          <w:rFonts w:hint="eastAsia" w:ascii="宋体" w:hAnsi="宋体" w:eastAsia="楷体_GB2312" w:cs="楷体_GB2312"/>
          <w:sz w:val="32"/>
          <w:szCs w:val="32"/>
        </w:rPr>
        <w:t>14</w:t>
      </w:r>
      <w:r>
        <w:rPr>
          <w:rFonts w:hint="eastAsia" w:ascii="宋体" w:hAnsi="宋体" w:eastAsia="楷体_GB2312" w:cs="楷体_GB2312"/>
          <w:sz w:val="32"/>
          <w:szCs w:val="32"/>
        </w:rPr>
        <w:fldChar w:fldCharType="end"/>
      </w:r>
      <w:r>
        <w:rPr>
          <w:rFonts w:hint="eastAsia" w:ascii="宋体" w:hAnsi="宋体" w:eastAsia="楷体_GB2312" w:cs="楷体_GB2312"/>
          <w:color w:val="auto"/>
          <w:sz w:val="32"/>
          <w:szCs w:val="32"/>
          <w:highlight w:val="none"/>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before="0" w:line="600" w:lineRule="exact"/>
        <w:ind w:left="0" w:leftChars="0"/>
        <w:jc w:val="both"/>
        <w:textAlignment w:val="auto"/>
        <w:rPr>
          <w:rFonts w:hint="eastAsia" w:ascii="宋体" w:hAnsi="宋体" w:eastAsia="楷体_GB2312" w:cs="楷体_GB2312"/>
          <w:sz w:val="32"/>
          <w:szCs w:val="32"/>
        </w:rPr>
      </w:pPr>
      <w:r>
        <w:rPr>
          <w:rFonts w:hint="eastAsia" w:ascii="宋体" w:hAnsi="宋体" w:eastAsia="楷体_GB2312" w:cs="楷体_GB2312"/>
          <w:color w:val="auto"/>
          <w:sz w:val="32"/>
          <w:szCs w:val="32"/>
          <w:highlight w:val="none"/>
        </w:rPr>
        <w:fldChar w:fldCharType="begin"/>
      </w:r>
      <w:r>
        <w:rPr>
          <w:rFonts w:hint="eastAsia" w:ascii="宋体" w:hAnsi="宋体" w:eastAsia="楷体_GB2312" w:cs="楷体_GB2312"/>
          <w:sz w:val="32"/>
          <w:szCs w:val="32"/>
          <w:highlight w:val="none"/>
        </w:rPr>
        <w:instrText xml:space="preserve"> HYPERLINK \l _Toc25662 </w:instrText>
      </w:r>
      <w:r>
        <w:rPr>
          <w:rFonts w:hint="eastAsia" w:ascii="宋体" w:hAnsi="宋体" w:eastAsia="楷体_GB2312" w:cs="楷体_GB2312"/>
          <w:sz w:val="32"/>
          <w:szCs w:val="32"/>
          <w:highlight w:val="none"/>
        </w:rPr>
        <w:fldChar w:fldCharType="separate"/>
      </w:r>
      <w:r>
        <w:rPr>
          <w:rFonts w:hint="eastAsia" w:ascii="宋体" w:hAnsi="宋体" w:eastAsia="楷体_GB2312" w:cs="楷体_GB2312"/>
          <w:b/>
          <w:bCs/>
          <w:sz w:val="32"/>
          <w:szCs w:val="32"/>
          <w:highlight w:val="none"/>
        </w:rPr>
        <w:t xml:space="preserve">第四部分 </w:t>
      </w:r>
      <w:r>
        <w:rPr>
          <w:rFonts w:hint="eastAsia" w:ascii="宋体" w:hAnsi="宋体" w:eastAsia="楷体_GB2312" w:cs="楷体_GB2312"/>
          <w:b/>
          <w:bCs/>
          <w:sz w:val="32"/>
          <w:szCs w:val="32"/>
          <w:highlight w:val="none"/>
          <w:lang w:val="en-US" w:eastAsia="zh-CN"/>
        </w:rPr>
        <w:t xml:space="preserve"> </w:t>
      </w:r>
      <w:r>
        <w:rPr>
          <w:rFonts w:hint="eastAsia" w:ascii="宋体" w:hAnsi="宋体" w:eastAsia="楷体_GB2312" w:cs="楷体_GB2312"/>
          <w:b/>
          <w:bCs/>
          <w:sz w:val="32"/>
          <w:szCs w:val="32"/>
          <w:highlight w:val="none"/>
        </w:rPr>
        <w:t>附件</w:t>
      </w:r>
      <w:r>
        <w:rPr>
          <w:rFonts w:hint="eastAsia" w:ascii="宋体" w:hAnsi="宋体" w:eastAsia="楷体_GB2312" w:cs="楷体_GB2312"/>
          <w:sz w:val="32"/>
          <w:szCs w:val="32"/>
        </w:rPr>
        <w:tab/>
      </w:r>
      <w:r>
        <w:rPr>
          <w:rFonts w:hint="eastAsia" w:ascii="宋体" w:hAnsi="宋体" w:eastAsia="楷体_GB2312" w:cs="楷体_GB2312"/>
          <w:sz w:val="32"/>
          <w:szCs w:val="32"/>
        </w:rPr>
        <w:fldChar w:fldCharType="begin"/>
      </w:r>
      <w:r>
        <w:rPr>
          <w:rFonts w:hint="eastAsia" w:ascii="宋体" w:hAnsi="宋体" w:eastAsia="楷体_GB2312" w:cs="楷体_GB2312"/>
          <w:sz w:val="32"/>
          <w:szCs w:val="32"/>
        </w:rPr>
        <w:instrText xml:space="preserve"> PAGEREF _Toc25662 \h </w:instrText>
      </w:r>
      <w:r>
        <w:rPr>
          <w:rFonts w:hint="eastAsia" w:ascii="宋体" w:hAnsi="宋体" w:eastAsia="楷体_GB2312" w:cs="楷体_GB2312"/>
          <w:sz w:val="32"/>
          <w:szCs w:val="32"/>
        </w:rPr>
        <w:fldChar w:fldCharType="separate"/>
      </w:r>
      <w:r>
        <w:rPr>
          <w:rFonts w:hint="eastAsia" w:ascii="宋体" w:hAnsi="宋体" w:eastAsia="楷体_GB2312" w:cs="楷体_GB2312"/>
          <w:sz w:val="32"/>
          <w:szCs w:val="32"/>
        </w:rPr>
        <w:t>17</w:t>
      </w:r>
      <w:r>
        <w:rPr>
          <w:rFonts w:hint="eastAsia" w:ascii="宋体" w:hAnsi="宋体" w:eastAsia="楷体_GB2312" w:cs="楷体_GB2312"/>
          <w:sz w:val="32"/>
          <w:szCs w:val="32"/>
        </w:rPr>
        <w:fldChar w:fldCharType="end"/>
      </w:r>
      <w:r>
        <w:rPr>
          <w:rFonts w:hint="eastAsia" w:ascii="宋体" w:hAnsi="宋体" w:eastAsia="楷体_GB2312" w:cs="楷体_GB2312"/>
          <w:color w:val="auto"/>
          <w:sz w:val="32"/>
          <w:szCs w:val="32"/>
          <w:highlight w:val="none"/>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before="0" w:line="600" w:lineRule="exact"/>
        <w:ind w:left="0" w:leftChars="0"/>
        <w:jc w:val="both"/>
        <w:textAlignment w:val="auto"/>
        <w:rPr>
          <w:rFonts w:hint="eastAsia" w:ascii="宋体" w:hAnsi="宋体" w:eastAsia="楷体_GB2312" w:cs="楷体_GB2312"/>
          <w:sz w:val="32"/>
          <w:szCs w:val="32"/>
        </w:rPr>
      </w:pPr>
      <w:r>
        <w:rPr>
          <w:rFonts w:hint="eastAsia" w:ascii="宋体" w:hAnsi="宋体" w:eastAsia="楷体_GB2312" w:cs="楷体_GB2312"/>
          <w:color w:val="auto"/>
          <w:sz w:val="32"/>
          <w:szCs w:val="32"/>
          <w:highlight w:val="none"/>
        </w:rPr>
        <w:fldChar w:fldCharType="begin"/>
      </w:r>
      <w:r>
        <w:rPr>
          <w:rFonts w:hint="eastAsia" w:ascii="宋体" w:hAnsi="宋体" w:eastAsia="楷体_GB2312" w:cs="楷体_GB2312"/>
          <w:sz w:val="32"/>
          <w:szCs w:val="32"/>
          <w:highlight w:val="none"/>
        </w:rPr>
        <w:instrText xml:space="preserve"> HYPERLINK \l _Toc27720 </w:instrText>
      </w:r>
      <w:r>
        <w:rPr>
          <w:rFonts w:hint="eastAsia" w:ascii="宋体" w:hAnsi="宋体" w:eastAsia="楷体_GB2312" w:cs="楷体_GB2312"/>
          <w:sz w:val="32"/>
          <w:szCs w:val="32"/>
          <w:highlight w:val="none"/>
        </w:rPr>
        <w:fldChar w:fldCharType="separate"/>
      </w:r>
      <w:r>
        <w:rPr>
          <w:rFonts w:hint="eastAsia" w:ascii="宋体" w:hAnsi="宋体" w:eastAsia="楷体_GB2312" w:cs="楷体_GB2312"/>
          <w:b/>
          <w:bCs/>
          <w:sz w:val="32"/>
          <w:szCs w:val="32"/>
          <w:highlight w:val="none"/>
        </w:rPr>
        <w:t>第五部分</w:t>
      </w:r>
      <w:r>
        <w:rPr>
          <w:rFonts w:hint="eastAsia" w:ascii="宋体" w:hAnsi="宋体" w:eastAsia="楷体_GB2312" w:cs="楷体_GB2312"/>
          <w:b/>
          <w:bCs/>
          <w:sz w:val="32"/>
          <w:szCs w:val="32"/>
          <w:highlight w:val="none"/>
          <w:lang w:val="en-US" w:eastAsia="zh-CN"/>
        </w:rPr>
        <w:t xml:space="preserve"> </w:t>
      </w:r>
      <w:r>
        <w:rPr>
          <w:rFonts w:hint="eastAsia" w:ascii="宋体" w:hAnsi="宋体" w:eastAsia="楷体_GB2312" w:cs="楷体_GB2312"/>
          <w:b/>
          <w:bCs/>
          <w:sz w:val="32"/>
          <w:szCs w:val="32"/>
          <w:highlight w:val="none"/>
        </w:rPr>
        <w:t xml:space="preserve"> 附表</w:t>
      </w:r>
      <w:r>
        <w:rPr>
          <w:rFonts w:hint="eastAsia" w:ascii="宋体" w:hAnsi="宋体" w:eastAsia="楷体_GB2312" w:cs="楷体_GB2312"/>
          <w:sz w:val="32"/>
          <w:szCs w:val="32"/>
        </w:rPr>
        <w:tab/>
      </w:r>
      <w:r>
        <w:rPr>
          <w:rFonts w:hint="eastAsia" w:ascii="宋体" w:hAnsi="宋体" w:eastAsia="楷体_GB2312" w:cs="楷体_GB2312"/>
          <w:sz w:val="32"/>
          <w:szCs w:val="32"/>
        </w:rPr>
        <w:fldChar w:fldCharType="begin"/>
      </w:r>
      <w:r>
        <w:rPr>
          <w:rFonts w:hint="eastAsia" w:ascii="宋体" w:hAnsi="宋体" w:eastAsia="楷体_GB2312" w:cs="楷体_GB2312"/>
          <w:sz w:val="32"/>
          <w:szCs w:val="32"/>
        </w:rPr>
        <w:instrText xml:space="preserve"> PAGEREF _Toc27720 \h </w:instrText>
      </w:r>
      <w:r>
        <w:rPr>
          <w:rFonts w:hint="eastAsia" w:ascii="宋体" w:hAnsi="宋体" w:eastAsia="楷体_GB2312" w:cs="楷体_GB2312"/>
          <w:sz w:val="32"/>
          <w:szCs w:val="32"/>
        </w:rPr>
        <w:fldChar w:fldCharType="separate"/>
      </w:r>
      <w:r>
        <w:rPr>
          <w:rFonts w:hint="eastAsia" w:ascii="宋体" w:hAnsi="宋体" w:eastAsia="楷体_GB2312" w:cs="楷体_GB2312"/>
          <w:sz w:val="32"/>
          <w:szCs w:val="32"/>
        </w:rPr>
        <w:t>53</w:t>
      </w:r>
      <w:r>
        <w:rPr>
          <w:rFonts w:hint="eastAsia" w:ascii="宋体" w:hAnsi="宋体" w:eastAsia="楷体_GB2312" w:cs="楷体_GB2312"/>
          <w:sz w:val="32"/>
          <w:szCs w:val="32"/>
        </w:rPr>
        <w:fldChar w:fldCharType="end"/>
      </w:r>
      <w:r>
        <w:rPr>
          <w:rFonts w:hint="eastAsia" w:ascii="宋体" w:hAnsi="宋体" w:eastAsia="楷体_GB2312" w:cs="楷体_GB2312"/>
          <w:color w:val="auto"/>
          <w:sz w:val="32"/>
          <w:szCs w:val="32"/>
          <w:highlight w:val="none"/>
        </w:rPr>
        <w:fldChar w:fldCharType="end"/>
      </w:r>
    </w:p>
    <w:p>
      <w:pPr>
        <w:pStyle w:val="15"/>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600" w:lineRule="exact"/>
        <w:ind w:left="0" w:leftChars="0"/>
        <w:jc w:val="both"/>
        <w:textAlignment w:val="auto"/>
        <w:rPr>
          <w:rFonts w:hint="eastAsia" w:ascii="宋体" w:hAnsi="宋体" w:eastAsia="楷体_GB2312" w:cs="楷体_GB2312"/>
          <w:sz w:val="32"/>
          <w:szCs w:val="32"/>
        </w:rPr>
      </w:pPr>
      <w:r>
        <w:rPr>
          <w:rFonts w:hint="eastAsia" w:ascii="宋体" w:hAnsi="宋体" w:eastAsia="楷体_GB2312" w:cs="楷体_GB2312"/>
          <w:color w:val="auto"/>
          <w:sz w:val="32"/>
          <w:szCs w:val="32"/>
          <w:highlight w:val="none"/>
        </w:rPr>
        <w:fldChar w:fldCharType="begin"/>
      </w:r>
      <w:r>
        <w:rPr>
          <w:rFonts w:hint="eastAsia" w:ascii="宋体" w:hAnsi="宋体" w:eastAsia="楷体_GB2312" w:cs="楷体_GB2312"/>
          <w:sz w:val="32"/>
          <w:szCs w:val="32"/>
          <w:highlight w:val="none"/>
        </w:rPr>
        <w:instrText xml:space="preserve"> HYPERLINK \l _Toc28569 </w:instrText>
      </w:r>
      <w:r>
        <w:rPr>
          <w:rFonts w:hint="eastAsia" w:ascii="宋体" w:hAnsi="宋体" w:eastAsia="楷体_GB2312" w:cs="楷体_GB2312"/>
          <w:sz w:val="32"/>
          <w:szCs w:val="32"/>
          <w:highlight w:val="none"/>
        </w:rPr>
        <w:fldChar w:fldCharType="separate"/>
      </w:r>
      <w:r>
        <w:rPr>
          <w:rFonts w:hint="eastAsia" w:ascii="宋体" w:hAnsi="宋体" w:eastAsia="楷体_GB2312" w:cs="楷体_GB2312"/>
          <w:sz w:val="32"/>
          <w:szCs w:val="32"/>
          <w:highlight w:val="none"/>
        </w:rPr>
        <w:t>一、收</w:t>
      </w:r>
      <w:r>
        <w:rPr>
          <w:rFonts w:hint="eastAsia" w:ascii="宋体" w:hAnsi="宋体" w:eastAsia="楷体_GB2312" w:cs="楷体_GB2312"/>
          <w:bCs w:val="0"/>
          <w:sz w:val="32"/>
          <w:szCs w:val="32"/>
          <w:highlight w:val="none"/>
        </w:rPr>
        <w:t>入支出决算总表</w:t>
      </w:r>
      <w:r>
        <w:rPr>
          <w:rFonts w:hint="eastAsia" w:ascii="宋体" w:hAnsi="宋体" w:eastAsia="楷体_GB2312" w:cs="楷体_GB2312"/>
          <w:sz w:val="32"/>
          <w:szCs w:val="32"/>
        </w:rPr>
        <w:tab/>
      </w:r>
      <w:r>
        <w:rPr>
          <w:rFonts w:hint="eastAsia" w:ascii="宋体" w:hAnsi="宋体" w:eastAsia="楷体_GB2312" w:cs="楷体_GB2312"/>
          <w:sz w:val="32"/>
          <w:szCs w:val="32"/>
        </w:rPr>
        <w:fldChar w:fldCharType="begin"/>
      </w:r>
      <w:r>
        <w:rPr>
          <w:rFonts w:hint="eastAsia" w:ascii="宋体" w:hAnsi="宋体" w:eastAsia="楷体_GB2312" w:cs="楷体_GB2312"/>
          <w:sz w:val="32"/>
          <w:szCs w:val="32"/>
        </w:rPr>
        <w:instrText xml:space="preserve"> PAGEREF _Toc28569 \h </w:instrText>
      </w:r>
      <w:r>
        <w:rPr>
          <w:rFonts w:hint="eastAsia" w:ascii="宋体" w:hAnsi="宋体" w:eastAsia="楷体_GB2312" w:cs="楷体_GB2312"/>
          <w:sz w:val="32"/>
          <w:szCs w:val="32"/>
        </w:rPr>
        <w:fldChar w:fldCharType="separate"/>
      </w:r>
      <w:r>
        <w:rPr>
          <w:rFonts w:hint="eastAsia" w:ascii="宋体" w:hAnsi="宋体" w:eastAsia="楷体_GB2312" w:cs="楷体_GB2312"/>
          <w:sz w:val="32"/>
          <w:szCs w:val="32"/>
        </w:rPr>
        <w:t>53</w:t>
      </w:r>
      <w:r>
        <w:rPr>
          <w:rFonts w:hint="eastAsia" w:ascii="宋体" w:hAnsi="宋体" w:eastAsia="楷体_GB2312" w:cs="楷体_GB2312"/>
          <w:sz w:val="32"/>
          <w:szCs w:val="32"/>
        </w:rPr>
        <w:fldChar w:fldCharType="end"/>
      </w:r>
      <w:r>
        <w:rPr>
          <w:rFonts w:hint="eastAsia" w:ascii="宋体" w:hAnsi="宋体" w:eastAsia="楷体_GB2312" w:cs="楷体_GB2312"/>
          <w:color w:val="auto"/>
          <w:sz w:val="32"/>
          <w:szCs w:val="32"/>
          <w:highlight w:val="none"/>
        </w:rPr>
        <w:fldChar w:fldCharType="end"/>
      </w:r>
    </w:p>
    <w:p>
      <w:pPr>
        <w:pStyle w:val="15"/>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600" w:lineRule="exact"/>
        <w:ind w:left="0" w:leftChars="0"/>
        <w:jc w:val="both"/>
        <w:textAlignment w:val="auto"/>
        <w:rPr>
          <w:rFonts w:hint="eastAsia" w:ascii="宋体" w:hAnsi="宋体" w:eastAsia="楷体_GB2312" w:cs="楷体_GB2312"/>
          <w:sz w:val="32"/>
          <w:szCs w:val="32"/>
        </w:rPr>
      </w:pPr>
      <w:r>
        <w:rPr>
          <w:rFonts w:hint="eastAsia" w:ascii="宋体" w:hAnsi="宋体" w:eastAsia="楷体_GB2312" w:cs="楷体_GB2312"/>
          <w:color w:val="auto"/>
          <w:sz w:val="32"/>
          <w:szCs w:val="32"/>
          <w:highlight w:val="none"/>
        </w:rPr>
        <w:fldChar w:fldCharType="begin"/>
      </w:r>
      <w:r>
        <w:rPr>
          <w:rFonts w:hint="eastAsia" w:ascii="宋体" w:hAnsi="宋体" w:eastAsia="楷体_GB2312" w:cs="楷体_GB2312"/>
          <w:sz w:val="32"/>
          <w:szCs w:val="32"/>
          <w:highlight w:val="none"/>
        </w:rPr>
        <w:instrText xml:space="preserve"> HYPERLINK \l _Toc15303 </w:instrText>
      </w:r>
      <w:r>
        <w:rPr>
          <w:rFonts w:hint="eastAsia" w:ascii="宋体" w:hAnsi="宋体" w:eastAsia="楷体_GB2312" w:cs="楷体_GB2312"/>
          <w:sz w:val="32"/>
          <w:szCs w:val="32"/>
          <w:highlight w:val="none"/>
        </w:rPr>
        <w:fldChar w:fldCharType="separate"/>
      </w:r>
      <w:r>
        <w:rPr>
          <w:rFonts w:hint="eastAsia" w:ascii="宋体" w:hAnsi="宋体" w:eastAsia="楷体_GB2312" w:cs="楷体_GB2312"/>
          <w:sz w:val="32"/>
          <w:szCs w:val="32"/>
          <w:highlight w:val="none"/>
        </w:rPr>
        <w:t>二、收</w:t>
      </w:r>
      <w:r>
        <w:rPr>
          <w:rFonts w:hint="eastAsia" w:ascii="宋体" w:hAnsi="宋体" w:eastAsia="楷体_GB2312" w:cs="楷体_GB2312"/>
          <w:bCs w:val="0"/>
          <w:sz w:val="32"/>
          <w:szCs w:val="32"/>
          <w:highlight w:val="none"/>
        </w:rPr>
        <w:t>入决算表</w:t>
      </w:r>
      <w:r>
        <w:rPr>
          <w:rFonts w:hint="eastAsia" w:ascii="宋体" w:hAnsi="宋体" w:eastAsia="楷体_GB2312" w:cs="楷体_GB2312"/>
          <w:sz w:val="32"/>
          <w:szCs w:val="32"/>
        </w:rPr>
        <w:tab/>
      </w:r>
      <w:r>
        <w:rPr>
          <w:rFonts w:hint="eastAsia" w:ascii="宋体" w:hAnsi="宋体" w:eastAsia="楷体_GB2312" w:cs="楷体_GB2312"/>
          <w:sz w:val="32"/>
          <w:szCs w:val="32"/>
        </w:rPr>
        <w:fldChar w:fldCharType="begin"/>
      </w:r>
      <w:r>
        <w:rPr>
          <w:rFonts w:hint="eastAsia" w:ascii="宋体" w:hAnsi="宋体" w:eastAsia="楷体_GB2312" w:cs="楷体_GB2312"/>
          <w:sz w:val="32"/>
          <w:szCs w:val="32"/>
        </w:rPr>
        <w:instrText xml:space="preserve"> PAGEREF _Toc15303 \h </w:instrText>
      </w:r>
      <w:r>
        <w:rPr>
          <w:rFonts w:hint="eastAsia" w:ascii="宋体" w:hAnsi="宋体" w:eastAsia="楷体_GB2312" w:cs="楷体_GB2312"/>
          <w:sz w:val="32"/>
          <w:szCs w:val="32"/>
        </w:rPr>
        <w:fldChar w:fldCharType="separate"/>
      </w:r>
      <w:r>
        <w:rPr>
          <w:rFonts w:hint="eastAsia" w:ascii="宋体" w:hAnsi="宋体" w:eastAsia="楷体_GB2312" w:cs="楷体_GB2312"/>
          <w:sz w:val="32"/>
          <w:szCs w:val="32"/>
        </w:rPr>
        <w:t>53</w:t>
      </w:r>
      <w:r>
        <w:rPr>
          <w:rFonts w:hint="eastAsia" w:ascii="宋体" w:hAnsi="宋体" w:eastAsia="楷体_GB2312" w:cs="楷体_GB2312"/>
          <w:sz w:val="32"/>
          <w:szCs w:val="32"/>
        </w:rPr>
        <w:fldChar w:fldCharType="end"/>
      </w:r>
      <w:r>
        <w:rPr>
          <w:rFonts w:hint="eastAsia" w:ascii="宋体" w:hAnsi="宋体" w:eastAsia="楷体_GB2312" w:cs="楷体_GB2312"/>
          <w:color w:val="auto"/>
          <w:sz w:val="32"/>
          <w:szCs w:val="32"/>
          <w:highlight w:val="none"/>
        </w:rPr>
        <w:fldChar w:fldCharType="end"/>
      </w:r>
    </w:p>
    <w:p>
      <w:pPr>
        <w:pStyle w:val="15"/>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600" w:lineRule="exact"/>
        <w:ind w:left="0" w:leftChars="0"/>
        <w:jc w:val="both"/>
        <w:textAlignment w:val="auto"/>
        <w:rPr>
          <w:rFonts w:hint="eastAsia" w:ascii="宋体" w:hAnsi="宋体" w:eastAsia="楷体_GB2312" w:cs="楷体_GB2312"/>
          <w:sz w:val="32"/>
          <w:szCs w:val="32"/>
        </w:rPr>
      </w:pPr>
      <w:r>
        <w:rPr>
          <w:rFonts w:hint="eastAsia" w:ascii="宋体" w:hAnsi="宋体" w:eastAsia="楷体_GB2312" w:cs="楷体_GB2312"/>
          <w:color w:val="auto"/>
          <w:sz w:val="32"/>
          <w:szCs w:val="32"/>
          <w:highlight w:val="none"/>
        </w:rPr>
        <w:fldChar w:fldCharType="begin"/>
      </w:r>
      <w:r>
        <w:rPr>
          <w:rFonts w:hint="eastAsia" w:ascii="宋体" w:hAnsi="宋体" w:eastAsia="楷体_GB2312" w:cs="楷体_GB2312"/>
          <w:sz w:val="32"/>
          <w:szCs w:val="32"/>
          <w:highlight w:val="none"/>
        </w:rPr>
        <w:instrText xml:space="preserve"> HYPERLINK \l _Toc7048 </w:instrText>
      </w:r>
      <w:r>
        <w:rPr>
          <w:rFonts w:hint="eastAsia" w:ascii="宋体" w:hAnsi="宋体" w:eastAsia="楷体_GB2312" w:cs="楷体_GB2312"/>
          <w:sz w:val="32"/>
          <w:szCs w:val="32"/>
          <w:highlight w:val="none"/>
        </w:rPr>
        <w:fldChar w:fldCharType="separate"/>
      </w:r>
      <w:r>
        <w:rPr>
          <w:rFonts w:hint="eastAsia" w:ascii="宋体" w:hAnsi="宋体" w:eastAsia="楷体_GB2312" w:cs="楷体_GB2312"/>
          <w:bCs w:val="0"/>
          <w:sz w:val="32"/>
          <w:szCs w:val="32"/>
          <w:highlight w:val="none"/>
        </w:rPr>
        <w:t>三、</w:t>
      </w:r>
      <w:r>
        <w:rPr>
          <w:rFonts w:hint="eastAsia" w:ascii="宋体" w:hAnsi="宋体" w:eastAsia="楷体_GB2312" w:cs="楷体_GB2312"/>
          <w:sz w:val="32"/>
          <w:szCs w:val="32"/>
          <w:highlight w:val="none"/>
        </w:rPr>
        <w:t>支</w:t>
      </w:r>
      <w:r>
        <w:rPr>
          <w:rFonts w:hint="eastAsia" w:ascii="宋体" w:hAnsi="宋体" w:eastAsia="楷体_GB2312" w:cs="楷体_GB2312"/>
          <w:bCs w:val="0"/>
          <w:sz w:val="32"/>
          <w:szCs w:val="32"/>
          <w:highlight w:val="none"/>
        </w:rPr>
        <w:t>出决算表</w:t>
      </w:r>
      <w:r>
        <w:rPr>
          <w:rFonts w:hint="eastAsia" w:ascii="宋体" w:hAnsi="宋体" w:eastAsia="楷体_GB2312" w:cs="楷体_GB2312"/>
          <w:sz w:val="32"/>
          <w:szCs w:val="32"/>
        </w:rPr>
        <w:tab/>
      </w:r>
      <w:r>
        <w:rPr>
          <w:rFonts w:hint="eastAsia" w:ascii="宋体" w:hAnsi="宋体" w:eastAsia="楷体_GB2312" w:cs="楷体_GB2312"/>
          <w:sz w:val="32"/>
          <w:szCs w:val="32"/>
        </w:rPr>
        <w:fldChar w:fldCharType="begin"/>
      </w:r>
      <w:r>
        <w:rPr>
          <w:rFonts w:hint="eastAsia" w:ascii="宋体" w:hAnsi="宋体" w:eastAsia="楷体_GB2312" w:cs="楷体_GB2312"/>
          <w:sz w:val="32"/>
          <w:szCs w:val="32"/>
        </w:rPr>
        <w:instrText xml:space="preserve"> PAGEREF _Toc7048 \h </w:instrText>
      </w:r>
      <w:r>
        <w:rPr>
          <w:rFonts w:hint="eastAsia" w:ascii="宋体" w:hAnsi="宋体" w:eastAsia="楷体_GB2312" w:cs="楷体_GB2312"/>
          <w:sz w:val="32"/>
          <w:szCs w:val="32"/>
        </w:rPr>
        <w:fldChar w:fldCharType="separate"/>
      </w:r>
      <w:r>
        <w:rPr>
          <w:rFonts w:hint="eastAsia" w:ascii="宋体" w:hAnsi="宋体" w:eastAsia="楷体_GB2312" w:cs="楷体_GB2312"/>
          <w:sz w:val="32"/>
          <w:szCs w:val="32"/>
        </w:rPr>
        <w:t>53</w:t>
      </w:r>
      <w:r>
        <w:rPr>
          <w:rFonts w:hint="eastAsia" w:ascii="宋体" w:hAnsi="宋体" w:eastAsia="楷体_GB2312" w:cs="楷体_GB2312"/>
          <w:sz w:val="32"/>
          <w:szCs w:val="32"/>
        </w:rPr>
        <w:fldChar w:fldCharType="end"/>
      </w:r>
      <w:r>
        <w:rPr>
          <w:rFonts w:hint="eastAsia" w:ascii="宋体" w:hAnsi="宋体" w:eastAsia="楷体_GB2312" w:cs="楷体_GB2312"/>
          <w:color w:val="auto"/>
          <w:sz w:val="32"/>
          <w:szCs w:val="32"/>
          <w:highlight w:val="none"/>
        </w:rPr>
        <w:fldChar w:fldCharType="end"/>
      </w:r>
    </w:p>
    <w:p>
      <w:pPr>
        <w:pStyle w:val="15"/>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600" w:lineRule="exact"/>
        <w:ind w:left="0" w:leftChars="0"/>
        <w:jc w:val="both"/>
        <w:textAlignment w:val="auto"/>
        <w:rPr>
          <w:rFonts w:hint="eastAsia" w:ascii="宋体" w:hAnsi="宋体" w:eastAsia="楷体_GB2312" w:cs="楷体_GB2312"/>
          <w:sz w:val="32"/>
          <w:szCs w:val="32"/>
        </w:rPr>
      </w:pPr>
      <w:r>
        <w:rPr>
          <w:rFonts w:hint="eastAsia" w:ascii="宋体" w:hAnsi="宋体" w:eastAsia="楷体_GB2312" w:cs="楷体_GB2312"/>
          <w:color w:val="auto"/>
          <w:sz w:val="32"/>
          <w:szCs w:val="32"/>
          <w:highlight w:val="none"/>
        </w:rPr>
        <w:fldChar w:fldCharType="begin"/>
      </w:r>
      <w:r>
        <w:rPr>
          <w:rFonts w:hint="eastAsia" w:ascii="宋体" w:hAnsi="宋体" w:eastAsia="楷体_GB2312" w:cs="楷体_GB2312"/>
          <w:sz w:val="32"/>
          <w:szCs w:val="32"/>
          <w:highlight w:val="none"/>
        </w:rPr>
        <w:instrText xml:space="preserve"> HYPERLINK \l _Toc6998 </w:instrText>
      </w:r>
      <w:r>
        <w:rPr>
          <w:rFonts w:hint="eastAsia" w:ascii="宋体" w:hAnsi="宋体" w:eastAsia="楷体_GB2312" w:cs="楷体_GB2312"/>
          <w:sz w:val="32"/>
          <w:szCs w:val="32"/>
          <w:highlight w:val="none"/>
        </w:rPr>
        <w:fldChar w:fldCharType="separate"/>
      </w:r>
      <w:r>
        <w:rPr>
          <w:rFonts w:hint="eastAsia" w:ascii="宋体" w:hAnsi="宋体" w:eastAsia="楷体_GB2312" w:cs="楷体_GB2312"/>
          <w:bCs w:val="0"/>
          <w:sz w:val="32"/>
          <w:szCs w:val="32"/>
          <w:highlight w:val="none"/>
        </w:rPr>
        <w:t>四、</w:t>
      </w:r>
      <w:r>
        <w:rPr>
          <w:rFonts w:hint="eastAsia" w:ascii="宋体" w:hAnsi="宋体" w:eastAsia="楷体_GB2312" w:cs="楷体_GB2312"/>
          <w:sz w:val="32"/>
          <w:szCs w:val="32"/>
          <w:highlight w:val="none"/>
        </w:rPr>
        <w:t>财</w:t>
      </w:r>
      <w:r>
        <w:rPr>
          <w:rFonts w:hint="eastAsia" w:ascii="宋体" w:hAnsi="宋体" w:eastAsia="楷体_GB2312" w:cs="楷体_GB2312"/>
          <w:bCs w:val="0"/>
          <w:sz w:val="32"/>
          <w:szCs w:val="32"/>
          <w:highlight w:val="none"/>
        </w:rPr>
        <w:t>政拨款收入支出决算总表</w:t>
      </w:r>
      <w:r>
        <w:rPr>
          <w:rFonts w:hint="eastAsia" w:ascii="宋体" w:hAnsi="宋体" w:eastAsia="楷体_GB2312" w:cs="楷体_GB2312"/>
          <w:sz w:val="32"/>
          <w:szCs w:val="32"/>
        </w:rPr>
        <w:tab/>
      </w:r>
      <w:r>
        <w:rPr>
          <w:rFonts w:hint="eastAsia" w:ascii="宋体" w:hAnsi="宋体" w:eastAsia="楷体_GB2312" w:cs="楷体_GB2312"/>
          <w:sz w:val="32"/>
          <w:szCs w:val="32"/>
        </w:rPr>
        <w:fldChar w:fldCharType="begin"/>
      </w:r>
      <w:r>
        <w:rPr>
          <w:rFonts w:hint="eastAsia" w:ascii="宋体" w:hAnsi="宋体" w:eastAsia="楷体_GB2312" w:cs="楷体_GB2312"/>
          <w:sz w:val="32"/>
          <w:szCs w:val="32"/>
        </w:rPr>
        <w:instrText xml:space="preserve"> PAGEREF _Toc6998 \h </w:instrText>
      </w:r>
      <w:r>
        <w:rPr>
          <w:rFonts w:hint="eastAsia" w:ascii="宋体" w:hAnsi="宋体" w:eastAsia="楷体_GB2312" w:cs="楷体_GB2312"/>
          <w:sz w:val="32"/>
          <w:szCs w:val="32"/>
        </w:rPr>
        <w:fldChar w:fldCharType="separate"/>
      </w:r>
      <w:r>
        <w:rPr>
          <w:rFonts w:hint="eastAsia" w:ascii="宋体" w:hAnsi="宋体" w:eastAsia="楷体_GB2312" w:cs="楷体_GB2312"/>
          <w:sz w:val="32"/>
          <w:szCs w:val="32"/>
        </w:rPr>
        <w:t>53</w:t>
      </w:r>
      <w:r>
        <w:rPr>
          <w:rFonts w:hint="eastAsia" w:ascii="宋体" w:hAnsi="宋体" w:eastAsia="楷体_GB2312" w:cs="楷体_GB2312"/>
          <w:sz w:val="32"/>
          <w:szCs w:val="32"/>
        </w:rPr>
        <w:fldChar w:fldCharType="end"/>
      </w:r>
      <w:r>
        <w:rPr>
          <w:rFonts w:hint="eastAsia" w:ascii="宋体" w:hAnsi="宋体" w:eastAsia="楷体_GB2312" w:cs="楷体_GB2312"/>
          <w:color w:val="auto"/>
          <w:sz w:val="32"/>
          <w:szCs w:val="32"/>
          <w:highlight w:val="none"/>
        </w:rPr>
        <w:fldChar w:fldCharType="end"/>
      </w:r>
    </w:p>
    <w:p>
      <w:pPr>
        <w:pStyle w:val="15"/>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600" w:lineRule="exact"/>
        <w:ind w:left="0" w:leftChars="0"/>
        <w:jc w:val="both"/>
        <w:textAlignment w:val="auto"/>
        <w:rPr>
          <w:rFonts w:hint="eastAsia" w:ascii="宋体" w:hAnsi="宋体" w:eastAsia="楷体_GB2312" w:cs="楷体_GB2312"/>
          <w:sz w:val="32"/>
          <w:szCs w:val="32"/>
        </w:rPr>
      </w:pPr>
      <w:r>
        <w:rPr>
          <w:rFonts w:hint="eastAsia" w:ascii="宋体" w:hAnsi="宋体" w:eastAsia="楷体_GB2312" w:cs="楷体_GB2312"/>
          <w:color w:val="auto"/>
          <w:sz w:val="32"/>
          <w:szCs w:val="32"/>
          <w:highlight w:val="none"/>
        </w:rPr>
        <w:fldChar w:fldCharType="begin"/>
      </w:r>
      <w:r>
        <w:rPr>
          <w:rFonts w:hint="eastAsia" w:ascii="宋体" w:hAnsi="宋体" w:eastAsia="楷体_GB2312" w:cs="楷体_GB2312"/>
          <w:sz w:val="32"/>
          <w:szCs w:val="32"/>
          <w:highlight w:val="none"/>
        </w:rPr>
        <w:instrText xml:space="preserve"> HYPERLINK \l _Toc15080 </w:instrText>
      </w:r>
      <w:r>
        <w:rPr>
          <w:rFonts w:hint="eastAsia" w:ascii="宋体" w:hAnsi="宋体" w:eastAsia="楷体_GB2312" w:cs="楷体_GB2312"/>
          <w:sz w:val="32"/>
          <w:szCs w:val="32"/>
          <w:highlight w:val="none"/>
        </w:rPr>
        <w:fldChar w:fldCharType="separate"/>
      </w:r>
      <w:r>
        <w:rPr>
          <w:rFonts w:hint="eastAsia" w:ascii="宋体" w:hAnsi="宋体" w:eastAsia="楷体_GB2312" w:cs="楷体_GB2312"/>
          <w:bCs w:val="0"/>
          <w:sz w:val="32"/>
          <w:szCs w:val="32"/>
          <w:highlight w:val="none"/>
        </w:rPr>
        <w:t>五、</w:t>
      </w:r>
      <w:r>
        <w:rPr>
          <w:rFonts w:hint="eastAsia" w:ascii="宋体" w:hAnsi="宋体" w:eastAsia="楷体_GB2312" w:cs="楷体_GB2312"/>
          <w:sz w:val="32"/>
          <w:szCs w:val="32"/>
          <w:highlight w:val="none"/>
        </w:rPr>
        <w:t>财</w:t>
      </w:r>
      <w:r>
        <w:rPr>
          <w:rFonts w:hint="eastAsia" w:ascii="宋体" w:hAnsi="宋体" w:eastAsia="楷体_GB2312" w:cs="楷体_GB2312"/>
          <w:bCs w:val="0"/>
          <w:sz w:val="32"/>
          <w:szCs w:val="32"/>
          <w:highlight w:val="none"/>
        </w:rPr>
        <w:t>政拨款支出决算明细表</w:t>
      </w:r>
      <w:r>
        <w:rPr>
          <w:rFonts w:hint="eastAsia" w:ascii="宋体" w:hAnsi="宋体" w:eastAsia="楷体_GB2312" w:cs="楷体_GB2312"/>
          <w:sz w:val="32"/>
          <w:szCs w:val="32"/>
        </w:rPr>
        <w:tab/>
      </w:r>
      <w:r>
        <w:rPr>
          <w:rFonts w:hint="eastAsia" w:ascii="宋体" w:hAnsi="宋体" w:eastAsia="楷体_GB2312" w:cs="楷体_GB2312"/>
          <w:sz w:val="32"/>
          <w:szCs w:val="32"/>
        </w:rPr>
        <w:fldChar w:fldCharType="begin"/>
      </w:r>
      <w:r>
        <w:rPr>
          <w:rFonts w:hint="eastAsia" w:ascii="宋体" w:hAnsi="宋体" w:eastAsia="楷体_GB2312" w:cs="楷体_GB2312"/>
          <w:sz w:val="32"/>
          <w:szCs w:val="32"/>
        </w:rPr>
        <w:instrText xml:space="preserve"> PAGEREF _Toc15080 \h </w:instrText>
      </w:r>
      <w:r>
        <w:rPr>
          <w:rFonts w:hint="eastAsia" w:ascii="宋体" w:hAnsi="宋体" w:eastAsia="楷体_GB2312" w:cs="楷体_GB2312"/>
          <w:sz w:val="32"/>
          <w:szCs w:val="32"/>
        </w:rPr>
        <w:fldChar w:fldCharType="separate"/>
      </w:r>
      <w:r>
        <w:rPr>
          <w:rFonts w:hint="eastAsia" w:ascii="宋体" w:hAnsi="宋体" w:eastAsia="楷体_GB2312" w:cs="楷体_GB2312"/>
          <w:sz w:val="32"/>
          <w:szCs w:val="32"/>
        </w:rPr>
        <w:t>53</w:t>
      </w:r>
      <w:r>
        <w:rPr>
          <w:rFonts w:hint="eastAsia" w:ascii="宋体" w:hAnsi="宋体" w:eastAsia="楷体_GB2312" w:cs="楷体_GB2312"/>
          <w:sz w:val="32"/>
          <w:szCs w:val="32"/>
        </w:rPr>
        <w:fldChar w:fldCharType="end"/>
      </w:r>
      <w:r>
        <w:rPr>
          <w:rFonts w:hint="eastAsia" w:ascii="宋体" w:hAnsi="宋体" w:eastAsia="楷体_GB2312" w:cs="楷体_GB2312"/>
          <w:color w:val="auto"/>
          <w:sz w:val="32"/>
          <w:szCs w:val="32"/>
          <w:highlight w:val="none"/>
        </w:rPr>
        <w:fldChar w:fldCharType="end"/>
      </w:r>
    </w:p>
    <w:p>
      <w:pPr>
        <w:pStyle w:val="15"/>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600" w:lineRule="exact"/>
        <w:ind w:left="0" w:leftChars="0"/>
        <w:jc w:val="both"/>
        <w:textAlignment w:val="auto"/>
        <w:rPr>
          <w:rFonts w:hint="eastAsia" w:ascii="宋体" w:hAnsi="宋体" w:eastAsia="楷体_GB2312" w:cs="楷体_GB2312"/>
          <w:sz w:val="32"/>
          <w:szCs w:val="32"/>
        </w:rPr>
      </w:pPr>
      <w:r>
        <w:rPr>
          <w:rFonts w:hint="eastAsia" w:ascii="宋体" w:hAnsi="宋体" w:eastAsia="楷体_GB2312" w:cs="楷体_GB2312"/>
          <w:color w:val="auto"/>
          <w:sz w:val="32"/>
          <w:szCs w:val="32"/>
          <w:highlight w:val="none"/>
        </w:rPr>
        <w:fldChar w:fldCharType="begin"/>
      </w:r>
      <w:r>
        <w:rPr>
          <w:rFonts w:hint="eastAsia" w:ascii="宋体" w:hAnsi="宋体" w:eastAsia="楷体_GB2312" w:cs="楷体_GB2312"/>
          <w:sz w:val="32"/>
          <w:szCs w:val="32"/>
          <w:highlight w:val="none"/>
        </w:rPr>
        <w:instrText xml:space="preserve"> HYPERLINK \l _Toc19117 </w:instrText>
      </w:r>
      <w:r>
        <w:rPr>
          <w:rFonts w:hint="eastAsia" w:ascii="宋体" w:hAnsi="宋体" w:eastAsia="楷体_GB2312" w:cs="楷体_GB2312"/>
          <w:sz w:val="32"/>
          <w:szCs w:val="32"/>
          <w:highlight w:val="none"/>
        </w:rPr>
        <w:fldChar w:fldCharType="separate"/>
      </w:r>
      <w:r>
        <w:rPr>
          <w:rFonts w:hint="eastAsia" w:ascii="宋体" w:hAnsi="宋体" w:eastAsia="楷体_GB2312" w:cs="楷体_GB2312"/>
          <w:bCs w:val="0"/>
          <w:sz w:val="32"/>
          <w:szCs w:val="32"/>
          <w:highlight w:val="none"/>
        </w:rPr>
        <w:t>六、</w:t>
      </w:r>
      <w:r>
        <w:rPr>
          <w:rFonts w:hint="eastAsia" w:ascii="宋体" w:hAnsi="宋体" w:eastAsia="楷体_GB2312" w:cs="楷体_GB2312"/>
          <w:sz w:val="32"/>
          <w:szCs w:val="32"/>
          <w:highlight w:val="none"/>
        </w:rPr>
        <w:t>一</w:t>
      </w:r>
      <w:r>
        <w:rPr>
          <w:rFonts w:hint="eastAsia" w:ascii="宋体" w:hAnsi="宋体" w:eastAsia="楷体_GB2312" w:cs="楷体_GB2312"/>
          <w:bCs w:val="0"/>
          <w:sz w:val="32"/>
          <w:szCs w:val="32"/>
          <w:highlight w:val="none"/>
        </w:rPr>
        <w:t>般公共预算财政拨款支出决算表</w:t>
      </w:r>
      <w:r>
        <w:rPr>
          <w:rFonts w:hint="eastAsia" w:ascii="宋体" w:hAnsi="宋体" w:eastAsia="楷体_GB2312" w:cs="楷体_GB2312"/>
          <w:sz w:val="32"/>
          <w:szCs w:val="32"/>
        </w:rPr>
        <w:tab/>
      </w:r>
      <w:r>
        <w:rPr>
          <w:rFonts w:hint="eastAsia" w:ascii="宋体" w:hAnsi="宋体" w:eastAsia="楷体_GB2312" w:cs="楷体_GB2312"/>
          <w:sz w:val="32"/>
          <w:szCs w:val="32"/>
        </w:rPr>
        <w:fldChar w:fldCharType="begin"/>
      </w:r>
      <w:r>
        <w:rPr>
          <w:rFonts w:hint="eastAsia" w:ascii="宋体" w:hAnsi="宋体" w:eastAsia="楷体_GB2312" w:cs="楷体_GB2312"/>
          <w:sz w:val="32"/>
          <w:szCs w:val="32"/>
        </w:rPr>
        <w:instrText xml:space="preserve"> PAGEREF _Toc19117 \h </w:instrText>
      </w:r>
      <w:r>
        <w:rPr>
          <w:rFonts w:hint="eastAsia" w:ascii="宋体" w:hAnsi="宋体" w:eastAsia="楷体_GB2312" w:cs="楷体_GB2312"/>
          <w:sz w:val="32"/>
          <w:szCs w:val="32"/>
        </w:rPr>
        <w:fldChar w:fldCharType="separate"/>
      </w:r>
      <w:r>
        <w:rPr>
          <w:rFonts w:hint="eastAsia" w:ascii="宋体" w:hAnsi="宋体" w:eastAsia="楷体_GB2312" w:cs="楷体_GB2312"/>
          <w:sz w:val="32"/>
          <w:szCs w:val="32"/>
        </w:rPr>
        <w:t>53</w:t>
      </w:r>
      <w:r>
        <w:rPr>
          <w:rFonts w:hint="eastAsia" w:ascii="宋体" w:hAnsi="宋体" w:eastAsia="楷体_GB2312" w:cs="楷体_GB2312"/>
          <w:sz w:val="32"/>
          <w:szCs w:val="32"/>
        </w:rPr>
        <w:fldChar w:fldCharType="end"/>
      </w:r>
      <w:r>
        <w:rPr>
          <w:rFonts w:hint="eastAsia" w:ascii="宋体" w:hAnsi="宋体" w:eastAsia="楷体_GB2312" w:cs="楷体_GB2312"/>
          <w:color w:val="auto"/>
          <w:sz w:val="32"/>
          <w:szCs w:val="32"/>
          <w:highlight w:val="none"/>
        </w:rPr>
        <w:fldChar w:fldCharType="end"/>
      </w:r>
    </w:p>
    <w:p>
      <w:pPr>
        <w:pStyle w:val="15"/>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600" w:lineRule="exact"/>
        <w:ind w:left="0" w:leftChars="0"/>
        <w:jc w:val="both"/>
        <w:textAlignment w:val="auto"/>
        <w:rPr>
          <w:rFonts w:hint="eastAsia" w:ascii="宋体" w:hAnsi="宋体" w:eastAsia="楷体_GB2312" w:cs="楷体_GB2312"/>
          <w:sz w:val="32"/>
          <w:szCs w:val="32"/>
        </w:rPr>
      </w:pPr>
      <w:r>
        <w:rPr>
          <w:rFonts w:hint="eastAsia" w:ascii="宋体" w:hAnsi="宋体" w:eastAsia="楷体_GB2312" w:cs="楷体_GB2312"/>
          <w:color w:val="auto"/>
          <w:sz w:val="32"/>
          <w:szCs w:val="32"/>
          <w:highlight w:val="none"/>
        </w:rPr>
        <w:fldChar w:fldCharType="begin"/>
      </w:r>
      <w:r>
        <w:rPr>
          <w:rFonts w:hint="eastAsia" w:ascii="宋体" w:hAnsi="宋体" w:eastAsia="楷体_GB2312" w:cs="楷体_GB2312"/>
          <w:sz w:val="32"/>
          <w:szCs w:val="32"/>
          <w:highlight w:val="none"/>
        </w:rPr>
        <w:instrText xml:space="preserve"> HYPERLINK \l _Toc11675 </w:instrText>
      </w:r>
      <w:r>
        <w:rPr>
          <w:rFonts w:hint="eastAsia" w:ascii="宋体" w:hAnsi="宋体" w:eastAsia="楷体_GB2312" w:cs="楷体_GB2312"/>
          <w:sz w:val="32"/>
          <w:szCs w:val="32"/>
          <w:highlight w:val="none"/>
        </w:rPr>
        <w:fldChar w:fldCharType="separate"/>
      </w:r>
      <w:r>
        <w:rPr>
          <w:rFonts w:hint="eastAsia" w:ascii="宋体" w:hAnsi="宋体" w:eastAsia="楷体_GB2312" w:cs="楷体_GB2312"/>
          <w:bCs w:val="0"/>
          <w:sz w:val="32"/>
          <w:szCs w:val="32"/>
          <w:highlight w:val="none"/>
        </w:rPr>
        <w:t>七、</w:t>
      </w:r>
      <w:r>
        <w:rPr>
          <w:rFonts w:hint="eastAsia" w:ascii="宋体" w:hAnsi="宋体" w:eastAsia="楷体_GB2312" w:cs="楷体_GB2312"/>
          <w:sz w:val="32"/>
          <w:szCs w:val="32"/>
          <w:highlight w:val="none"/>
        </w:rPr>
        <w:t>一</w:t>
      </w:r>
      <w:r>
        <w:rPr>
          <w:rFonts w:hint="eastAsia" w:ascii="宋体" w:hAnsi="宋体" w:eastAsia="楷体_GB2312" w:cs="楷体_GB2312"/>
          <w:bCs w:val="0"/>
          <w:sz w:val="32"/>
          <w:szCs w:val="32"/>
          <w:highlight w:val="none"/>
        </w:rPr>
        <w:t>般公共预算财政拨款支出决算明细表</w:t>
      </w:r>
      <w:r>
        <w:rPr>
          <w:rFonts w:hint="eastAsia" w:ascii="宋体" w:hAnsi="宋体" w:eastAsia="楷体_GB2312" w:cs="楷体_GB2312"/>
          <w:sz w:val="32"/>
          <w:szCs w:val="32"/>
        </w:rPr>
        <w:tab/>
      </w:r>
      <w:r>
        <w:rPr>
          <w:rFonts w:hint="eastAsia" w:ascii="宋体" w:hAnsi="宋体" w:eastAsia="楷体_GB2312" w:cs="楷体_GB2312"/>
          <w:sz w:val="32"/>
          <w:szCs w:val="32"/>
        </w:rPr>
        <w:fldChar w:fldCharType="begin"/>
      </w:r>
      <w:r>
        <w:rPr>
          <w:rFonts w:hint="eastAsia" w:ascii="宋体" w:hAnsi="宋体" w:eastAsia="楷体_GB2312" w:cs="楷体_GB2312"/>
          <w:sz w:val="32"/>
          <w:szCs w:val="32"/>
        </w:rPr>
        <w:instrText xml:space="preserve"> PAGEREF _Toc11675 \h </w:instrText>
      </w:r>
      <w:r>
        <w:rPr>
          <w:rFonts w:hint="eastAsia" w:ascii="宋体" w:hAnsi="宋体" w:eastAsia="楷体_GB2312" w:cs="楷体_GB2312"/>
          <w:sz w:val="32"/>
          <w:szCs w:val="32"/>
        </w:rPr>
        <w:fldChar w:fldCharType="separate"/>
      </w:r>
      <w:r>
        <w:rPr>
          <w:rFonts w:hint="eastAsia" w:ascii="宋体" w:hAnsi="宋体" w:eastAsia="楷体_GB2312" w:cs="楷体_GB2312"/>
          <w:sz w:val="32"/>
          <w:szCs w:val="32"/>
        </w:rPr>
        <w:t>53</w:t>
      </w:r>
      <w:r>
        <w:rPr>
          <w:rFonts w:hint="eastAsia" w:ascii="宋体" w:hAnsi="宋体" w:eastAsia="楷体_GB2312" w:cs="楷体_GB2312"/>
          <w:sz w:val="32"/>
          <w:szCs w:val="32"/>
        </w:rPr>
        <w:fldChar w:fldCharType="end"/>
      </w:r>
      <w:r>
        <w:rPr>
          <w:rFonts w:hint="eastAsia" w:ascii="宋体" w:hAnsi="宋体" w:eastAsia="楷体_GB2312" w:cs="楷体_GB2312"/>
          <w:color w:val="auto"/>
          <w:sz w:val="32"/>
          <w:szCs w:val="32"/>
          <w:highlight w:val="none"/>
        </w:rPr>
        <w:fldChar w:fldCharType="end"/>
      </w:r>
    </w:p>
    <w:p>
      <w:pPr>
        <w:pStyle w:val="15"/>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600" w:lineRule="exact"/>
        <w:ind w:left="0" w:leftChars="0"/>
        <w:jc w:val="both"/>
        <w:textAlignment w:val="auto"/>
        <w:rPr>
          <w:rFonts w:hint="eastAsia" w:ascii="宋体" w:hAnsi="宋体" w:eastAsia="楷体_GB2312" w:cs="楷体_GB2312"/>
          <w:sz w:val="32"/>
          <w:szCs w:val="32"/>
        </w:rPr>
      </w:pPr>
      <w:r>
        <w:rPr>
          <w:rFonts w:hint="eastAsia" w:ascii="宋体" w:hAnsi="宋体" w:eastAsia="楷体_GB2312" w:cs="楷体_GB2312"/>
          <w:color w:val="auto"/>
          <w:sz w:val="32"/>
          <w:szCs w:val="32"/>
          <w:highlight w:val="none"/>
        </w:rPr>
        <w:fldChar w:fldCharType="begin"/>
      </w:r>
      <w:r>
        <w:rPr>
          <w:rFonts w:hint="eastAsia" w:ascii="宋体" w:hAnsi="宋体" w:eastAsia="楷体_GB2312" w:cs="楷体_GB2312"/>
          <w:sz w:val="32"/>
          <w:szCs w:val="32"/>
          <w:highlight w:val="none"/>
        </w:rPr>
        <w:instrText xml:space="preserve"> HYPERLINK \l _Toc29963 </w:instrText>
      </w:r>
      <w:r>
        <w:rPr>
          <w:rFonts w:hint="eastAsia" w:ascii="宋体" w:hAnsi="宋体" w:eastAsia="楷体_GB2312" w:cs="楷体_GB2312"/>
          <w:sz w:val="32"/>
          <w:szCs w:val="32"/>
          <w:highlight w:val="none"/>
        </w:rPr>
        <w:fldChar w:fldCharType="separate"/>
      </w:r>
      <w:r>
        <w:rPr>
          <w:rFonts w:hint="eastAsia" w:ascii="宋体" w:hAnsi="宋体" w:eastAsia="楷体_GB2312" w:cs="楷体_GB2312"/>
          <w:bCs w:val="0"/>
          <w:sz w:val="32"/>
          <w:szCs w:val="32"/>
          <w:highlight w:val="none"/>
        </w:rPr>
        <w:t>八、</w:t>
      </w:r>
      <w:r>
        <w:rPr>
          <w:rFonts w:hint="eastAsia" w:ascii="宋体" w:hAnsi="宋体" w:eastAsia="楷体_GB2312" w:cs="楷体_GB2312"/>
          <w:sz w:val="32"/>
          <w:szCs w:val="32"/>
          <w:highlight w:val="none"/>
        </w:rPr>
        <w:t>一</w:t>
      </w:r>
      <w:r>
        <w:rPr>
          <w:rFonts w:hint="eastAsia" w:ascii="宋体" w:hAnsi="宋体" w:eastAsia="楷体_GB2312" w:cs="楷体_GB2312"/>
          <w:bCs w:val="0"/>
          <w:sz w:val="32"/>
          <w:szCs w:val="32"/>
          <w:highlight w:val="none"/>
        </w:rPr>
        <w:t>般公共预算财政拨款基本支出决算表</w:t>
      </w:r>
      <w:r>
        <w:rPr>
          <w:rFonts w:hint="eastAsia" w:ascii="宋体" w:hAnsi="宋体" w:eastAsia="楷体_GB2312" w:cs="楷体_GB2312"/>
          <w:sz w:val="32"/>
          <w:szCs w:val="32"/>
        </w:rPr>
        <w:tab/>
      </w:r>
      <w:r>
        <w:rPr>
          <w:rFonts w:hint="eastAsia" w:ascii="宋体" w:hAnsi="宋体" w:eastAsia="楷体_GB2312" w:cs="楷体_GB2312"/>
          <w:sz w:val="32"/>
          <w:szCs w:val="32"/>
        </w:rPr>
        <w:fldChar w:fldCharType="begin"/>
      </w:r>
      <w:r>
        <w:rPr>
          <w:rFonts w:hint="eastAsia" w:ascii="宋体" w:hAnsi="宋体" w:eastAsia="楷体_GB2312" w:cs="楷体_GB2312"/>
          <w:sz w:val="32"/>
          <w:szCs w:val="32"/>
        </w:rPr>
        <w:instrText xml:space="preserve"> PAGEREF _Toc29963 \h </w:instrText>
      </w:r>
      <w:r>
        <w:rPr>
          <w:rFonts w:hint="eastAsia" w:ascii="宋体" w:hAnsi="宋体" w:eastAsia="楷体_GB2312" w:cs="楷体_GB2312"/>
          <w:sz w:val="32"/>
          <w:szCs w:val="32"/>
        </w:rPr>
        <w:fldChar w:fldCharType="separate"/>
      </w:r>
      <w:r>
        <w:rPr>
          <w:rFonts w:hint="eastAsia" w:ascii="宋体" w:hAnsi="宋体" w:eastAsia="楷体_GB2312" w:cs="楷体_GB2312"/>
          <w:sz w:val="32"/>
          <w:szCs w:val="32"/>
        </w:rPr>
        <w:t>53</w:t>
      </w:r>
      <w:r>
        <w:rPr>
          <w:rFonts w:hint="eastAsia" w:ascii="宋体" w:hAnsi="宋体" w:eastAsia="楷体_GB2312" w:cs="楷体_GB2312"/>
          <w:sz w:val="32"/>
          <w:szCs w:val="32"/>
        </w:rPr>
        <w:fldChar w:fldCharType="end"/>
      </w:r>
      <w:r>
        <w:rPr>
          <w:rFonts w:hint="eastAsia" w:ascii="宋体" w:hAnsi="宋体" w:eastAsia="楷体_GB2312" w:cs="楷体_GB2312"/>
          <w:color w:val="auto"/>
          <w:sz w:val="32"/>
          <w:szCs w:val="32"/>
          <w:highlight w:val="none"/>
        </w:rPr>
        <w:fldChar w:fldCharType="end"/>
      </w:r>
    </w:p>
    <w:p>
      <w:pPr>
        <w:pStyle w:val="15"/>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600" w:lineRule="exact"/>
        <w:ind w:left="0" w:leftChars="0"/>
        <w:jc w:val="both"/>
        <w:textAlignment w:val="auto"/>
        <w:rPr>
          <w:rFonts w:hint="eastAsia" w:ascii="宋体" w:hAnsi="宋体" w:eastAsia="楷体_GB2312" w:cs="楷体_GB2312"/>
          <w:sz w:val="32"/>
          <w:szCs w:val="32"/>
        </w:rPr>
      </w:pPr>
      <w:r>
        <w:rPr>
          <w:rFonts w:hint="eastAsia" w:ascii="宋体" w:hAnsi="宋体" w:eastAsia="楷体_GB2312" w:cs="楷体_GB2312"/>
          <w:color w:val="auto"/>
          <w:sz w:val="32"/>
          <w:szCs w:val="32"/>
          <w:highlight w:val="none"/>
        </w:rPr>
        <w:fldChar w:fldCharType="begin"/>
      </w:r>
      <w:r>
        <w:rPr>
          <w:rFonts w:hint="eastAsia" w:ascii="宋体" w:hAnsi="宋体" w:eastAsia="楷体_GB2312" w:cs="楷体_GB2312"/>
          <w:sz w:val="32"/>
          <w:szCs w:val="32"/>
          <w:highlight w:val="none"/>
        </w:rPr>
        <w:instrText xml:space="preserve"> HYPERLINK \l _Toc6465 </w:instrText>
      </w:r>
      <w:r>
        <w:rPr>
          <w:rFonts w:hint="eastAsia" w:ascii="宋体" w:hAnsi="宋体" w:eastAsia="楷体_GB2312" w:cs="楷体_GB2312"/>
          <w:sz w:val="32"/>
          <w:szCs w:val="32"/>
          <w:highlight w:val="none"/>
        </w:rPr>
        <w:fldChar w:fldCharType="separate"/>
      </w:r>
      <w:r>
        <w:rPr>
          <w:rFonts w:hint="eastAsia" w:ascii="宋体" w:hAnsi="宋体" w:eastAsia="楷体_GB2312" w:cs="楷体_GB2312"/>
          <w:bCs w:val="0"/>
          <w:sz w:val="32"/>
          <w:szCs w:val="32"/>
          <w:highlight w:val="none"/>
        </w:rPr>
        <w:t>九、</w:t>
      </w:r>
      <w:r>
        <w:rPr>
          <w:rFonts w:hint="eastAsia" w:ascii="宋体" w:hAnsi="宋体" w:eastAsia="楷体_GB2312" w:cs="楷体_GB2312"/>
          <w:sz w:val="32"/>
          <w:szCs w:val="32"/>
          <w:highlight w:val="none"/>
        </w:rPr>
        <w:t>一</w:t>
      </w:r>
      <w:r>
        <w:rPr>
          <w:rFonts w:hint="eastAsia" w:ascii="宋体" w:hAnsi="宋体" w:eastAsia="楷体_GB2312" w:cs="楷体_GB2312"/>
          <w:bCs w:val="0"/>
          <w:sz w:val="32"/>
          <w:szCs w:val="32"/>
          <w:highlight w:val="none"/>
        </w:rPr>
        <w:t>般公共预算财政拨款项目支出决算表</w:t>
      </w:r>
      <w:r>
        <w:rPr>
          <w:rFonts w:hint="eastAsia" w:ascii="宋体" w:hAnsi="宋体" w:eastAsia="楷体_GB2312" w:cs="楷体_GB2312"/>
          <w:sz w:val="32"/>
          <w:szCs w:val="32"/>
        </w:rPr>
        <w:tab/>
      </w:r>
      <w:r>
        <w:rPr>
          <w:rFonts w:hint="eastAsia" w:ascii="宋体" w:hAnsi="宋体" w:eastAsia="楷体_GB2312" w:cs="楷体_GB2312"/>
          <w:sz w:val="32"/>
          <w:szCs w:val="32"/>
        </w:rPr>
        <w:fldChar w:fldCharType="begin"/>
      </w:r>
      <w:r>
        <w:rPr>
          <w:rFonts w:hint="eastAsia" w:ascii="宋体" w:hAnsi="宋体" w:eastAsia="楷体_GB2312" w:cs="楷体_GB2312"/>
          <w:sz w:val="32"/>
          <w:szCs w:val="32"/>
        </w:rPr>
        <w:instrText xml:space="preserve"> PAGEREF _Toc6465 \h </w:instrText>
      </w:r>
      <w:r>
        <w:rPr>
          <w:rFonts w:hint="eastAsia" w:ascii="宋体" w:hAnsi="宋体" w:eastAsia="楷体_GB2312" w:cs="楷体_GB2312"/>
          <w:sz w:val="32"/>
          <w:szCs w:val="32"/>
        </w:rPr>
        <w:fldChar w:fldCharType="separate"/>
      </w:r>
      <w:r>
        <w:rPr>
          <w:rFonts w:hint="eastAsia" w:ascii="宋体" w:hAnsi="宋体" w:eastAsia="楷体_GB2312" w:cs="楷体_GB2312"/>
          <w:sz w:val="32"/>
          <w:szCs w:val="32"/>
        </w:rPr>
        <w:t>53</w:t>
      </w:r>
      <w:r>
        <w:rPr>
          <w:rFonts w:hint="eastAsia" w:ascii="宋体" w:hAnsi="宋体" w:eastAsia="楷体_GB2312" w:cs="楷体_GB2312"/>
          <w:sz w:val="32"/>
          <w:szCs w:val="32"/>
        </w:rPr>
        <w:fldChar w:fldCharType="end"/>
      </w:r>
      <w:r>
        <w:rPr>
          <w:rFonts w:hint="eastAsia" w:ascii="宋体" w:hAnsi="宋体" w:eastAsia="楷体_GB2312" w:cs="楷体_GB2312"/>
          <w:color w:val="auto"/>
          <w:sz w:val="32"/>
          <w:szCs w:val="32"/>
          <w:highlight w:val="none"/>
        </w:rPr>
        <w:fldChar w:fldCharType="end"/>
      </w:r>
    </w:p>
    <w:p>
      <w:pPr>
        <w:pStyle w:val="15"/>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600" w:lineRule="exact"/>
        <w:ind w:left="0" w:leftChars="0"/>
        <w:jc w:val="both"/>
        <w:textAlignment w:val="auto"/>
        <w:rPr>
          <w:rFonts w:hint="eastAsia" w:ascii="宋体" w:hAnsi="宋体" w:eastAsia="楷体_GB2312" w:cs="楷体_GB2312"/>
          <w:sz w:val="32"/>
          <w:szCs w:val="32"/>
        </w:rPr>
      </w:pPr>
      <w:r>
        <w:rPr>
          <w:rFonts w:hint="eastAsia" w:ascii="宋体" w:hAnsi="宋体" w:eastAsia="楷体_GB2312" w:cs="楷体_GB2312"/>
          <w:color w:val="auto"/>
          <w:sz w:val="32"/>
          <w:szCs w:val="32"/>
          <w:highlight w:val="none"/>
        </w:rPr>
        <w:fldChar w:fldCharType="begin"/>
      </w:r>
      <w:r>
        <w:rPr>
          <w:rFonts w:hint="eastAsia" w:ascii="宋体" w:hAnsi="宋体" w:eastAsia="楷体_GB2312" w:cs="楷体_GB2312"/>
          <w:sz w:val="32"/>
          <w:szCs w:val="32"/>
          <w:highlight w:val="none"/>
        </w:rPr>
        <w:instrText xml:space="preserve"> HYPERLINK \l _Toc7041 </w:instrText>
      </w:r>
      <w:r>
        <w:rPr>
          <w:rFonts w:hint="eastAsia" w:ascii="宋体" w:hAnsi="宋体" w:eastAsia="楷体_GB2312" w:cs="楷体_GB2312"/>
          <w:sz w:val="32"/>
          <w:szCs w:val="32"/>
          <w:highlight w:val="none"/>
        </w:rPr>
        <w:fldChar w:fldCharType="separate"/>
      </w:r>
      <w:r>
        <w:rPr>
          <w:rFonts w:hint="eastAsia" w:ascii="宋体" w:hAnsi="宋体" w:eastAsia="楷体_GB2312" w:cs="楷体_GB2312"/>
          <w:bCs w:val="0"/>
          <w:sz w:val="32"/>
          <w:szCs w:val="32"/>
          <w:highlight w:val="none"/>
        </w:rPr>
        <w:t>十、</w:t>
      </w:r>
      <w:r>
        <w:rPr>
          <w:rFonts w:hint="eastAsia" w:ascii="宋体" w:hAnsi="宋体" w:eastAsia="楷体_GB2312" w:cs="楷体_GB2312"/>
          <w:sz w:val="32"/>
          <w:szCs w:val="32"/>
          <w:highlight w:val="none"/>
        </w:rPr>
        <w:t>政</w:t>
      </w:r>
      <w:r>
        <w:rPr>
          <w:rFonts w:hint="eastAsia" w:ascii="宋体" w:hAnsi="宋体" w:eastAsia="楷体_GB2312" w:cs="楷体_GB2312"/>
          <w:bCs w:val="0"/>
          <w:sz w:val="32"/>
          <w:szCs w:val="32"/>
          <w:highlight w:val="none"/>
        </w:rPr>
        <w:t>府性基金预算财政拨款收入支出决算表</w:t>
      </w:r>
      <w:r>
        <w:rPr>
          <w:rFonts w:hint="eastAsia" w:ascii="宋体" w:hAnsi="宋体" w:eastAsia="楷体_GB2312" w:cs="楷体_GB2312"/>
          <w:sz w:val="32"/>
          <w:szCs w:val="32"/>
        </w:rPr>
        <w:tab/>
      </w:r>
      <w:r>
        <w:rPr>
          <w:rFonts w:hint="eastAsia" w:ascii="宋体" w:hAnsi="宋体" w:eastAsia="楷体_GB2312" w:cs="楷体_GB2312"/>
          <w:sz w:val="32"/>
          <w:szCs w:val="32"/>
        </w:rPr>
        <w:fldChar w:fldCharType="begin"/>
      </w:r>
      <w:r>
        <w:rPr>
          <w:rFonts w:hint="eastAsia" w:ascii="宋体" w:hAnsi="宋体" w:eastAsia="楷体_GB2312" w:cs="楷体_GB2312"/>
          <w:sz w:val="32"/>
          <w:szCs w:val="32"/>
        </w:rPr>
        <w:instrText xml:space="preserve"> PAGEREF _Toc7041 \h </w:instrText>
      </w:r>
      <w:r>
        <w:rPr>
          <w:rFonts w:hint="eastAsia" w:ascii="宋体" w:hAnsi="宋体" w:eastAsia="楷体_GB2312" w:cs="楷体_GB2312"/>
          <w:sz w:val="32"/>
          <w:szCs w:val="32"/>
        </w:rPr>
        <w:fldChar w:fldCharType="separate"/>
      </w:r>
      <w:r>
        <w:rPr>
          <w:rFonts w:hint="eastAsia" w:ascii="宋体" w:hAnsi="宋体" w:eastAsia="楷体_GB2312" w:cs="楷体_GB2312"/>
          <w:sz w:val="32"/>
          <w:szCs w:val="32"/>
        </w:rPr>
        <w:t>53</w:t>
      </w:r>
      <w:r>
        <w:rPr>
          <w:rFonts w:hint="eastAsia" w:ascii="宋体" w:hAnsi="宋体" w:eastAsia="楷体_GB2312" w:cs="楷体_GB2312"/>
          <w:sz w:val="32"/>
          <w:szCs w:val="32"/>
        </w:rPr>
        <w:fldChar w:fldCharType="end"/>
      </w:r>
      <w:r>
        <w:rPr>
          <w:rFonts w:hint="eastAsia" w:ascii="宋体" w:hAnsi="宋体" w:eastAsia="楷体_GB2312" w:cs="楷体_GB2312"/>
          <w:color w:val="auto"/>
          <w:sz w:val="32"/>
          <w:szCs w:val="32"/>
          <w:highlight w:val="none"/>
        </w:rPr>
        <w:fldChar w:fldCharType="end"/>
      </w:r>
    </w:p>
    <w:p>
      <w:pPr>
        <w:pStyle w:val="15"/>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600" w:lineRule="exact"/>
        <w:ind w:left="0" w:leftChars="0"/>
        <w:jc w:val="both"/>
        <w:textAlignment w:val="auto"/>
        <w:rPr>
          <w:rFonts w:hint="eastAsia" w:ascii="宋体" w:hAnsi="宋体" w:eastAsia="楷体_GB2312" w:cs="楷体_GB2312"/>
          <w:sz w:val="32"/>
          <w:szCs w:val="32"/>
        </w:rPr>
      </w:pPr>
      <w:r>
        <w:rPr>
          <w:rFonts w:hint="eastAsia" w:ascii="宋体" w:hAnsi="宋体" w:eastAsia="楷体_GB2312" w:cs="楷体_GB2312"/>
          <w:color w:val="auto"/>
          <w:sz w:val="32"/>
          <w:szCs w:val="32"/>
          <w:highlight w:val="none"/>
        </w:rPr>
        <w:fldChar w:fldCharType="begin"/>
      </w:r>
      <w:r>
        <w:rPr>
          <w:rFonts w:hint="eastAsia" w:ascii="宋体" w:hAnsi="宋体" w:eastAsia="楷体_GB2312" w:cs="楷体_GB2312"/>
          <w:sz w:val="32"/>
          <w:szCs w:val="32"/>
          <w:highlight w:val="none"/>
        </w:rPr>
        <w:instrText xml:space="preserve"> HYPERLINK \l _Toc27851 </w:instrText>
      </w:r>
      <w:r>
        <w:rPr>
          <w:rFonts w:hint="eastAsia" w:ascii="宋体" w:hAnsi="宋体" w:eastAsia="楷体_GB2312" w:cs="楷体_GB2312"/>
          <w:sz w:val="32"/>
          <w:szCs w:val="32"/>
          <w:highlight w:val="none"/>
        </w:rPr>
        <w:fldChar w:fldCharType="separate"/>
      </w:r>
      <w:r>
        <w:rPr>
          <w:rFonts w:hint="eastAsia" w:ascii="宋体" w:hAnsi="宋体" w:eastAsia="楷体_GB2312" w:cs="楷体_GB2312"/>
          <w:bCs w:val="0"/>
          <w:sz w:val="32"/>
          <w:szCs w:val="32"/>
          <w:highlight w:val="none"/>
        </w:rPr>
        <w:t>十一、</w:t>
      </w:r>
      <w:r>
        <w:rPr>
          <w:rFonts w:hint="eastAsia" w:ascii="宋体" w:hAnsi="宋体" w:eastAsia="楷体_GB2312" w:cs="楷体_GB2312"/>
          <w:sz w:val="32"/>
          <w:szCs w:val="32"/>
          <w:highlight w:val="none"/>
        </w:rPr>
        <w:t>国</w:t>
      </w:r>
      <w:r>
        <w:rPr>
          <w:rFonts w:hint="eastAsia" w:ascii="宋体" w:hAnsi="宋体" w:eastAsia="楷体_GB2312" w:cs="楷体_GB2312"/>
          <w:bCs w:val="0"/>
          <w:sz w:val="32"/>
          <w:szCs w:val="32"/>
          <w:highlight w:val="none"/>
        </w:rPr>
        <w:t>有资本经营预算</w:t>
      </w:r>
      <w:r>
        <w:rPr>
          <w:rFonts w:hint="eastAsia" w:ascii="宋体" w:hAnsi="宋体" w:eastAsia="楷体_GB2312" w:cs="楷体_GB2312"/>
          <w:bCs w:val="0"/>
          <w:sz w:val="32"/>
          <w:szCs w:val="32"/>
          <w:highlight w:val="none"/>
          <w:lang w:eastAsia="zh-CN"/>
        </w:rPr>
        <w:t>财政拨款收入</w:t>
      </w:r>
      <w:r>
        <w:rPr>
          <w:rFonts w:hint="eastAsia" w:ascii="宋体" w:hAnsi="宋体" w:eastAsia="楷体_GB2312" w:cs="楷体_GB2312"/>
          <w:bCs w:val="0"/>
          <w:sz w:val="32"/>
          <w:szCs w:val="32"/>
          <w:highlight w:val="none"/>
        </w:rPr>
        <w:t>支出决算表</w:t>
      </w:r>
      <w:r>
        <w:rPr>
          <w:rFonts w:hint="eastAsia" w:ascii="宋体" w:hAnsi="宋体" w:eastAsia="楷体_GB2312" w:cs="楷体_GB2312"/>
          <w:sz w:val="32"/>
          <w:szCs w:val="32"/>
        </w:rPr>
        <w:tab/>
      </w:r>
      <w:r>
        <w:rPr>
          <w:rFonts w:hint="eastAsia" w:ascii="宋体" w:hAnsi="宋体" w:eastAsia="楷体_GB2312" w:cs="楷体_GB2312"/>
          <w:sz w:val="32"/>
          <w:szCs w:val="32"/>
        </w:rPr>
        <w:fldChar w:fldCharType="begin"/>
      </w:r>
      <w:r>
        <w:rPr>
          <w:rFonts w:hint="eastAsia" w:ascii="宋体" w:hAnsi="宋体" w:eastAsia="楷体_GB2312" w:cs="楷体_GB2312"/>
          <w:sz w:val="32"/>
          <w:szCs w:val="32"/>
        </w:rPr>
        <w:instrText xml:space="preserve"> PAGEREF _Toc27851 \h </w:instrText>
      </w:r>
      <w:r>
        <w:rPr>
          <w:rFonts w:hint="eastAsia" w:ascii="宋体" w:hAnsi="宋体" w:eastAsia="楷体_GB2312" w:cs="楷体_GB2312"/>
          <w:sz w:val="32"/>
          <w:szCs w:val="32"/>
        </w:rPr>
        <w:fldChar w:fldCharType="separate"/>
      </w:r>
      <w:r>
        <w:rPr>
          <w:rFonts w:hint="eastAsia" w:ascii="宋体" w:hAnsi="宋体" w:eastAsia="楷体_GB2312" w:cs="楷体_GB2312"/>
          <w:sz w:val="32"/>
          <w:szCs w:val="32"/>
        </w:rPr>
        <w:t>53</w:t>
      </w:r>
      <w:r>
        <w:rPr>
          <w:rFonts w:hint="eastAsia" w:ascii="宋体" w:hAnsi="宋体" w:eastAsia="楷体_GB2312" w:cs="楷体_GB2312"/>
          <w:sz w:val="32"/>
          <w:szCs w:val="32"/>
        </w:rPr>
        <w:fldChar w:fldCharType="end"/>
      </w:r>
      <w:r>
        <w:rPr>
          <w:rFonts w:hint="eastAsia" w:ascii="宋体" w:hAnsi="宋体" w:eastAsia="楷体_GB2312" w:cs="楷体_GB2312"/>
          <w:color w:val="auto"/>
          <w:sz w:val="32"/>
          <w:szCs w:val="32"/>
          <w:highlight w:val="none"/>
        </w:rPr>
        <w:fldChar w:fldCharType="end"/>
      </w:r>
    </w:p>
    <w:p>
      <w:pPr>
        <w:pStyle w:val="15"/>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600" w:lineRule="exact"/>
        <w:ind w:left="0" w:leftChars="0"/>
        <w:jc w:val="both"/>
        <w:textAlignment w:val="auto"/>
        <w:rPr>
          <w:rFonts w:hint="eastAsia" w:ascii="宋体" w:hAnsi="宋体" w:eastAsia="楷体_GB2312" w:cs="楷体_GB2312"/>
          <w:sz w:val="32"/>
          <w:szCs w:val="32"/>
        </w:rPr>
      </w:pPr>
      <w:r>
        <w:rPr>
          <w:rFonts w:hint="eastAsia" w:ascii="宋体" w:hAnsi="宋体" w:eastAsia="楷体_GB2312" w:cs="楷体_GB2312"/>
          <w:color w:val="auto"/>
          <w:sz w:val="32"/>
          <w:szCs w:val="32"/>
          <w:highlight w:val="none"/>
        </w:rPr>
        <w:fldChar w:fldCharType="begin"/>
      </w:r>
      <w:r>
        <w:rPr>
          <w:rFonts w:hint="eastAsia" w:ascii="宋体" w:hAnsi="宋体" w:eastAsia="楷体_GB2312" w:cs="楷体_GB2312"/>
          <w:sz w:val="32"/>
          <w:szCs w:val="32"/>
          <w:highlight w:val="none"/>
        </w:rPr>
        <w:instrText xml:space="preserve"> HYPERLINK \l _Toc17083 </w:instrText>
      </w:r>
      <w:r>
        <w:rPr>
          <w:rFonts w:hint="eastAsia" w:ascii="宋体" w:hAnsi="宋体" w:eastAsia="楷体_GB2312" w:cs="楷体_GB2312"/>
          <w:sz w:val="32"/>
          <w:szCs w:val="32"/>
          <w:highlight w:val="none"/>
        </w:rPr>
        <w:fldChar w:fldCharType="separate"/>
      </w:r>
      <w:r>
        <w:rPr>
          <w:rFonts w:hint="eastAsia" w:ascii="宋体" w:hAnsi="宋体" w:eastAsia="楷体_GB2312" w:cs="楷体_GB2312"/>
          <w:bCs w:val="0"/>
          <w:sz w:val="32"/>
          <w:szCs w:val="32"/>
          <w:highlight w:val="none"/>
        </w:rPr>
        <w:t>十二、</w:t>
      </w:r>
      <w:r>
        <w:rPr>
          <w:rFonts w:hint="eastAsia" w:ascii="宋体" w:hAnsi="宋体" w:eastAsia="楷体_GB2312" w:cs="楷体_GB2312"/>
          <w:bCs w:val="0"/>
          <w:sz w:val="32"/>
          <w:szCs w:val="32"/>
          <w:highlight w:val="none"/>
          <w:lang w:eastAsia="zh-CN"/>
        </w:rPr>
        <w:t>国有资本经营预算财政拨款支出决算表</w:t>
      </w:r>
      <w:r>
        <w:rPr>
          <w:rFonts w:hint="eastAsia" w:ascii="宋体" w:hAnsi="宋体" w:eastAsia="楷体_GB2312" w:cs="楷体_GB2312"/>
          <w:sz w:val="32"/>
          <w:szCs w:val="32"/>
        </w:rPr>
        <w:tab/>
      </w:r>
      <w:r>
        <w:rPr>
          <w:rFonts w:hint="eastAsia" w:ascii="宋体" w:hAnsi="宋体" w:eastAsia="楷体_GB2312" w:cs="楷体_GB2312"/>
          <w:sz w:val="32"/>
          <w:szCs w:val="32"/>
        </w:rPr>
        <w:fldChar w:fldCharType="begin"/>
      </w:r>
      <w:r>
        <w:rPr>
          <w:rFonts w:hint="eastAsia" w:ascii="宋体" w:hAnsi="宋体" w:eastAsia="楷体_GB2312" w:cs="楷体_GB2312"/>
          <w:sz w:val="32"/>
          <w:szCs w:val="32"/>
        </w:rPr>
        <w:instrText xml:space="preserve"> PAGEREF _Toc17083 \h </w:instrText>
      </w:r>
      <w:r>
        <w:rPr>
          <w:rFonts w:hint="eastAsia" w:ascii="宋体" w:hAnsi="宋体" w:eastAsia="楷体_GB2312" w:cs="楷体_GB2312"/>
          <w:sz w:val="32"/>
          <w:szCs w:val="32"/>
        </w:rPr>
        <w:fldChar w:fldCharType="separate"/>
      </w:r>
      <w:r>
        <w:rPr>
          <w:rFonts w:hint="eastAsia" w:ascii="宋体" w:hAnsi="宋体" w:eastAsia="楷体_GB2312" w:cs="楷体_GB2312"/>
          <w:sz w:val="32"/>
          <w:szCs w:val="32"/>
        </w:rPr>
        <w:t>53</w:t>
      </w:r>
      <w:r>
        <w:rPr>
          <w:rFonts w:hint="eastAsia" w:ascii="宋体" w:hAnsi="宋体" w:eastAsia="楷体_GB2312" w:cs="楷体_GB2312"/>
          <w:sz w:val="32"/>
          <w:szCs w:val="32"/>
        </w:rPr>
        <w:fldChar w:fldCharType="end"/>
      </w:r>
      <w:r>
        <w:rPr>
          <w:rFonts w:hint="eastAsia" w:ascii="宋体" w:hAnsi="宋体" w:eastAsia="楷体_GB2312" w:cs="楷体_GB2312"/>
          <w:color w:val="auto"/>
          <w:sz w:val="32"/>
          <w:szCs w:val="32"/>
          <w:highlight w:val="none"/>
        </w:rPr>
        <w:fldChar w:fldCharType="end"/>
      </w:r>
    </w:p>
    <w:p>
      <w:pPr>
        <w:pStyle w:val="15"/>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600" w:lineRule="exact"/>
        <w:ind w:left="0" w:leftChars="0"/>
        <w:jc w:val="both"/>
        <w:textAlignment w:val="auto"/>
        <w:rPr>
          <w:rFonts w:hint="eastAsia" w:ascii="宋体" w:hAnsi="宋体" w:eastAsia="楷体_GB2312" w:cs="楷体_GB2312"/>
          <w:sz w:val="32"/>
          <w:szCs w:val="32"/>
        </w:rPr>
      </w:pPr>
      <w:r>
        <w:rPr>
          <w:rFonts w:hint="eastAsia" w:ascii="宋体" w:hAnsi="宋体" w:eastAsia="楷体_GB2312" w:cs="楷体_GB2312"/>
          <w:color w:val="auto"/>
          <w:sz w:val="32"/>
          <w:szCs w:val="32"/>
          <w:highlight w:val="none"/>
        </w:rPr>
        <w:fldChar w:fldCharType="begin"/>
      </w:r>
      <w:r>
        <w:rPr>
          <w:rFonts w:hint="eastAsia" w:ascii="宋体" w:hAnsi="宋体" w:eastAsia="楷体_GB2312" w:cs="楷体_GB2312"/>
          <w:sz w:val="32"/>
          <w:szCs w:val="32"/>
          <w:highlight w:val="none"/>
        </w:rPr>
        <w:instrText xml:space="preserve"> HYPERLINK \l _Toc11700 </w:instrText>
      </w:r>
      <w:r>
        <w:rPr>
          <w:rFonts w:hint="eastAsia" w:ascii="宋体" w:hAnsi="宋体" w:eastAsia="楷体_GB2312" w:cs="楷体_GB2312"/>
          <w:sz w:val="32"/>
          <w:szCs w:val="32"/>
          <w:highlight w:val="none"/>
        </w:rPr>
        <w:fldChar w:fldCharType="separate"/>
      </w:r>
      <w:r>
        <w:rPr>
          <w:rFonts w:hint="eastAsia" w:ascii="宋体" w:hAnsi="宋体" w:eastAsia="楷体_GB2312" w:cs="楷体_GB2312"/>
          <w:bCs w:val="0"/>
          <w:sz w:val="32"/>
          <w:szCs w:val="32"/>
          <w:highlight w:val="none"/>
        </w:rPr>
        <w:t>十三、</w:t>
      </w:r>
      <w:r>
        <w:rPr>
          <w:rFonts w:hint="eastAsia" w:ascii="宋体" w:hAnsi="宋体" w:eastAsia="楷体_GB2312" w:cs="楷体_GB2312"/>
          <w:bCs w:val="0"/>
          <w:sz w:val="32"/>
          <w:szCs w:val="32"/>
          <w:highlight w:val="none"/>
          <w:lang w:eastAsia="zh-CN"/>
        </w:rPr>
        <w:t>财政拨款“三公”经费支出决算表</w:t>
      </w:r>
      <w:r>
        <w:rPr>
          <w:rFonts w:hint="eastAsia" w:ascii="宋体" w:hAnsi="宋体" w:eastAsia="楷体_GB2312" w:cs="楷体_GB2312"/>
          <w:sz w:val="32"/>
          <w:szCs w:val="32"/>
        </w:rPr>
        <w:tab/>
      </w:r>
      <w:r>
        <w:rPr>
          <w:rFonts w:hint="eastAsia" w:ascii="宋体" w:hAnsi="宋体" w:eastAsia="楷体_GB2312" w:cs="楷体_GB2312"/>
          <w:sz w:val="32"/>
          <w:szCs w:val="32"/>
        </w:rPr>
        <w:fldChar w:fldCharType="begin"/>
      </w:r>
      <w:r>
        <w:rPr>
          <w:rFonts w:hint="eastAsia" w:ascii="宋体" w:hAnsi="宋体" w:eastAsia="楷体_GB2312" w:cs="楷体_GB2312"/>
          <w:sz w:val="32"/>
          <w:szCs w:val="32"/>
        </w:rPr>
        <w:instrText xml:space="preserve"> PAGEREF _Toc11700 \h </w:instrText>
      </w:r>
      <w:r>
        <w:rPr>
          <w:rFonts w:hint="eastAsia" w:ascii="宋体" w:hAnsi="宋体" w:eastAsia="楷体_GB2312" w:cs="楷体_GB2312"/>
          <w:sz w:val="32"/>
          <w:szCs w:val="32"/>
        </w:rPr>
        <w:fldChar w:fldCharType="separate"/>
      </w:r>
      <w:r>
        <w:rPr>
          <w:rFonts w:hint="eastAsia" w:ascii="宋体" w:hAnsi="宋体" w:eastAsia="楷体_GB2312" w:cs="楷体_GB2312"/>
          <w:sz w:val="32"/>
          <w:szCs w:val="32"/>
        </w:rPr>
        <w:t>53</w:t>
      </w:r>
      <w:r>
        <w:rPr>
          <w:rFonts w:hint="eastAsia" w:ascii="宋体" w:hAnsi="宋体" w:eastAsia="楷体_GB2312" w:cs="楷体_GB2312"/>
          <w:sz w:val="32"/>
          <w:szCs w:val="32"/>
        </w:rPr>
        <w:fldChar w:fldCharType="end"/>
      </w:r>
      <w:r>
        <w:rPr>
          <w:rFonts w:hint="eastAsia" w:ascii="宋体" w:hAnsi="宋体" w:eastAsia="楷体_GB2312" w:cs="楷体_GB2312"/>
          <w:color w:val="auto"/>
          <w:sz w:val="32"/>
          <w:szCs w:val="32"/>
          <w:highlight w:val="none"/>
        </w:rPr>
        <w:fldChar w:fldCharType="end"/>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both"/>
        <w:textAlignment w:val="auto"/>
        <w:rPr>
          <w:color w:val="auto"/>
          <w:highlight w:val="none"/>
        </w:rPr>
      </w:pPr>
      <w:r>
        <w:rPr>
          <w:rFonts w:hint="eastAsia" w:ascii="宋体" w:hAnsi="宋体" w:eastAsia="楷体_GB2312" w:cs="楷体_GB2312"/>
          <w:color w:val="auto"/>
          <w:sz w:val="32"/>
          <w:szCs w:val="32"/>
          <w:highlight w:val="none"/>
        </w:rPr>
        <w:fldChar w:fldCharType="end"/>
      </w:r>
    </w:p>
    <w:p>
      <w:pPr>
        <w:shd w:val="clear"/>
        <w:rPr>
          <w:rFonts w:hint="eastAsia"/>
          <w:color w:val="auto"/>
          <w:sz w:val="24"/>
          <w:highlight w:val="none"/>
        </w:rPr>
      </w:pPr>
    </w:p>
    <w:p>
      <w:pPr>
        <w:pStyle w:val="2"/>
        <w:shd w:val="clear"/>
        <w:rPr>
          <w:rFonts w:hint="eastAsia"/>
          <w:color w:val="auto"/>
          <w:sz w:val="24"/>
          <w:highlight w:val="none"/>
        </w:rPr>
        <w:sectPr>
          <w:footerReference r:id="rId6" w:type="first"/>
          <w:footerReference r:id="rId5" w:type="default"/>
          <w:pgSz w:w="11906" w:h="16838"/>
          <w:pgMar w:top="2098" w:right="1474" w:bottom="1984" w:left="1587" w:header="851" w:footer="1587" w:gutter="0"/>
          <w:pgNumType w:fmt="decimal" w:start="1"/>
          <w:cols w:space="0" w:num="1"/>
          <w:rtlGutter w:val="0"/>
          <w:docGrid w:type="lines" w:linePitch="312" w:charSpace="0"/>
        </w:sectPr>
      </w:pPr>
    </w:p>
    <w:p>
      <w:pPr>
        <w:pStyle w:val="2"/>
        <w:keepNext w:val="0"/>
        <w:keepLines w:val="0"/>
        <w:pageBreakBefore w:val="0"/>
        <w:widowControl w:val="0"/>
        <w:shd w:val="clear"/>
        <w:kinsoku/>
        <w:wordWrap/>
        <w:overflowPunct/>
        <w:topLinePunct w:val="0"/>
        <w:autoSpaceDE/>
        <w:autoSpaceDN/>
        <w:bidi w:val="0"/>
        <w:adjustRightInd/>
        <w:snapToGrid/>
        <w:spacing w:line="576" w:lineRule="exact"/>
        <w:textAlignment w:val="auto"/>
        <w:rPr>
          <w:rFonts w:hint="eastAsia"/>
          <w:color w:val="auto"/>
          <w:highlight w:val="none"/>
        </w:rPr>
      </w:pPr>
    </w:p>
    <w:p>
      <w:pPr>
        <w:keepNext w:val="0"/>
        <w:keepLines w:val="0"/>
        <w:pageBreakBefore w:val="0"/>
        <w:widowControl w:val="0"/>
        <w:shd w:val="clear"/>
        <w:kinsoku/>
        <w:wordWrap/>
        <w:overflowPunct/>
        <w:topLinePunct w:val="0"/>
        <w:autoSpaceDE/>
        <w:autoSpaceDN/>
        <w:bidi w:val="0"/>
        <w:adjustRightInd/>
        <w:snapToGrid/>
        <w:spacing w:before="0" w:after="0" w:line="576" w:lineRule="exact"/>
        <w:ind w:firstLine="0" w:firstLineChars="0"/>
        <w:jc w:val="center"/>
        <w:textAlignment w:val="auto"/>
        <w:outlineLvl w:val="0"/>
        <w:rPr>
          <w:rStyle w:val="22"/>
          <w:rFonts w:hint="eastAsia" w:ascii="方正小标宋简体" w:hAnsi="方正小标宋简体" w:eastAsia="方正小标宋简体" w:cs="方正小标宋简体"/>
          <w:b/>
          <w:bCs w:val="0"/>
          <w:color w:val="auto"/>
          <w:sz w:val="44"/>
          <w:szCs w:val="44"/>
          <w:highlight w:val="none"/>
        </w:rPr>
      </w:pPr>
      <w:bookmarkStart w:id="16" w:name="_Toc15473"/>
      <w:bookmarkStart w:id="17" w:name="_Toc18301"/>
      <w:bookmarkStart w:id="18" w:name="_Toc21307"/>
      <w:r>
        <w:rPr>
          <w:rFonts w:hint="eastAsia" w:ascii="方正小标宋简体" w:hAnsi="方正小标宋简体" w:eastAsia="方正小标宋简体" w:cs="方正小标宋简体"/>
          <w:b w:val="0"/>
          <w:color w:val="auto"/>
          <w:sz w:val="44"/>
          <w:szCs w:val="44"/>
          <w:highlight w:val="none"/>
        </w:rPr>
        <w:t xml:space="preserve">第一部分 </w:t>
      </w:r>
      <w:r>
        <w:rPr>
          <w:rFonts w:hint="eastAsia" w:ascii="方正小标宋简体" w:hAnsi="方正小标宋简体" w:eastAsia="方正小标宋简体" w:cs="方正小标宋简体"/>
          <w:b w:val="0"/>
          <w:color w:val="auto"/>
          <w:sz w:val="44"/>
          <w:szCs w:val="44"/>
          <w:highlight w:val="none"/>
          <w:lang w:val="en-US" w:eastAsia="zh-CN"/>
        </w:rPr>
        <w:t xml:space="preserve"> </w:t>
      </w:r>
      <w:r>
        <w:rPr>
          <w:rStyle w:val="22"/>
          <w:rFonts w:hint="eastAsia" w:ascii="方正小标宋简体" w:hAnsi="方正小标宋简体" w:eastAsia="方正小标宋简体" w:cs="方正小标宋简体"/>
          <w:b w:val="0"/>
          <w:bCs w:val="0"/>
          <w:color w:val="auto"/>
          <w:sz w:val="44"/>
          <w:szCs w:val="44"/>
          <w:highlight w:val="none"/>
        </w:rPr>
        <w:t>部门概况</w:t>
      </w:r>
      <w:bookmarkEnd w:id="14"/>
      <w:bookmarkEnd w:id="15"/>
      <w:bookmarkEnd w:id="16"/>
      <w:bookmarkEnd w:id="17"/>
      <w:bookmarkEnd w:id="18"/>
    </w:p>
    <w:p>
      <w:pPr>
        <w:keepNext w:val="0"/>
        <w:keepLines w:val="0"/>
        <w:pageBreakBefore w:val="0"/>
        <w:widowControl w:val="0"/>
        <w:shd w:val="clear"/>
        <w:kinsoku/>
        <w:wordWrap/>
        <w:overflowPunct/>
        <w:topLinePunct w:val="0"/>
        <w:autoSpaceDE/>
        <w:autoSpaceDN/>
        <w:bidi w:val="0"/>
        <w:spacing w:line="576"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rPr>
      </w:pPr>
    </w:p>
    <w:p>
      <w:pPr>
        <w:keepNext w:val="0"/>
        <w:keepLines w:val="0"/>
        <w:pageBreakBefore w:val="0"/>
        <w:widowControl w:val="0"/>
        <w:numPr>
          <w:ilvl w:val="0"/>
          <w:numId w:val="0"/>
        </w:numPr>
        <w:shd w:val="clear"/>
        <w:kinsoku/>
        <w:wordWrap/>
        <w:overflowPunct/>
        <w:topLinePunct w:val="0"/>
        <w:autoSpaceDE/>
        <w:autoSpaceDN/>
        <w:bidi w:val="0"/>
        <w:adjustRightInd/>
        <w:snapToGrid/>
        <w:spacing w:before="0" w:after="0" w:line="576" w:lineRule="exact"/>
        <w:ind w:firstLine="640" w:firstLineChars="200"/>
        <w:jc w:val="both"/>
        <w:textAlignment w:val="auto"/>
        <w:outlineLvl w:val="1"/>
        <w:rPr>
          <w:rFonts w:hint="eastAsia" w:ascii="黑体" w:hAnsi="黑体" w:eastAsia="黑体" w:cs="黑体"/>
          <w:b w:val="0"/>
          <w:color w:val="auto"/>
          <w:sz w:val="32"/>
          <w:szCs w:val="32"/>
          <w:highlight w:val="none"/>
          <w:lang w:eastAsia="zh-CN"/>
        </w:rPr>
      </w:pPr>
      <w:bookmarkStart w:id="19" w:name="_Toc32392"/>
      <w:bookmarkStart w:id="20" w:name="_Toc26749"/>
      <w:r>
        <w:rPr>
          <w:rFonts w:hint="eastAsia" w:ascii="黑体" w:hAnsi="黑体" w:eastAsia="黑体" w:cs="黑体"/>
          <w:b w:val="0"/>
          <w:color w:val="auto"/>
          <w:sz w:val="32"/>
          <w:szCs w:val="32"/>
          <w:highlight w:val="none"/>
          <w:lang w:eastAsia="zh-CN"/>
        </w:rPr>
        <w:t>一、部门职责</w:t>
      </w:r>
      <w:bookmarkEnd w:id="19"/>
      <w:bookmarkEnd w:id="20"/>
    </w:p>
    <w:p>
      <w:pPr>
        <w:pStyle w:val="7"/>
        <w:keepNext w:val="0"/>
        <w:keepLines w:val="0"/>
        <w:pageBreakBefore w:val="0"/>
        <w:widowControl w:val="0"/>
        <w:shd w:val="clear"/>
        <w:kinsoku/>
        <w:wordWrap/>
        <w:overflowPunct/>
        <w:topLinePunct w:val="0"/>
        <w:autoSpaceDE/>
        <w:autoSpaceDN/>
        <w:bidi w:val="0"/>
        <w:adjustRightInd w:val="0"/>
        <w:snapToGrid w:val="0"/>
        <w:spacing w:beforeLines="0" w:line="576" w:lineRule="exact"/>
        <w:ind w:left="0" w:leftChars="0" w:right="0" w:firstLine="640" w:firstLineChars="200"/>
        <w:jc w:val="both"/>
        <w:textAlignment w:val="auto"/>
        <w:outlineLvl w:val="9"/>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lang w:eastAsia="zh-CN"/>
        </w:rPr>
        <w:t>（一）</w:t>
      </w:r>
      <w:r>
        <w:rPr>
          <w:rFonts w:hint="default" w:ascii="Times New Roman" w:hAnsi="Times New Roman" w:eastAsia="仿宋_GB2312" w:cs="Times New Roman"/>
          <w:bCs/>
          <w:color w:val="auto"/>
          <w:sz w:val="32"/>
          <w:szCs w:val="32"/>
          <w:highlight w:val="none"/>
        </w:rPr>
        <w:t>负责推进投资促进等有关领域的经济合作（以下简称经济合作）。参与起草有关经济合作的地方性法规和规章草案。参与拟订全市经济合作的中长期规划和年度计划并组织实施。</w:t>
      </w:r>
    </w:p>
    <w:p>
      <w:pPr>
        <w:pStyle w:val="7"/>
        <w:keepNext w:val="0"/>
        <w:keepLines w:val="0"/>
        <w:pageBreakBefore w:val="0"/>
        <w:widowControl w:val="0"/>
        <w:shd w:val="clear"/>
        <w:kinsoku/>
        <w:wordWrap/>
        <w:overflowPunct/>
        <w:topLinePunct w:val="0"/>
        <w:autoSpaceDE/>
        <w:autoSpaceDN/>
        <w:bidi w:val="0"/>
        <w:adjustRightInd w:val="0"/>
        <w:snapToGrid w:val="0"/>
        <w:spacing w:beforeLines="0" w:line="576" w:lineRule="exact"/>
        <w:ind w:left="0" w:leftChars="0" w:right="0" w:firstLine="640" w:firstLineChars="200"/>
        <w:jc w:val="both"/>
        <w:textAlignment w:val="auto"/>
        <w:outlineLvl w:val="9"/>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lang w:eastAsia="zh-CN"/>
        </w:rPr>
        <w:t>（二）</w:t>
      </w:r>
      <w:r>
        <w:rPr>
          <w:rFonts w:hint="default" w:ascii="Times New Roman" w:hAnsi="Times New Roman" w:eastAsia="仿宋_GB2312" w:cs="Times New Roman"/>
          <w:bCs/>
          <w:color w:val="auto"/>
          <w:sz w:val="32"/>
          <w:szCs w:val="32"/>
          <w:highlight w:val="none"/>
        </w:rPr>
        <w:t>统筹指导全市投资促进工作。拟订全市投资促进政策、投资促进中长期规划和年度计划并组织实施。负责全市投资环境推介工作。统筹组织市级重大投资促进活动。牵头全市重大招商引资项目的促进和落实。推进投资促进和管理服务网络体系建设。</w:t>
      </w:r>
    </w:p>
    <w:p>
      <w:pPr>
        <w:pStyle w:val="7"/>
        <w:keepNext w:val="0"/>
        <w:keepLines w:val="0"/>
        <w:pageBreakBefore w:val="0"/>
        <w:widowControl w:val="0"/>
        <w:shd w:val="clear"/>
        <w:kinsoku/>
        <w:wordWrap/>
        <w:overflowPunct/>
        <w:topLinePunct w:val="0"/>
        <w:autoSpaceDE/>
        <w:autoSpaceDN/>
        <w:bidi w:val="0"/>
        <w:adjustRightInd w:val="0"/>
        <w:snapToGrid w:val="0"/>
        <w:spacing w:beforeLines="0" w:line="576" w:lineRule="exact"/>
        <w:ind w:left="0" w:leftChars="0" w:right="0" w:firstLine="640" w:firstLineChars="200"/>
        <w:jc w:val="both"/>
        <w:textAlignment w:val="auto"/>
        <w:outlineLvl w:val="9"/>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lang w:eastAsia="zh-CN"/>
        </w:rPr>
        <w:t>（三）</w:t>
      </w:r>
      <w:r>
        <w:rPr>
          <w:rFonts w:hint="default" w:ascii="Times New Roman" w:hAnsi="Times New Roman" w:eastAsia="仿宋_GB2312" w:cs="Times New Roman"/>
          <w:bCs/>
          <w:color w:val="auto"/>
          <w:sz w:val="32"/>
          <w:szCs w:val="32"/>
          <w:highlight w:val="none"/>
        </w:rPr>
        <w:t>指导外商投资促进和管理工作。参与拟订外商投资政策和改革方案并组织实施。统计分析全市外商投资情况。依法监督检查外商投资企业执行有关法律法规规章、合同章程的情况并协调解决有关问题。</w:t>
      </w:r>
    </w:p>
    <w:p>
      <w:pPr>
        <w:pStyle w:val="7"/>
        <w:keepNext w:val="0"/>
        <w:keepLines w:val="0"/>
        <w:pageBreakBefore w:val="0"/>
        <w:widowControl w:val="0"/>
        <w:shd w:val="clear"/>
        <w:kinsoku/>
        <w:wordWrap/>
        <w:overflowPunct/>
        <w:topLinePunct w:val="0"/>
        <w:autoSpaceDE/>
        <w:autoSpaceDN/>
        <w:bidi w:val="0"/>
        <w:adjustRightInd w:val="0"/>
        <w:snapToGrid w:val="0"/>
        <w:spacing w:beforeLines="0" w:line="576" w:lineRule="exact"/>
        <w:ind w:left="0" w:leftChars="0" w:right="0" w:firstLine="640" w:firstLineChars="200"/>
        <w:jc w:val="both"/>
        <w:textAlignment w:val="auto"/>
        <w:outlineLvl w:val="9"/>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lang w:eastAsia="zh-CN"/>
        </w:rPr>
        <w:t>（四）</w:t>
      </w:r>
      <w:r>
        <w:rPr>
          <w:rFonts w:hint="default" w:ascii="Times New Roman" w:hAnsi="Times New Roman" w:eastAsia="仿宋_GB2312" w:cs="Times New Roman"/>
          <w:bCs/>
          <w:color w:val="auto"/>
          <w:sz w:val="32"/>
          <w:szCs w:val="32"/>
          <w:highlight w:val="none"/>
        </w:rPr>
        <w:t>参与推进我市与国（境）内外相关区域合作。承担我市与国（境）内外相关区域经济合作活动的有关具体工作。</w:t>
      </w:r>
    </w:p>
    <w:p>
      <w:pPr>
        <w:pStyle w:val="7"/>
        <w:keepNext w:val="0"/>
        <w:keepLines w:val="0"/>
        <w:pageBreakBefore w:val="0"/>
        <w:widowControl w:val="0"/>
        <w:shd w:val="clear"/>
        <w:kinsoku/>
        <w:wordWrap/>
        <w:overflowPunct/>
        <w:topLinePunct w:val="0"/>
        <w:autoSpaceDE/>
        <w:autoSpaceDN/>
        <w:bidi w:val="0"/>
        <w:adjustRightInd w:val="0"/>
        <w:snapToGrid w:val="0"/>
        <w:spacing w:beforeLines="0" w:line="576" w:lineRule="exact"/>
        <w:ind w:left="0" w:leftChars="0" w:right="0" w:firstLine="640" w:firstLineChars="200"/>
        <w:jc w:val="both"/>
        <w:textAlignment w:val="auto"/>
        <w:outlineLvl w:val="9"/>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lang w:eastAsia="zh-CN"/>
        </w:rPr>
        <w:t>（五）</w:t>
      </w:r>
      <w:r>
        <w:rPr>
          <w:rFonts w:hint="default" w:ascii="Times New Roman" w:hAnsi="Times New Roman" w:eastAsia="仿宋_GB2312" w:cs="Times New Roman"/>
          <w:bCs/>
          <w:color w:val="auto"/>
          <w:sz w:val="32"/>
          <w:szCs w:val="32"/>
          <w:highlight w:val="none"/>
        </w:rPr>
        <w:t>承担推动我市与港澳台地区经贸合作有关工作。</w:t>
      </w:r>
    </w:p>
    <w:p>
      <w:pPr>
        <w:pStyle w:val="7"/>
        <w:keepNext w:val="0"/>
        <w:keepLines w:val="0"/>
        <w:pageBreakBefore w:val="0"/>
        <w:widowControl w:val="0"/>
        <w:shd w:val="clear"/>
        <w:kinsoku/>
        <w:wordWrap/>
        <w:overflowPunct/>
        <w:topLinePunct w:val="0"/>
        <w:autoSpaceDE/>
        <w:autoSpaceDN/>
        <w:bidi w:val="0"/>
        <w:adjustRightInd w:val="0"/>
        <w:snapToGrid w:val="0"/>
        <w:spacing w:beforeLines="0" w:line="576" w:lineRule="exact"/>
        <w:ind w:left="0" w:leftChars="0" w:right="0" w:firstLine="640" w:firstLineChars="200"/>
        <w:jc w:val="both"/>
        <w:textAlignment w:val="auto"/>
        <w:outlineLvl w:val="9"/>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lang w:eastAsia="zh-CN"/>
        </w:rPr>
        <w:t>（六）</w:t>
      </w:r>
      <w:r>
        <w:rPr>
          <w:rFonts w:hint="default" w:ascii="Times New Roman" w:hAnsi="Times New Roman" w:eastAsia="仿宋_GB2312" w:cs="Times New Roman"/>
          <w:bCs/>
          <w:color w:val="auto"/>
          <w:sz w:val="32"/>
          <w:szCs w:val="32"/>
          <w:highlight w:val="none"/>
        </w:rPr>
        <w:t>受市政府委托，负责管理市政府各驻外机构（不含市政府驻北京联络处、驻成都办事处、驻新疆办事处，下同）。推动全市博览发展促进工作，参与拟订全市会展业发展规划和相关政策。</w:t>
      </w:r>
    </w:p>
    <w:p>
      <w:pPr>
        <w:pStyle w:val="7"/>
        <w:keepNext w:val="0"/>
        <w:keepLines w:val="0"/>
        <w:pageBreakBefore w:val="0"/>
        <w:widowControl w:val="0"/>
        <w:shd w:val="clear"/>
        <w:kinsoku/>
        <w:wordWrap/>
        <w:overflowPunct/>
        <w:topLinePunct w:val="0"/>
        <w:autoSpaceDE/>
        <w:autoSpaceDN/>
        <w:bidi w:val="0"/>
        <w:adjustRightInd w:val="0"/>
        <w:snapToGrid w:val="0"/>
        <w:spacing w:beforeLines="0" w:line="600" w:lineRule="exact"/>
        <w:ind w:left="0" w:leftChars="0" w:right="0" w:firstLine="640" w:firstLineChars="200"/>
        <w:jc w:val="both"/>
        <w:textAlignment w:val="auto"/>
        <w:outlineLvl w:val="9"/>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lang w:eastAsia="zh-CN"/>
        </w:rPr>
        <w:t>（七）</w:t>
      </w:r>
      <w:r>
        <w:rPr>
          <w:rFonts w:hint="default" w:ascii="Times New Roman" w:hAnsi="Times New Roman" w:eastAsia="仿宋_GB2312" w:cs="Times New Roman"/>
          <w:bCs/>
          <w:color w:val="auto"/>
          <w:sz w:val="32"/>
          <w:szCs w:val="32"/>
          <w:highlight w:val="none"/>
        </w:rPr>
        <w:t>负责职责范围内的安全生产和职业健康、生态环境保护、审批服务便民化等工作。</w:t>
      </w:r>
    </w:p>
    <w:p>
      <w:pPr>
        <w:pStyle w:val="7"/>
        <w:keepNext w:val="0"/>
        <w:keepLines w:val="0"/>
        <w:pageBreakBefore w:val="0"/>
        <w:widowControl w:val="0"/>
        <w:shd w:val="clear"/>
        <w:kinsoku/>
        <w:wordWrap/>
        <w:overflowPunct/>
        <w:topLinePunct w:val="0"/>
        <w:autoSpaceDE/>
        <w:autoSpaceDN/>
        <w:bidi w:val="0"/>
        <w:adjustRightInd w:val="0"/>
        <w:snapToGrid w:val="0"/>
        <w:spacing w:beforeLines="0" w:line="600" w:lineRule="exact"/>
        <w:ind w:left="0" w:leftChars="0" w:right="0" w:firstLine="640" w:firstLineChars="200"/>
        <w:jc w:val="both"/>
        <w:textAlignment w:val="auto"/>
        <w:outlineLvl w:val="9"/>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lang w:eastAsia="zh-CN"/>
        </w:rPr>
        <w:t>（八）</w:t>
      </w:r>
      <w:r>
        <w:rPr>
          <w:rFonts w:hint="default" w:ascii="Times New Roman" w:hAnsi="Times New Roman" w:eastAsia="仿宋_GB2312" w:cs="Times New Roman"/>
          <w:bCs/>
          <w:color w:val="auto"/>
          <w:sz w:val="32"/>
          <w:szCs w:val="32"/>
          <w:highlight w:val="none"/>
        </w:rPr>
        <w:t>完成市委、市政府交办的其他工作。</w:t>
      </w:r>
    </w:p>
    <w:p>
      <w:pPr>
        <w:pStyle w:val="7"/>
        <w:keepNext w:val="0"/>
        <w:keepLines w:val="0"/>
        <w:pageBreakBefore w:val="0"/>
        <w:widowControl w:val="0"/>
        <w:shd w:val="clear"/>
        <w:kinsoku/>
        <w:wordWrap/>
        <w:overflowPunct/>
        <w:topLinePunct w:val="0"/>
        <w:autoSpaceDE/>
        <w:autoSpaceDN/>
        <w:bidi w:val="0"/>
        <w:adjustRightInd w:val="0"/>
        <w:snapToGrid w:val="0"/>
        <w:spacing w:beforeLines="0" w:line="600" w:lineRule="exact"/>
        <w:ind w:left="0" w:leftChars="0" w:right="0" w:firstLine="640" w:firstLineChars="200"/>
        <w:jc w:val="both"/>
        <w:textAlignment w:val="auto"/>
        <w:outlineLvl w:val="9"/>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lang w:eastAsia="zh-CN"/>
        </w:rPr>
        <w:t>（九）</w:t>
      </w:r>
      <w:r>
        <w:rPr>
          <w:rFonts w:hint="default" w:ascii="Times New Roman" w:hAnsi="Times New Roman" w:eastAsia="仿宋_GB2312" w:cs="Times New Roman"/>
          <w:bCs/>
          <w:color w:val="auto"/>
          <w:sz w:val="32"/>
          <w:szCs w:val="32"/>
          <w:highlight w:val="none"/>
        </w:rPr>
        <w:t>职能转变。建立健全体制机制，加强对全市经济合作的统筹，推进内资和外资、招商与博览有机融合发展。优化精准招商、精品招商、集群招商路径和方式，提升开放合作平台影响力，提高招商引资质量，发展壮大重点产业。深入实施外商投资管理体制改革，进一步改进外商投资企业投资管理，提高投资便利化水平。提升与发达地区经济合作层次，推进全市投资促进分工协作、错位发展。加强对重大引进项目的跟踪服务，完善市级重大引进项目激励机制。促进全市博览事业快速发展。</w:t>
      </w:r>
    </w:p>
    <w:p>
      <w:pPr>
        <w:pStyle w:val="7"/>
        <w:keepNext w:val="0"/>
        <w:keepLines w:val="0"/>
        <w:pageBreakBefore w:val="0"/>
        <w:widowControl w:val="0"/>
        <w:shd w:val="clear"/>
        <w:kinsoku/>
        <w:wordWrap/>
        <w:overflowPunct/>
        <w:topLinePunct w:val="0"/>
        <w:autoSpaceDE/>
        <w:autoSpaceDN/>
        <w:bidi w:val="0"/>
        <w:adjustRightInd w:val="0"/>
        <w:snapToGrid w:val="0"/>
        <w:spacing w:beforeLines="0" w:line="600" w:lineRule="exact"/>
        <w:ind w:left="0" w:leftChars="0" w:right="0" w:firstLine="640" w:firstLineChars="200"/>
        <w:jc w:val="both"/>
        <w:textAlignment w:val="auto"/>
        <w:outlineLvl w:val="9"/>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lang w:eastAsia="zh-CN"/>
        </w:rPr>
        <w:t>（十）</w:t>
      </w:r>
      <w:r>
        <w:rPr>
          <w:rFonts w:hint="default" w:ascii="Times New Roman" w:hAnsi="Times New Roman" w:eastAsia="仿宋_GB2312" w:cs="Times New Roman"/>
          <w:bCs/>
          <w:color w:val="auto"/>
          <w:sz w:val="32"/>
          <w:szCs w:val="32"/>
          <w:highlight w:val="none"/>
        </w:rPr>
        <w:t>有关职责分工。</w:t>
      </w:r>
    </w:p>
    <w:p>
      <w:pPr>
        <w:pStyle w:val="7"/>
        <w:keepNext w:val="0"/>
        <w:keepLines w:val="0"/>
        <w:pageBreakBefore w:val="0"/>
        <w:widowControl w:val="0"/>
        <w:shd w:val="clear"/>
        <w:kinsoku/>
        <w:wordWrap/>
        <w:overflowPunct/>
        <w:topLinePunct w:val="0"/>
        <w:autoSpaceDE/>
        <w:autoSpaceDN/>
        <w:bidi w:val="0"/>
        <w:adjustRightInd w:val="0"/>
        <w:snapToGrid w:val="0"/>
        <w:spacing w:beforeLines="0" w:line="600" w:lineRule="exact"/>
        <w:ind w:left="0" w:leftChars="0" w:right="0" w:firstLine="640" w:firstLineChars="200"/>
        <w:jc w:val="both"/>
        <w:textAlignment w:val="auto"/>
        <w:outlineLvl w:val="9"/>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 w:val="0"/>
          <w:bCs/>
          <w:color w:val="auto"/>
          <w:sz w:val="32"/>
          <w:szCs w:val="32"/>
          <w:highlight w:val="none"/>
          <w:lang w:val="en-US" w:eastAsia="zh-CN"/>
        </w:rPr>
        <w:t>1.</w:t>
      </w:r>
      <w:r>
        <w:rPr>
          <w:rFonts w:hint="default" w:ascii="Times New Roman" w:hAnsi="Times New Roman" w:eastAsia="仿宋_GB2312" w:cs="Times New Roman"/>
          <w:b w:val="0"/>
          <w:bCs/>
          <w:color w:val="auto"/>
          <w:sz w:val="32"/>
          <w:szCs w:val="32"/>
          <w:highlight w:val="none"/>
        </w:rPr>
        <w:t>外商投资管理。</w:t>
      </w:r>
      <w:r>
        <w:rPr>
          <w:rFonts w:hint="default" w:ascii="Times New Roman" w:hAnsi="Times New Roman" w:eastAsia="仿宋_GB2312" w:cs="Times New Roman"/>
          <w:bCs/>
          <w:color w:val="auto"/>
          <w:sz w:val="32"/>
          <w:szCs w:val="32"/>
          <w:highlight w:val="none"/>
        </w:rPr>
        <w:t>会同</w:t>
      </w:r>
      <w:r>
        <w:rPr>
          <w:rFonts w:hint="eastAsia" w:ascii="Times New Roman" w:cs="Times New Roman"/>
          <w:bCs/>
          <w:color w:val="auto"/>
          <w:sz w:val="32"/>
          <w:szCs w:val="32"/>
          <w:highlight w:val="none"/>
          <w:lang w:eastAsia="zh-CN"/>
        </w:rPr>
        <w:t>相关</w:t>
      </w:r>
      <w:r>
        <w:rPr>
          <w:rFonts w:hint="default" w:ascii="Times New Roman" w:hAnsi="Times New Roman" w:eastAsia="仿宋_GB2312" w:cs="Times New Roman"/>
          <w:bCs/>
          <w:color w:val="auto"/>
          <w:sz w:val="32"/>
          <w:szCs w:val="32"/>
          <w:highlight w:val="none"/>
        </w:rPr>
        <w:t>部门拟订上报《外商投资产业指导目录》和《中西部地区外商投资优势产业目录》的调整意见。市发展改革委按规定权限负责对外商投资企业投资项目进行核准、备案。市商务局按规定权限对广元经济开发区涉及国家规定实施准入特别管理措施的外商投资企业审批工作进行协调指导</w:t>
      </w:r>
      <w:r>
        <w:rPr>
          <w:rFonts w:hint="eastAsia" w:ascii="Times New Roman" w:cs="Times New Roman"/>
          <w:bCs/>
          <w:color w:val="auto"/>
          <w:sz w:val="32"/>
          <w:szCs w:val="32"/>
          <w:highlight w:val="none"/>
          <w:lang w:eastAsia="zh-CN"/>
        </w:rPr>
        <w:t>。</w:t>
      </w:r>
      <w:r>
        <w:rPr>
          <w:rFonts w:hint="eastAsia" w:ascii="Times New Roman" w:cs="Times New Roman"/>
          <w:bCs/>
          <w:color w:val="auto"/>
          <w:sz w:val="32"/>
          <w:szCs w:val="32"/>
          <w:highlight w:val="none"/>
          <w:lang w:val="en-US" w:eastAsia="zh-CN"/>
        </w:rPr>
        <w:t>我</w:t>
      </w:r>
      <w:r>
        <w:rPr>
          <w:rFonts w:hint="default" w:ascii="Times New Roman" w:hAnsi="Times New Roman" w:eastAsia="仿宋_GB2312" w:cs="Times New Roman"/>
          <w:bCs/>
          <w:color w:val="auto"/>
          <w:sz w:val="32"/>
          <w:szCs w:val="32"/>
          <w:highlight w:val="none"/>
        </w:rPr>
        <w:t>局按规定权限负责对外商投资企业设立及变更备案。</w:t>
      </w:r>
    </w:p>
    <w:p>
      <w:pPr>
        <w:pStyle w:val="7"/>
        <w:keepNext w:val="0"/>
        <w:keepLines w:val="0"/>
        <w:pageBreakBefore w:val="0"/>
        <w:widowControl w:val="0"/>
        <w:shd w:val="clear"/>
        <w:kinsoku/>
        <w:wordWrap/>
        <w:overflowPunct/>
        <w:topLinePunct w:val="0"/>
        <w:autoSpaceDE/>
        <w:autoSpaceDN/>
        <w:bidi w:val="0"/>
        <w:adjustRightInd w:val="0"/>
        <w:snapToGrid w:val="0"/>
        <w:spacing w:beforeLines="0" w:line="60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val="0"/>
          <w:bCs/>
          <w:color w:val="auto"/>
          <w:sz w:val="32"/>
          <w:szCs w:val="32"/>
          <w:highlight w:val="none"/>
          <w:lang w:val="en-US" w:eastAsia="zh-CN"/>
        </w:rPr>
        <w:t>2.</w:t>
      </w:r>
      <w:r>
        <w:rPr>
          <w:rFonts w:hint="default" w:ascii="Times New Roman" w:hAnsi="Times New Roman" w:eastAsia="仿宋_GB2312" w:cs="Times New Roman"/>
          <w:b w:val="0"/>
          <w:bCs/>
          <w:color w:val="auto"/>
          <w:sz w:val="32"/>
          <w:szCs w:val="32"/>
          <w:highlight w:val="none"/>
        </w:rPr>
        <w:t>并购安全审查。</w:t>
      </w:r>
      <w:r>
        <w:rPr>
          <w:rFonts w:hint="default" w:ascii="Times New Roman" w:hAnsi="Times New Roman" w:eastAsia="仿宋_GB2312" w:cs="Times New Roman"/>
          <w:bCs/>
          <w:color w:val="auto"/>
          <w:sz w:val="32"/>
          <w:szCs w:val="32"/>
          <w:highlight w:val="none"/>
        </w:rPr>
        <w:t>市发展改革委、市商务局、市经济合作</w:t>
      </w:r>
      <w:r>
        <w:rPr>
          <w:rFonts w:hint="default" w:ascii="Times New Roman" w:hAnsi="Times New Roman" w:eastAsia="仿宋_GB2312" w:cs="Times New Roman"/>
          <w:bCs/>
          <w:color w:val="auto"/>
          <w:sz w:val="32"/>
          <w:szCs w:val="32"/>
          <w:highlight w:val="none"/>
          <w:lang w:eastAsia="zh-CN"/>
        </w:rPr>
        <w:t>和外事</w:t>
      </w:r>
      <w:r>
        <w:rPr>
          <w:rFonts w:hint="default" w:ascii="Times New Roman" w:hAnsi="Times New Roman" w:eastAsia="仿宋_GB2312" w:cs="Times New Roman"/>
          <w:bCs/>
          <w:color w:val="auto"/>
          <w:sz w:val="32"/>
          <w:szCs w:val="32"/>
          <w:highlight w:val="none"/>
        </w:rPr>
        <w:t>局按照各自职责，分别配合省发展改革委、省商委厅、省经济合作局开展外国投资者并购市内企业安全审查的相关工作。</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0" w:after="0" w:line="600" w:lineRule="exact"/>
        <w:ind w:firstLine="640" w:firstLineChars="200"/>
        <w:jc w:val="both"/>
        <w:textAlignment w:val="auto"/>
        <w:outlineLvl w:val="1"/>
        <w:rPr>
          <w:rFonts w:hint="eastAsia" w:ascii="黑体" w:hAnsi="黑体" w:eastAsia="黑体" w:cs="黑体"/>
          <w:b w:val="0"/>
          <w:color w:val="auto"/>
          <w:sz w:val="32"/>
          <w:szCs w:val="32"/>
          <w:highlight w:val="none"/>
          <w:lang w:eastAsia="zh-CN"/>
        </w:rPr>
      </w:pPr>
      <w:bookmarkStart w:id="21" w:name="_Toc15396601"/>
      <w:bookmarkStart w:id="22" w:name="_Toc10509"/>
      <w:bookmarkStart w:id="23" w:name="_Toc15377200"/>
      <w:bookmarkStart w:id="24" w:name="_Toc26345"/>
      <w:r>
        <w:rPr>
          <w:rFonts w:hint="eastAsia" w:ascii="黑体" w:hAnsi="黑体" w:eastAsia="黑体" w:cs="黑体"/>
          <w:b w:val="0"/>
          <w:color w:val="auto"/>
          <w:sz w:val="32"/>
          <w:szCs w:val="32"/>
          <w:highlight w:val="none"/>
          <w:lang w:eastAsia="zh-CN"/>
        </w:rPr>
        <w:t>二、机构设置</w:t>
      </w:r>
      <w:bookmarkEnd w:id="21"/>
      <w:bookmarkEnd w:id="22"/>
      <w:bookmarkEnd w:id="23"/>
      <w:bookmarkEnd w:id="24"/>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广元市经济合作和外事局</w:t>
      </w:r>
      <w:r>
        <w:rPr>
          <w:rFonts w:hint="default" w:ascii="Times New Roman" w:hAnsi="Times New Roman" w:eastAsia="仿宋_GB2312" w:cs="Times New Roman"/>
          <w:color w:val="auto"/>
          <w:sz w:val="32"/>
          <w:szCs w:val="32"/>
          <w:highlight w:val="none"/>
        </w:rPr>
        <w:t>下属二级单位</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个，其中行政单位</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个，其他事业单位</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个</w:t>
      </w:r>
      <w:r>
        <w:rPr>
          <w:rFonts w:hint="default" w:ascii="Times New Roman" w:hAnsi="Times New Roman" w:eastAsia="仿宋_GB2312" w:cs="Times New Roman"/>
          <w:color w:val="auto"/>
          <w:sz w:val="32"/>
          <w:szCs w:val="32"/>
          <w:highlight w:val="none"/>
          <w:lang w:eastAsia="zh-CN"/>
        </w:rPr>
        <w:t>，我单位无二级预算单位，由局机关统一核算。</w:t>
      </w:r>
    </w:p>
    <w:p>
      <w:pPr>
        <w:keepNext w:val="0"/>
        <w:keepLines w:val="0"/>
        <w:pageBreakBefore w:val="0"/>
        <w:widowControl/>
        <w:shd w:val="clear"/>
        <w:kinsoku/>
        <w:wordWrap/>
        <w:overflowPunct/>
        <w:topLinePunct w:val="0"/>
        <w:autoSpaceDE/>
        <w:autoSpaceDN/>
        <w:bidi w:val="0"/>
        <w:jc w:val="left"/>
        <w:outlineLvl w:val="9"/>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keepNext w:val="0"/>
        <w:keepLines w:val="0"/>
        <w:pageBreakBefore w:val="0"/>
        <w:widowControl w:val="0"/>
        <w:numPr>
          <w:ilvl w:val="0"/>
          <w:numId w:val="0"/>
        </w:numPr>
        <w:shd w:val="clear"/>
        <w:kinsoku/>
        <w:wordWrap/>
        <w:overflowPunct/>
        <w:topLinePunct w:val="0"/>
        <w:autoSpaceDE/>
        <w:autoSpaceDN/>
        <w:bidi w:val="0"/>
        <w:spacing w:line="576" w:lineRule="exact"/>
        <w:ind w:leftChars="0" w:firstLine="880" w:firstLineChars="200"/>
        <w:jc w:val="center"/>
        <w:textAlignment w:val="auto"/>
        <w:outlineLvl w:val="9"/>
        <w:rPr>
          <w:rFonts w:hint="eastAsia" w:ascii="方正小标宋简体" w:hAnsi="方正小标宋简体" w:eastAsia="方正小标宋简体" w:cs="方正小标宋简体"/>
          <w:color w:val="auto"/>
          <w:sz w:val="44"/>
          <w:szCs w:val="44"/>
          <w:highlight w:val="none"/>
          <w:lang w:eastAsia="zh-CN"/>
        </w:rPr>
      </w:pPr>
      <w:bookmarkStart w:id="25" w:name="_Toc15377204"/>
      <w:bookmarkStart w:id="26" w:name="_Toc15396602"/>
    </w:p>
    <w:p>
      <w:pPr>
        <w:keepNext w:val="0"/>
        <w:keepLines w:val="0"/>
        <w:pageBreakBefore w:val="0"/>
        <w:widowControl w:val="0"/>
        <w:shd w:val="clear"/>
        <w:kinsoku/>
        <w:wordWrap/>
        <w:overflowPunct/>
        <w:topLinePunct w:val="0"/>
        <w:autoSpaceDE/>
        <w:autoSpaceDN/>
        <w:bidi w:val="0"/>
        <w:adjustRightInd/>
        <w:snapToGrid/>
        <w:spacing w:before="0" w:after="0" w:line="576" w:lineRule="exact"/>
        <w:ind w:firstLine="0" w:firstLineChars="0"/>
        <w:jc w:val="center"/>
        <w:textAlignment w:val="auto"/>
        <w:outlineLvl w:val="0"/>
        <w:rPr>
          <w:rFonts w:hint="eastAsia" w:ascii="方正小标宋简体" w:hAnsi="方正小标宋简体" w:eastAsia="方正小标宋简体" w:cs="方正小标宋简体"/>
          <w:b w:val="0"/>
          <w:color w:val="auto"/>
          <w:sz w:val="44"/>
          <w:szCs w:val="44"/>
          <w:highlight w:val="none"/>
          <w:lang w:eastAsia="zh-CN"/>
        </w:rPr>
      </w:pPr>
      <w:bookmarkStart w:id="27" w:name="_Toc2517"/>
      <w:bookmarkStart w:id="28" w:name="_Toc31676"/>
      <w:bookmarkStart w:id="29" w:name="_Toc31886"/>
      <w:r>
        <w:rPr>
          <w:rFonts w:hint="eastAsia" w:ascii="方正小标宋简体" w:hAnsi="方正小标宋简体" w:eastAsia="方正小标宋简体" w:cs="方正小标宋简体"/>
          <w:b w:val="0"/>
          <w:color w:val="auto"/>
          <w:sz w:val="44"/>
          <w:szCs w:val="44"/>
          <w:highlight w:val="none"/>
          <w:lang w:eastAsia="zh-CN"/>
        </w:rPr>
        <w:t xml:space="preserve">第二部分 </w:t>
      </w:r>
      <w:r>
        <w:rPr>
          <w:rFonts w:hint="eastAsia" w:ascii="方正小标宋简体" w:hAnsi="方正小标宋简体" w:eastAsia="方正小标宋简体" w:cs="方正小标宋简体"/>
          <w:b w:val="0"/>
          <w:color w:val="auto"/>
          <w:sz w:val="44"/>
          <w:szCs w:val="44"/>
          <w:highlight w:val="none"/>
          <w:lang w:val="en-US" w:eastAsia="zh-CN"/>
        </w:rPr>
        <w:t xml:space="preserve"> 2022年度</w:t>
      </w:r>
      <w:r>
        <w:rPr>
          <w:rFonts w:hint="eastAsia" w:ascii="方正小标宋简体" w:hAnsi="方正小标宋简体" w:eastAsia="方正小标宋简体" w:cs="方正小标宋简体"/>
          <w:b w:val="0"/>
          <w:color w:val="auto"/>
          <w:sz w:val="44"/>
          <w:szCs w:val="44"/>
          <w:highlight w:val="none"/>
          <w:lang w:eastAsia="zh-CN"/>
        </w:rPr>
        <w:t>部门决算情况说明</w:t>
      </w:r>
      <w:bookmarkEnd w:id="25"/>
      <w:bookmarkEnd w:id="26"/>
      <w:bookmarkEnd w:id="27"/>
      <w:bookmarkEnd w:id="28"/>
      <w:bookmarkEnd w:id="29"/>
    </w:p>
    <w:p>
      <w:pPr>
        <w:keepNext w:val="0"/>
        <w:keepLines w:val="0"/>
        <w:pageBreakBefore w:val="0"/>
        <w:widowControl w:val="0"/>
        <w:numPr>
          <w:ilvl w:val="0"/>
          <w:numId w:val="0"/>
        </w:numPr>
        <w:shd w:val="clear"/>
        <w:kinsoku/>
        <w:wordWrap/>
        <w:overflowPunct/>
        <w:topLinePunct w:val="0"/>
        <w:autoSpaceDE/>
        <w:autoSpaceDN/>
        <w:bidi w:val="0"/>
        <w:spacing w:line="576" w:lineRule="exact"/>
        <w:ind w:lef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p>
    <w:p>
      <w:pPr>
        <w:keepNext w:val="0"/>
        <w:keepLines w:val="0"/>
        <w:pageBreakBefore w:val="0"/>
        <w:widowControl w:val="0"/>
        <w:numPr>
          <w:ilvl w:val="0"/>
          <w:numId w:val="0"/>
        </w:numPr>
        <w:shd w:val="clear"/>
        <w:kinsoku/>
        <w:wordWrap/>
        <w:overflowPunct/>
        <w:topLinePunct w:val="0"/>
        <w:autoSpaceDE/>
        <w:autoSpaceDN/>
        <w:bidi w:val="0"/>
        <w:adjustRightInd/>
        <w:snapToGrid/>
        <w:spacing w:before="0" w:after="0" w:line="576" w:lineRule="exact"/>
        <w:ind w:firstLine="640" w:firstLineChars="200"/>
        <w:jc w:val="both"/>
        <w:textAlignment w:val="auto"/>
        <w:outlineLvl w:val="1"/>
        <w:rPr>
          <w:rFonts w:hint="eastAsia" w:ascii="黑体" w:hAnsi="黑体" w:eastAsia="黑体" w:cs="黑体"/>
          <w:b w:val="0"/>
          <w:color w:val="auto"/>
          <w:sz w:val="32"/>
          <w:szCs w:val="32"/>
          <w:highlight w:val="none"/>
          <w:lang w:eastAsia="zh-CN"/>
        </w:rPr>
      </w:pPr>
      <w:bookmarkStart w:id="30" w:name="_Toc22668"/>
      <w:bookmarkStart w:id="31" w:name="_Toc27887"/>
      <w:bookmarkStart w:id="32" w:name="_Toc15377205"/>
      <w:bookmarkStart w:id="33" w:name="_Toc15396603"/>
      <w:r>
        <w:rPr>
          <w:rFonts w:hint="eastAsia" w:ascii="黑体" w:hAnsi="黑体" w:eastAsia="黑体" w:cs="黑体"/>
          <w:b w:val="0"/>
          <w:color w:val="auto"/>
          <w:sz w:val="32"/>
          <w:szCs w:val="32"/>
          <w:highlight w:val="none"/>
          <w:lang w:eastAsia="zh-CN"/>
        </w:rPr>
        <w:t>一、收入支出决算总体情况说明</w:t>
      </w:r>
      <w:bookmarkEnd w:id="30"/>
      <w:bookmarkEnd w:id="31"/>
      <w:bookmarkEnd w:id="32"/>
      <w:bookmarkEnd w:id="33"/>
    </w:p>
    <w:p>
      <w:pPr>
        <w:keepNext w:val="0"/>
        <w:keepLines w:val="0"/>
        <w:pageBreakBefore w:val="0"/>
        <w:widowControl w:val="0"/>
        <w:numPr>
          <w:ilvl w:val="0"/>
          <w:numId w:val="0"/>
        </w:numPr>
        <w:shd w:val="clear"/>
        <w:kinsoku/>
        <w:wordWrap/>
        <w:overflowPunct/>
        <w:topLinePunct w:val="0"/>
        <w:autoSpaceDE/>
        <w:autoSpaceDN/>
        <w:bidi w:val="0"/>
        <w:spacing w:line="576" w:lineRule="exact"/>
        <w:ind w:leftChars="0" w:firstLine="640" w:firstLineChars="200"/>
        <w:jc w:val="both"/>
        <w:textAlignment w:val="auto"/>
        <w:outlineLvl w:val="9"/>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20</w:t>
      </w:r>
      <w:r>
        <w:rPr>
          <w:rFonts w:hint="eastAsia" w:ascii="Times New Roman" w:hAnsi="Times New Roman" w:eastAsia="仿宋_GB2312" w:cs="Times New Roman"/>
          <w:color w:val="auto"/>
          <w:sz w:val="32"/>
          <w:szCs w:val="32"/>
          <w:highlight w:val="none"/>
          <w:lang w:val="en-US" w:eastAsia="zh-CN"/>
        </w:rPr>
        <w:t>22</w:t>
      </w:r>
      <w:r>
        <w:rPr>
          <w:rFonts w:hint="eastAsia" w:ascii="Times New Roman" w:hAnsi="Times New Roman" w:eastAsia="仿宋_GB2312" w:cs="Times New Roman"/>
          <w:color w:val="auto"/>
          <w:sz w:val="32"/>
          <w:szCs w:val="32"/>
          <w:highlight w:val="none"/>
          <w:lang w:eastAsia="zh-CN"/>
        </w:rPr>
        <w:t>年度收、支总</w:t>
      </w:r>
      <w:r>
        <w:rPr>
          <w:rFonts w:hint="eastAsia" w:eastAsia="仿宋_GB2312" w:cs="Times New Roman"/>
          <w:color w:val="auto"/>
          <w:sz w:val="32"/>
          <w:szCs w:val="32"/>
          <w:highlight w:val="none"/>
          <w:lang w:val="en-US" w:eastAsia="zh-CN"/>
        </w:rPr>
        <w:t>计</w:t>
      </w:r>
      <w:r>
        <w:rPr>
          <w:rFonts w:hint="eastAsia" w:ascii="Times New Roman" w:hAnsi="Times New Roman" w:eastAsia="仿宋_GB2312" w:cs="Times New Roman"/>
          <w:color w:val="auto"/>
          <w:sz w:val="32"/>
          <w:szCs w:val="32"/>
          <w:highlight w:val="none"/>
          <w:lang w:val="en-US" w:eastAsia="zh-CN"/>
        </w:rPr>
        <w:t>1588.71万元</w:t>
      </w:r>
      <w:r>
        <w:rPr>
          <w:rFonts w:hint="eastAsia" w:ascii="Times New Roman" w:hAnsi="Times New Roman" w:eastAsia="仿宋_GB2312" w:cs="Times New Roman"/>
          <w:color w:val="auto"/>
          <w:sz w:val="32"/>
          <w:szCs w:val="32"/>
          <w:highlight w:val="none"/>
          <w:lang w:eastAsia="zh-CN"/>
        </w:rPr>
        <w:t>。与20</w:t>
      </w:r>
      <w:r>
        <w:rPr>
          <w:rFonts w:hint="eastAsia" w:ascii="Times New Roman" w:hAnsi="Times New Roman" w:eastAsia="仿宋_GB2312" w:cs="Times New Roman"/>
          <w:color w:val="auto"/>
          <w:sz w:val="32"/>
          <w:szCs w:val="32"/>
          <w:highlight w:val="none"/>
          <w:lang w:val="en-US" w:eastAsia="zh-CN"/>
        </w:rPr>
        <w:t>21</w:t>
      </w:r>
      <w:r>
        <w:rPr>
          <w:rFonts w:hint="eastAsia" w:ascii="Times New Roman" w:hAnsi="Times New Roman" w:eastAsia="仿宋_GB2312" w:cs="Times New Roman"/>
          <w:color w:val="auto"/>
          <w:sz w:val="32"/>
          <w:szCs w:val="32"/>
          <w:highlight w:val="none"/>
          <w:lang w:eastAsia="zh-CN"/>
        </w:rPr>
        <w:t>年相比，收、支总计各减少</w:t>
      </w:r>
      <w:r>
        <w:rPr>
          <w:rFonts w:hint="eastAsia" w:ascii="Times New Roman" w:hAnsi="Times New Roman" w:eastAsia="仿宋_GB2312" w:cs="Times New Roman"/>
          <w:color w:val="auto"/>
          <w:sz w:val="32"/>
          <w:szCs w:val="32"/>
          <w:highlight w:val="none"/>
          <w:lang w:val="en-US" w:eastAsia="zh-CN"/>
        </w:rPr>
        <w:t>226.92</w:t>
      </w:r>
      <w:r>
        <w:rPr>
          <w:rFonts w:hint="eastAsia" w:ascii="Times New Roman" w:hAnsi="Times New Roman" w:eastAsia="仿宋_GB2312" w:cs="Times New Roman"/>
          <w:color w:val="auto"/>
          <w:sz w:val="32"/>
          <w:szCs w:val="32"/>
          <w:highlight w:val="none"/>
          <w:lang w:eastAsia="zh-CN"/>
        </w:rPr>
        <w:t>万元，下降</w:t>
      </w:r>
      <w:r>
        <w:rPr>
          <w:rFonts w:hint="eastAsia" w:ascii="Times New Roman" w:hAnsi="Times New Roman" w:eastAsia="仿宋_GB2312" w:cs="Times New Roman"/>
          <w:color w:val="auto"/>
          <w:sz w:val="32"/>
          <w:szCs w:val="32"/>
          <w:highlight w:val="none"/>
          <w:lang w:val="en-US" w:eastAsia="zh-CN"/>
        </w:rPr>
        <w:t>12.5</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。主要变动原因是</w:t>
      </w:r>
      <w:r>
        <w:rPr>
          <w:rFonts w:hint="eastAsia" w:ascii="Times New Roman" w:hAnsi="Times New Roman" w:eastAsia="仿宋_GB2312" w:cs="Times New Roman"/>
          <w:color w:val="auto"/>
          <w:sz w:val="32"/>
          <w:szCs w:val="32"/>
          <w:highlight w:val="none"/>
          <w:lang w:val="en-US" w:eastAsia="zh-CN"/>
        </w:rPr>
        <w:t>2022年疫情严重，对全年招商活动造成影响，外出减少，导致费用支出减少</w:t>
      </w:r>
      <w:r>
        <w:rPr>
          <w:rFonts w:hint="eastAsia" w:ascii="Times New Roman" w:hAnsi="Times New Roman" w:eastAsia="仿宋_GB2312" w:cs="Times New Roman"/>
          <w:color w:val="auto"/>
          <w:sz w:val="32"/>
          <w:szCs w:val="32"/>
          <w:highlight w:val="none"/>
          <w:lang w:eastAsia="zh-CN"/>
        </w:rPr>
        <w:t>。</w:t>
      </w:r>
    </w:p>
    <w:p>
      <w:pPr>
        <w:pStyle w:val="14"/>
        <w:keepNext w:val="0"/>
        <w:keepLines w:val="0"/>
        <w:pageBreakBefore w:val="0"/>
        <w:shd w:val="clear"/>
        <w:kinsoku/>
        <w:wordWrap/>
        <w:overflowPunct/>
        <w:topLinePunct w:val="0"/>
        <w:autoSpaceDE/>
        <w:autoSpaceDN/>
        <w:bidi w:val="0"/>
        <w:ind w:left="1470" w:hanging="1050" w:hangingChars="500"/>
        <w:outlineLvl w:val="9"/>
        <w:rPr>
          <w:rFonts w:hint="eastAsia"/>
          <w:color w:val="auto"/>
          <w:highlight w:val="none"/>
          <w:lang w:val="en-US" w:eastAsia="zh-CN"/>
        </w:rPr>
      </w:pPr>
      <w:r>
        <w:rPr>
          <w:rFonts w:hint="eastAsia"/>
          <w:color w:val="auto"/>
          <w:highlight w:val="none"/>
          <w:lang w:val="en-US" w:eastAsia="zh-CN"/>
        </w:rPr>
        <w:t xml:space="preserve">           </w:t>
      </w:r>
      <w:r>
        <w:rPr>
          <w:color w:val="auto"/>
          <w:highlight w:val="none"/>
        </w:rPr>
        <w:drawing>
          <wp:inline distT="0" distB="0" distL="114300" distR="114300">
            <wp:extent cx="3751580" cy="2741930"/>
            <wp:effectExtent l="4445" t="4445" r="15875" b="1397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hint="eastAsia"/>
          <w:color w:val="auto"/>
          <w:highlight w:val="none"/>
          <w:lang w:val="en-US" w:eastAsia="zh-CN"/>
        </w:rPr>
        <w:t xml:space="preserve">   </w:t>
      </w:r>
    </w:p>
    <w:p>
      <w:pPr>
        <w:keepNext w:val="0"/>
        <w:keepLines w:val="0"/>
        <w:pageBreakBefore w:val="0"/>
        <w:widowControl w:val="0"/>
        <w:numPr>
          <w:ilvl w:val="0"/>
          <w:numId w:val="0"/>
        </w:numPr>
        <w:shd w:val="clear"/>
        <w:kinsoku/>
        <w:wordWrap/>
        <w:overflowPunct/>
        <w:topLinePunct w:val="0"/>
        <w:autoSpaceDE/>
        <w:autoSpaceDN/>
        <w:bidi w:val="0"/>
        <w:spacing w:line="576" w:lineRule="exact"/>
        <w:ind w:leftChars="0" w:firstLine="640" w:firstLineChars="200"/>
        <w:jc w:val="center"/>
        <w:textAlignment w:val="auto"/>
        <w:outlineLvl w:val="9"/>
        <w:rPr>
          <w:rFonts w:hint="eastAsia" w:ascii="黑体" w:hAnsi="黑体" w:eastAsia="黑体" w:cs="黑体"/>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（图1：收、支决算总计变动情况图）</w:t>
      </w:r>
      <w:bookmarkStart w:id="34" w:name="_Toc15396604"/>
      <w:bookmarkStart w:id="35" w:name="_Toc15377206"/>
    </w:p>
    <w:p>
      <w:pPr>
        <w:keepNext w:val="0"/>
        <w:keepLines w:val="0"/>
        <w:pageBreakBefore w:val="0"/>
        <w:widowControl w:val="0"/>
        <w:numPr>
          <w:ilvl w:val="0"/>
          <w:numId w:val="0"/>
        </w:numPr>
        <w:shd w:val="clear"/>
        <w:kinsoku/>
        <w:wordWrap/>
        <w:overflowPunct/>
        <w:topLinePunct w:val="0"/>
        <w:autoSpaceDE/>
        <w:autoSpaceDN/>
        <w:bidi w:val="0"/>
        <w:adjustRightInd/>
        <w:snapToGrid/>
        <w:spacing w:before="0" w:after="0" w:line="576" w:lineRule="exact"/>
        <w:ind w:firstLine="640" w:firstLineChars="200"/>
        <w:jc w:val="both"/>
        <w:textAlignment w:val="auto"/>
        <w:outlineLvl w:val="1"/>
        <w:rPr>
          <w:rFonts w:hint="eastAsia" w:ascii="黑体" w:hAnsi="黑体" w:eastAsia="黑体" w:cs="黑体"/>
          <w:b w:val="0"/>
          <w:color w:val="auto"/>
          <w:sz w:val="32"/>
          <w:szCs w:val="32"/>
          <w:highlight w:val="none"/>
          <w:lang w:eastAsia="zh-CN"/>
        </w:rPr>
      </w:pPr>
      <w:bookmarkStart w:id="36" w:name="_Toc4610"/>
    </w:p>
    <w:p>
      <w:pPr>
        <w:keepNext w:val="0"/>
        <w:keepLines w:val="0"/>
        <w:pageBreakBefore w:val="0"/>
        <w:widowControl w:val="0"/>
        <w:numPr>
          <w:ilvl w:val="0"/>
          <w:numId w:val="0"/>
        </w:numPr>
        <w:shd w:val="clear"/>
        <w:kinsoku/>
        <w:wordWrap/>
        <w:overflowPunct/>
        <w:topLinePunct w:val="0"/>
        <w:autoSpaceDE/>
        <w:autoSpaceDN/>
        <w:bidi w:val="0"/>
        <w:adjustRightInd/>
        <w:snapToGrid/>
        <w:spacing w:before="0" w:after="0" w:line="576" w:lineRule="exact"/>
        <w:ind w:firstLine="640" w:firstLineChars="200"/>
        <w:jc w:val="both"/>
        <w:textAlignment w:val="auto"/>
        <w:outlineLvl w:val="1"/>
        <w:rPr>
          <w:rFonts w:hint="default" w:ascii="黑体" w:hAnsi="黑体" w:eastAsia="黑体" w:cs="黑体"/>
          <w:b w:val="0"/>
          <w:color w:val="auto"/>
          <w:sz w:val="32"/>
          <w:szCs w:val="32"/>
          <w:highlight w:val="none"/>
          <w:lang w:eastAsia="zh-CN"/>
        </w:rPr>
      </w:pPr>
      <w:bookmarkStart w:id="37" w:name="_Toc10887"/>
      <w:r>
        <w:rPr>
          <w:rFonts w:hint="eastAsia" w:ascii="黑体" w:hAnsi="黑体" w:eastAsia="黑体" w:cs="黑体"/>
          <w:b w:val="0"/>
          <w:color w:val="auto"/>
          <w:sz w:val="32"/>
          <w:szCs w:val="32"/>
          <w:highlight w:val="none"/>
          <w:lang w:eastAsia="zh-CN"/>
        </w:rPr>
        <w:t>二、收入决算情况说明</w:t>
      </w:r>
      <w:bookmarkEnd w:id="34"/>
      <w:bookmarkEnd w:id="35"/>
      <w:bookmarkEnd w:id="36"/>
      <w:bookmarkEnd w:id="37"/>
    </w:p>
    <w:p>
      <w:pPr>
        <w:keepNext w:val="0"/>
        <w:keepLines w:val="0"/>
        <w:pageBreakBefore w:val="0"/>
        <w:widowControl w:val="0"/>
        <w:numPr>
          <w:ilvl w:val="0"/>
          <w:numId w:val="0"/>
        </w:numPr>
        <w:shd w:val="clear"/>
        <w:kinsoku/>
        <w:wordWrap/>
        <w:overflowPunct/>
        <w:topLinePunct w:val="0"/>
        <w:autoSpaceDE/>
        <w:autoSpaceDN/>
        <w:bidi w:val="0"/>
        <w:spacing w:line="576" w:lineRule="exact"/>
        <w:ind w:leftChars="0" w:firstLine="640" w:firstLineChars="200"/>
        <w:jc w:val="both"/>
        <w:textAlignment w:val="auto"/>
        <w:outlineLvl w:val="9"/>
        <w:rPr>
          <w:rFonts w:hint="eastAsia" w:ascii="仿宋" w:hAnsi="仿宋" w:eastAsia="仿宋"/>
          <w:color w:val="auto"/>
          <w:sz w:val="32"/>
          <w:szCs w:val="32"/>
          <w:highlight w:val="none"/>
        </w:rPr>
      </w:pPr>
      <w:bookmarkStart w:id="38" w:name="_Toc24385"/>
      <w:r>
        <w:rPr>
          <w:rFonts w:hint="default" w:ascii="Times New Roman" w:hAnsi="Times New Roman" w:eastAsia="仿宋_GB2312" w:cs="Times New Roman"/>
          <w:color w:val="auto"/>
          <w:sz w:val="32"/>
          <w:szCs w:val="32"/>
          <w:highlight w:val="none"/>
          <w:lang w:eastAsia="zh-CN"/>
        </w:rPr>
        <w:t>20</w:t>
      </w:r>
      <w:r>
        <w:rPr>
          <w:rFonts w:hint="eastAsia" w:ascii="Times New Roman" w:hAnsi="Times New Roman" w:eastAsia="仿宋_GB2312" w:cs="Times New Roman"/>
          <w:color w:val="auto"/>
          <w:sz w:val="32"/>
          <w:szCs w:val="32"/>
          <w:highlight w:val="none"/>
          <w:lang w:val="en-US" w:eastAsia="zh-CN"/>
        </w:rPr>
        <w:t>22</w:t>
      </w:r>
      <w:r>
        <w:rPr>
          <w:rFonts w:hint="eastAsia" w:ascii="Times New Roman" w:hAnsi="Times New Roman" w:eastAsia="仿宋_GB2312" w:cs="Times New Roman"/>
          <w:color w:val="auto"/>
          <w:sz w:val="32"/>
          <w:szCs w:val="32"/>
          <w:highlight w:val="none"/>
          <w:lang w:eastAsia="zh-CN"/>
        </w:rPr>
        <w:t>年本年收入合计</w:t>
      </w:r>
      <w:r>
        <w:rPr>
          <w:rFonts w:hint="eastAsia" w:ascii="Times New Roman" w:hAnsi="Times New Roman" w:eastAsia="仿宋_GB2312" w:cs="Times New Roman"/>
          <w:color w:val="auto"/>
          <w:sz w:val="32"/>
          <w:szCs w:val="32"/>
          <w:highlight w:val="none"/>
          <w:lang w:val="en-US" w:eastAsia="zh-CN"/>
        </w:rPr>
        <w:t>1565.01</w:t>
      </w:r>
      <w:r>
        <w:rPr>
          <w:rFonts w:hint="eastAsia" w:ascii="Times New Roman" w:hAnsi="Times New Roman" w:eastAsia="仿宋_GB2312" w:cs="Times New Roman"/>
          <w:color w:val="auto"/>
          <w:sz w:val="32"/>
          <w:szCs w:val="32"/>
          <w:highlight w:val="none"/>
          <w:lang w:eastAsia="zh-CN"/>
        </w:rPr>
        <w:t>万元，其中：一般公共预算财政拨款收入</w:t>
      </w:r>
      <w:r>
        <w:rPr>
          <w:rFonts w:hint="eastAsia" w:ascii="Times New Roman" w:hAnsi="Times New Roman" w:eastAsia="仿宋_GB2312" w:cs="Times New Roman"/>
          <w:color w:val="auto"/>
          <w:sz w:val="32"/>
          <w:szCs w:val="32"/>
          <w:highlight w:val="none"/>
          <w:lang w:val="en-US" w:eastAsia="zh-CN"/>
        </w:rPr>
        <w:t>1565.01</w:t>
      </w:r>
      <w:r>
        <w:rPr>
          <w:rFonts w:hint="eastAsia" w:ascii="Times New Roman" w:hAnsi="Times New Roman" w:eastAsia="仿宋_GB2312" w:cs="Times New Roman"/>
          <w:color w:val="auto"/>
          <w:sz w:val="32"/>
          <w:szCs w:val="32"/>
          <w:highlight w:val="none"/>
          <w:lang w:eastAsia="zh-CN"/>
        </w:rPr>
        <w:t>万元，占</w:t>
      </w:r>
      <w:r>
        <w:rPr>
          <w:rFonts w:hint="eastAsia" w:ascii="Times New Roman" w:hAnsi="Times New Roman" w:eastAsia="仿宋_GB2312" w:cs="Times New Roman"/>
          <w:color w:val="auto"/>
          <w:sz w:val="32"/>
          <w:szCs w:val="32"/>
          <w:highlight w:val="none"/>
          <w:lang w:val="en-US" w:eastAsia="zh-CN"/>
        </w:rPr>
        <w:t>100</w:t>
      </w:r>
      <w:r>
        <w:rPr>
          <w:rFonts w:hint="default" w:ascii="Times New Roman" w:hAnsi="Times New Roman" w:eastAsia="仿宋_GB2312" w:cs="Times New Roman"/>
          <w:color w:val="auto"/>
          <w:sz w:val="32"/>
          <w:szCs w:val="32"/>
          <w:highlight w:val="none"/>
          <w:lang w:eastAsia="zh-CN"/>
        </w:rPr>
        <w:t>%</w:t>
      </w:r>
      <w:bookmarkEnd w:id="38"/>
      <w:r>
        <w:rPr>
          <w:rFonts w:hint="eastAsia" w:ascii="Times New Roman" w:hAnsi="Times New Roman" w:eastAsia="仿宋_GB2312" w:cs="Times New Roman"/>
          <w:color w:val="auto"/>
          <w:sz w:val="32"/>
          <w:szCs w:val="32"/>
          <w:highlight w:val="none"/>
          <w:lang w:eastAsia="zh-CN"/>
        </w:rPr>
        <w:t>。</w:t>
      </w:r>
    </w:p>
    <w:p>
      <w:pPr>
        <w:pStyle w:val="14"/>
        <w:keepNext w:val="0"/>
        <w:keepLines w:val="0"/>
        <w:pageBreakBefore w:val="0"/>
        <w:shd w:val="clear"/>
        <w:kinsoku/>
        <w:wordWrap/>
        <w:overflowPunct/>
        <w:topLinePunct w:val="0"/>
        <w:autoSpaceDE/>
        <w:autoSpaceDN/>
        <w:bidi w:val="0"/>
        <w:outlineLvl w:val="9"/>
        <w:rPr>
          <w:rFonts w:hint="eastAsia"/>
          <w:color w:val="auto"/>
          <w:highlight w:val="none"/>
        </w:rPr>
      </w:pPr>
      <w:r>
        <w:rPr>
          <w:rFonts w:hint="eastAsia"/>
          <w:color w:val="auto"/>
          <w:highlight w:val="none"/>
          <w:lang w:val="en-US" w:eastAsia="zh-CN"/>
        </w:rPr>
        <w:t xml:space="preserve">            </w:t>
      </w:r>
      <w:r>
        <w:rPr>
          <w:color w:val="auto"/>
          <w:highlight w:val="none"/>
        </w:rPr>
        <w:drawing>
          <wp:inline distT="0" distB="0" distL="114300" distR="114300">
            <wp:extent cx="3650615" cy="2510155"/>
            <wp:effectExtent l="4445" t="4445" r="13970" b="571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6" w:lineRule="exact"/>
        <w:ind w:leftChars="0" w:firstLine="0" w:firstLineChars="0"/>
        <w:jc w:val="center"/>
        <w:textAlignment w:val="auto"/>
        <w:outlineLvl w:val="9"/>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（图2：收入决算结构图）</w:t>
      </w:r>
    </w:p>
    <w:p>
      <w:pPr>
        <w:keepNext w:val="0"/>
        <w:keepLines w:val="0"/>
        <w:pageBreakBefore w:val="0"/>
        <w:shd w:val="clear"/>
        <w:kinsoku/>
        <w:wordWrap/>
        <w:overflowPunct/>
        <w:topLinePunct w:val="0"/>
        <w:autoSpaceDE/>
        <w:autoSpaceDN/>
        <w:bidi w:val="0"/>
        <w:spacing w:line="600" w:lineRule="exact"/>
        <w:ind w:firstLine="640" w:firstLineChars="200"/>
        <w:outlineLvl w:val="9"/>
        <w:rPr>
          <w:rFonts w:ascii="仿宋_GB2312" w:eastAsia="仿宋_GB2312"/>
          <w:color w:val="auto"/>
          <w:sz w:val="32"/>
          <w:szCs w:val="32"/>
          <w:highlight w:val="none"/>
        </w:rPr>
      </w:pPr>
    </w:p>
    <w:p>
      <w:pPr>
        <w:keepNext w:val="0"/>
        <w:keepLines w:val="0"/>
        <w:pageBreakBefore w:val="0"/>
        <w:widowControl w:val="0"/>
        <w:numPr>
          <w:ilvl w:val="0"/>
          <w:numId w:val="0"/>
        </w:numPr>
        <w:shd w:val="clear"/>
        <w:kinsoku/>
        <w:wordWrap/>
        <w:overflowPunct/>
        <w:topLinePunct w:val="0"/>
        <w:autoSpaceDE/>
        <w:autoSpaceDN/>
        <w:bidi w:val="0"/>
        <w:adjustRightInd/>
        <w:snapToGrid/>
        <w:spacing w:before="0" w:after="0" w:line="576" w:lineRule="exact"/>
        <w:ind w:firstLine="640" w:firstLineChars="200"/>
        <w:jc w:val="both"/>
        <w:textAlignment w:val="auto"/>
        <w:outlineLvl w:val="1"/>
        <w:rPr>
          <w:rFonts w:hint="eastAsia" w:ascii="黑体" w:hAnsi="黑体" w:eastAsia="黑体" w:cs="黑体"/>
          <w:b w:val="0"/>
          <w:color w:val="auto"/>
          <w:sz w:val="32"/>
          <w:szCs w:val="32"/>
          <w:highlight w:val="none"/>
          <w:lang w:eastAsia="zh-CN"/>
        </w:rPr>
      </w:pPr>
      <w:bookmarkStart w:id="39" w:name="_Toc19069"/>
      <w:bookmarkStart w:id="40" w:name="_Toc7579"/>
      <w:bookmarkStart w:id="41" w:name="_Toc15396605"/>
      <w:bookmarkStart w:id="42" w:name="_Toc15377207"/>
      <w:r>
        <w:rPr>
          <w:rFonts w:hint="eastAsia" w:ascii="黑体" w:hAnsi="黑体" w:eastAsia="黑体" w:cs="黑体"/>
          <w:b w:val="0"/>
          <w:color w:val="auto"/>
          <w:sz w:val="32"/>
          <w:szCs w:val="32"/>
          <w:highlight w:val="none"/>
          <w:lang w:eastAsia="zh-CN"/>
        </w:rPr>
        <w:t>三、支出决算情况说明</w:t>
      </w:r>
      <w:bookmarkEnd w:id="39"/>
      <w:bookmarkEnd w:id="40"/>
      <w:bookmarkEnd w:id="41"/>
      <w:bookmarkEnd w:id="42"/>
    </w:p>
    <w:p>
      <w:pPr>
        <w:keepNext w:val="0"/>
        <w:keepLines w:val="0"/>
        <w:pageBreakBefore w:val="0"/>
        <w:widowControl w:val="0"/>
        <w:numPr>
          <w:ilvl w:val="0"/>
          <w:numId w:val="0"/>
        </w:numPr>
        <w:shd w:val="clear"/>
        <w:kinsoku/>
        <w:wordWrap/>
        <w:overflowPunct/>
        <w:topLinePunct w:val="0"/>
        <w:autoSpaceDE/>
        <w:autoSpaceDN/>
        <w:bidi w:val="0"/>
        <w:spacing w:line="576" w:lineRule="exact"/>
        <w:ind w:leftChars="0" w:firstLine="640" w:firstLineChars="200"/>
        <w:jc w:val="both"/>
        <w:textAlignment w:val="auto"/>
        <w:outlineLvl w:val="9"/>
        <w:rPr>
          <w:rFonts w:ascii="仿宋" w:hAnsi="仿宋" w:eastAsia="仿宋"/>
          <w:color w:val="auto"/>
          <w:sz w:val="32"/>
          <w:szCs w:val="32"/>
          <w:highlight w:val="none"/>
        </w:rPr>
      </w:pPr>
      <w:bookmarkStart w:id="43" w:name="_Toc8452"/>
      <w:r>
        <w:rPr>
          <w:rFonts w:hint="default" w:ascii="Times New Roman" w:hAnsi="Times New Roman" w:eastAsia="仿宋_GB2312" w:cs="Times New Roman"/>
          <w:color w:val="auto"/>
          <w:sz w:val="32"/>
          <w:szCs w:val="32"/>
          <w:highlight w:val="none"/>
          <w:lang w:eastAsia="zh-CN"/>
        </w:rPr>
        <w:t>20</w:t>
      </w:r>
      <w:r>
        <w:rPr>
          <w:rFonts w:hint="eastAsia" w:ascii="Times New Roman" w:hAnsi="Times New Roman" w:eastAsia="仿宋_GB2312" w:cs="Times New Roman"/>
          <w:color w:val="auto"/>
          <w:sz w:val="32"/>
          <w:szCs w:val="32"/>
          <w:highlight w:val="none"/>
          <w:lang w:val="en-US" w:eastAsia="zh-CN"/>
        </w:rPr>
        <w:t>22</w:t>
      </w:r>
      <w:r>
        <w:rPr>
          <w:rFonts w:hint="eastAsia" w:ascii="Times New Roman" w:hAnsi="Times New Roman" w:eastAsia="仿宋_GB2312" w:cs="Times New Roman"/>
          <w:color w:val="auto"/>
          <w:sz w:val="32"/>
          <w:szCs w:val="32"/>
          <w:highlight w:val="none"/>
          <w:lang w:eastAsia="zh-CN"/>
        </w:rPr>
        <w:t>年本年支出合计</w:t>
      </w:r>
      <w:r>
        <w:rPr>
          <w:rFonts w:hint="eastAsia" w:ascii="Times New Roman" w:hAnsi="Times New Roman" w:eastAsia="仿宋_GB2312" w:cs="Times New Roman"/>
          <w:color w:val="auto"/>
          <w:sz w:val="32"/>
          <w:szCs w:val="32"/>
          <w:highlight w:val="none"/>
          <w:lang w:val="en-US" w:eastAsia="zh-CN"/>
        </w:rPr>
        <w:t>1526.78</w:t>
      </w:r>
      <w:r>
        <w:rPr>
          <w:rFonts w:hint="eastAsia" w:ascii="Times New Roman" w:hAnsi="Times New Roman" w:eastAsia="仿宋_GB2312" w:cs="Times New Roman"/>
          <w:color w:val="auto"/>
          <w:sz w:val="32"/>
          <w:szCs w:val="32"/>
          <w:highlight w:val="none"/>
          <w:lang w:eastAsia="zh-CN"/>
        </w:rPr>
        <w:t>万元，其中：基本支出</w:t>
      </w:r>
      <w:r>
        <w:rPr>
          <w:rFonts w:hint="eastAsia" w:ascii="Times New Roman" w:hAnsi="Times New Roman" w:eastAsia="仿宋_GB2312" w:cs="Times New Roman"/>
          <w:color w:val="auto"/>
          <w:sz w:val="32"/>
          <w:szCs w:val="32"/>
          <w:highlight w:val="none"/>
          <w:lang w:val="en-US" w:eastAsia="zh-CN"/>
        </w:rPr>
        <w:t>977.81</w:t>
      </w:r>
      <w:r>
        <w:rPr>
          <w:rFonts w:hint="eastAsia" w:ascii="Times New Roman" w:hAnsi="Times New Roman" w:eastAsia="仿宋_GB2312" w:cs="Times New Roman"/>
          <w:color w:val="auto"/>
          <w:sz w:val="32"/>
          <w:szCs w:val="32"/>
          <w:highlight w:val="none"/>
          <w:lang w:eastAsia="zh-CN"/>
        </w:rPr>
        <w:t>万元，占</w:t>
      </w:r>
      <w:r>
        <w:rPr>
          <w:rFonts w:hint="eastAsia" w:ascii="Times New Roman" w:hAnsi="Times New Roman" w:eastAsia="仿宋_GB2312" w:cs="Times New Roman"/>
          <w:color w:val="auto"/>
          <w:sz w:val="32"/>
          <w:szCs w:val="32"/>
          <w:highlight w:val="none"/>
          <w:lang w:val="en-US" w:eastAsia="zh-CN"/>
        </w:rPr>
        <w:t>64.04</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eastAsia="zh-CN"/>
        </w:rPr>
        <w:t>；项目支出</w:t>
      </w:r>
      <w:r>
        <w:rPr>
          <w:rFonts w:hint="eastAsia" w:ascii="Times New Roman" w:hAnsi="Times New Roman" w:eastAsia="仿宋_GB2312" w:cs="Times New Roman"/>
          <w:color w:val="auto"/>
          <w:sz w:val="32"/>
          <w:szCs w:val="32"/>
          <w:highlight w:val="none"/>
          <w:lang w:val="en-US" w:eastAsia="zh-CN"/>
        </w:rPr>
        <w:t>548.98</w:t>
      </w:r>
      <w:r>
        <w:rPr>
          <w:rFonts w:hint="eastAsia" w:ascii="Times New Roman" w:hAnsi="Times New Roman" w:eastAsia="仿宋_GB2312" w:cs="Times New Roman"/>
          <w:color w:val="auto"/>
          <w:sz w:val="32"/>
          <w:szCs w:val="32"/>
          <w:highlight w:val="none"/>
          <w:lang w:eastAsia="zh-CN"/>
        </w:rPr>
        <w:t>万元，占</w:t>
      </w:r>
      <w:r>
        <w:rPr>
          <w:rFonts w:hint="eastAsia" w:ascii="Times New Roman" w:hAnsi="Times New Roman" w:eastAsia="仿宋_GB2312" w:cs="Times New Roman"/>
          <w:color w:val="auto"/>
          <w:sz w:val="32"/>
          <w:szCs w:val="32"/>
          <w:highlight w:val="none"/>
          <w:lang w:val="en-US" w:eastAsia="zh-CN"/>
        </w:rPr>
        <w:t>35.96</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w:t>
      </w:r>
      <w:bookmarkEnd w:id="43"/>
    </w:p>
    <w:p>
      <w:pPr>
        <w:pStyle w:val="14"/>
        <w:keepNext w:val="0"/>
        <w:keepLines w:val="0"/>
        <w:pageBreakBefore w:val="0"/>
        <w:shd w:val="clear"/>
        <w:kinsoku/>
        <w:wordWrap/>
        <w:overflowPunct/>
        <w:topLinePunct w:val="0"/>
        <w:autoSpaceDE/>
        <w:autoSpaceDN/>
        <w:bidi w:val="0"/>
        <w:outlineLvl w:val="9"/>
        <w:rPr>
          <w:color w:val="auto"/>
          <w:highlight w:val="none"/>
        </w:rPr>
      </w:pPr>
      <w:r>
        <w:rPr>
          <w:rFonts w:hint="eastAsia"/>
          <w:color w:val="auto"/>
          <w:highlight w:val="none"/>
          <w:lang w:val="en-US" w:eastAsia="zh-CN"/>
        </w:rPr>
        <w:t xml:space="preserve">            </w:t>
      </w:r>
      <w:r>
        <w:rPr>
          <w:color w:val="auto"/>
          <w:highlight w:val="none"/>
        </w:rPr>
        <w:drawing>
          <wp:inline distT="0" distB="0" distL="114300" distR="114300">
            <wp:extent cx="3653790" cy="2456180"/>
            <wp:effectExtent l="4445" t="4445" r="10795" b="825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6" w:lineRule="exact"/>
        <w:ind w:leftChars="0" w:firstLine="0" w:firstLineChars="0"/>
        <w:jc w:val="center"/>
        <w:textAlignment w:val="auto"/>
        <w:outlineLvl w:val="9"/>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（图3：支出决算结构图）</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0" w:after="0" w:line="576" w:lineRule="exact"/>
        <w:ind w:firstLine="640" w:firstLineChars="200"/>
        <w:jc w:val="both"/>
        <w:textAlignment w:val="auto"/>
        <w:outlineLvl w:val="1"/>
        <w:rPr>
          <w:rFonts w:hint="eastAsia" w:ascii="黑体" w:hAnsi="黑体" w:eastAsia="黑体" w:cs="黑体"/>
          <w:b w:val="0"/>
          <w:color w:val="auto"/>
          <w:sz w:val="32"/>
          <w:szCs w:val="32"/>
          <w:highlight w:val="none"/>
          <w:lang w:eastAsia="zh-CN"/>
        </w:rPr>
      </w:pPr>
      <w:bookmarkStart w:id="44" w:name="_Toc19177"/>
      <w:bookmarkStart w:id="45" w:name="_Toc15396606"/>
      <w:bookmarkStart w:id="46" w:name="_Toc25208"/>
      <w:bookmarkStart w:id="47" w:name="_Toc15377208"/>
      <w:r>
        <w:rPr>
          <w:rFonts w:hint="eastAsia" w:ascii="黑体" w:hAnsi="黑体" w:eastAsia="黑体" w:cs="黑体"/>
          <w:b w:val="0"/>
          <w:color w:val="auto"/>
          <w:sz w:val="32"/>
          <w:szCs w:val="32"/>
          <w:highlight w:val="none"/>
          <w:lang w:eastAsia="zh-CN"/>
        </w:rPr>
        <w:t>四、财政拨款收入支出决算总体情况说明</w:t>
      </w:r>
      <w:bookmarkEnd w:id="44"/>
      <w:bookmarkEnd w:id="45"/>
      <w:bookmarkEnd w:id="46"/>
      <w:bookmarkEnd w:id="47"/>
    </w:p>
    <w:p>
      <w:pPr>
        <w:keepNext w:val="0"/>
        <w:keepLines w:val="0"/>
        <w:pageBreakBefore w:val="0"/>
        <w:widowControl w:val="0"/>
        <w:numPr>
          <w:ilvl w:val="0"/>
          <w:numId w:val="0"/>
        </w:numPr>
        <w:shd w:val="clear"/>
        <w:kinsoku/>
        <w:wordWrap/>
        <w:overflowPunct/>
        <w:topLinePunct w:val="0"/>
        <w:autoSpaceDE/>
        <w:autoSpaceDN/>
        <w:bidi w:val="0"/>
        <w:spacing w:line="576" w:lineRule="exact"/>
        <w:ind w:leftChars="0" w:firstLine="640" w:firstLineChars="200"/>
        <w:jc w:val="both"/>
        <w:textAlignment w:val="auto"/>
        <w:outlineLvl w:val="9"/>
        <w:rPr>
          <w:rFonts w:ascii="仿宋" w:hAnsi="仿宋" w:eastAsia="仿宋"/>
          <w:color w:val="auto"/>
          <w:sz w:val="32"/>
          <w:szCs w:val="32"/>
          <w:highlight w:val="none"/>
        </w:rPr>
      </w:pPr>
      <w:r>
        <w:rPr>
          <w:rFonts w:hint="default" w:ascii="Times New Roman" w:hAnsi="Times New Roman" w:eastAsia="仿宋_GB2312" w:cs="Times New Roman"/>
          <w:color w:val="auto"/>
          <w:sz w:val="32"/>
          <w:szCs w:val="32"/>
          <w:highlight w:val="none"/>
          <w:lang w:eastAsia="zh-CN"/>
        </w:rPr>
        <w:t>20</w:t>
      </w:r>
      <w:r>
        <w:rPr>
          <w:rFonts w:hint="eastAsia" w:ascii="Times New Roman" w:hAnsi="Times New Roman" w:eastAsia="仿宋_GB2312" w:cs="Times New Roman"/>
          <w:color w:val="auto"/>
          <w:sz w:val="32"/>
          <w:szCs w:val="32"/>
          <w:highlight w:val="none"/>
          <w:lang w:val="en-US" w:eastAsia="zh-CN"/>
        </w:rPr>
        <w:t>22</w:t>
      </w:r>
      <w:r>
        <w:rPr>
          <w:rFonts w:hint="eastAsia" w:ascii="Times New Roman" w:hAnsi="Times New Roman" w:eastAsia="仿宋_GB2312" w:cs="Times New Roman"/>
          <w:color w:val="auto"/>
          <w:sz w:val="32"/>
          <w:szCs w:val="32"/>
          <w:highlight w:val="none"/>
          <w:lang w:eastAsia="zh-CN"/>
        </w:rPr>
        <w:t>年财政拨款收、支总计</w:t>
      </w:r>
      <w:r>
        <w:rPr>
          <w:rFonts w:hint="eastAsia" w:ascii="Times New Roman" w:hAnsi="Times New Roman" w:eastAsia="仿宋_GB2312" w:cs="Times New Roman"/>
          <w:color w:val="auto"/>
          <w:sz w:val="32"/>
          <w:szCs w:val="32"/>
          <w:highlight w:val="none"/>
          <w:lang w:val="en-US" w:eastAsia="zh-CN"/>
        </w:rPr>
        <w:t>1588.71，</w:t>
      </w:r>
      <w:r>
        <w:rPr>
          <w:rFonts w:hint="eastAsia" w:ascii="Times New Roman" w:hAnsi="Times New Roman" w:eastAsia="仿宋_GB2312" w:cs="Times New Roman"/>
          <w:color w:val="auto"/>
          <w:sz w:val="32"/>
          <w:szCs w:val="32"/>
          <w:highlight w:val="none"/>
          <w:lang w:eastAsia="zh-CN"/>
        </w:rPr>
        <w:t>与</w:t>
      </w:r>
      <w:r>
        <w:rPr>
          <w:rFonts w:hint="default" w:ascii="Times New Roman" w:hAnsi="Times New Roman" w:eastAsia="仿宋_GB2312" w:cs="Times New Roman"/>
          <w:color w:val="auto"/>
          <w:sz w:val="32"/>
          <w:szCs w:val="32"/>
          <w:highlight w:val="none"/>
          <w:lang w:eastAsia="zh-CN"/>
        </w:rPr>
        <w:t>20</w:t>
      </w:r>
      <w:r>
        <w:rPr>
          <w:rFonts w:hint="eastAsia" w:ascii="Times New Roman" w:hAnsi="Times New Roman" w:eastAsia="仿宋_GB2312" w:cs="Times New Roman"/>
          <w:color w:val="auto"/>
          <w:sz w:val="32"/>
          <w:szCs w:val="32"/>
          <w:highlight w:val="none"/>
          <w:lang w:val="en-US" w:eastAsia="zh-CN"/>
        </w:rPr>
        <w:t>21</w:t>
      </w:r>
      <w:r>
        <w:rPr>
          <w:rFonts w:hint="eastAsia" w:ascii="Times New Roman" w:hAnsi="Times New Roman" w:eastAsia="仿宋_GB2312" w:cs="Times New Roman"/>
          <w:color w:val="auto"/>
          <w:sz w:val="32"/>
          <w:szCs w:val="32"/>
          <w:highlight w:val="none"/>
          <w:lang w:eastAsia="zh-CN"/>
        </w:rPr>
        <w:t>年相比，财政拨款收、支总计各减少</w:t>
      </w:r>
      <w:r>
        <w:rPr>
          <w:rFonts w:hint="eastAsia" w:ascii="Times New Roman" w:hAnsi="Times New Roman" w:eastAsia="仿宋_GB2312" w:cs="Times New Roman"/>
          <w:color w:val="auto"/>
          <w:sz w:val="32"/>
          <w:szCs w:val="32"/>
          <w:highlight w:val="none"/>
          <w:lang w:val="en-US" w:eastAsia="zh-CN"/>
        </w:rPr>
        <w:t>226.92</w:t>
      </w:r>
      <w:r>
        <w:rPr>
          <w:rFonts w:hint="eastAsia" w:ascii="Times New Roman" w:hAnsi="Times New Roman" w:eastAsia="仿宋_GB2312" w:cs="Times New Roman"/>
          <w:color w:val="auto"/>
          <w:sz w:val="32"/>
          <w:szCs w:val="32"/>
          <w:highlight w:val="none"/>
          <w:lang w:eastAsia="zh-CN"/>
        </w:rPr>
        <w:t>万元，下降</w:t>
      </w:r>
      <w:r>
        <w:rPr>
          <w:rFonts w:hint="eastAsia" w:ascii="Times New Roman" w:hAnsi="Times New Roman" w:eastAsia="仿宋_GB2312" w:cs="Times New Roman"/>
          <w:color w:val="auto"/>
          <w:sz w:val="32"/>
          <w:szCs w:val="32"/>
          <w:highlight w:val="none"/>
          <w:lang w:val="en-US" w:eastAsia="zh-CN"/>
        </w:rPr>
        <w:t>12.5</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。要变动原因是</w:t>
      </w:r>
      <w:r>
        <w:rPr>
          <w:rFonts w:hint="eastAsia" w:ascii="Times New Roman" w:hAnsi="Times New Roman" w:eastAsia="仿宋_GB2312" w:cs="Times New Roman"/>
          <w:color w:val="auto"/>
          <w:sz w:val="32"/>
          <w:szCs w:val="32"/>
          <w:highlight w:val="none"/>
          <w:lang w:val="en-US" w:eastAsia="zh-CN"/>
        </w:rPr>
        <w:t>2022年疫情严重，对全年招商活动造成影响，外出减少，导致费用支出减少。</w:t>
      </w:r>
    </w:p>
    <w:p>
      <w:pPr>
        <w:pStyle w:val="14"/>
        <w:keepNext w:val="0"/>
        <w:keepLines w:val="0"/>
        <w:pageBreakBefore w:val="0"/>
        <w:shd w:val="clear"/>
        <w:kinsoku/>
        <w:wordWrap/>
        <w:overflowPunct/>
        <w:topLinePunct w:val="0"/>
        <w:autoSpaceDE/>
        <w:autoSpaceDN/>
        <w:bidi w:val="0"/>
        <w:outlineLvl w:val="9"/>
        <w:rPr>
          <w:rFonts w:ascii="仿宋" w:hAnsi="仿宋" w:eastAsia="仿宋"/>
          <w:color w:val="auto"/>
          <w:sz w:val="32"/>
          <w:szCs w:val="32"/>
          <w:highlight w:val="none"/>
        </w:rPr>
      </w:pPr>
      <w:r>
        <w:rPr>
          <w:rFonts w:hint="eastAsia"/>
          <w:color w:val="auto"/>
          <w:highlight w:val="none"/>
          <w:lang w:val="en-US" w:eastAsia="zh-CN"/>
        </w:rPr>
        <w:t xml:space="preserve">           </w:t>
      </w:r>
      <w:r>
        <w:rPr>
          <w:color w:val="auto"/>
          <w:highlight w:val="none"/>
        </w:rPr>
        <w:drawing>
          <wp:inline distT="0" distB="0" distL="114300" distR="114300">
            <wp:extent cx="3636645" cy="2626360"/>
            <wp:effectExtent l="4445" t="4445" r="10795" b="952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6" w:lineRule="exact"/>
        <w:ind w:leftChars="0" w:firstLine="0" w:firstLineChars="0"/>
        <w:jc w:val="center"/>
        <w:textAlignment w:val="auto"/>
        <w:outlineLvl w:val="9"/>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（图4：财政拨款收、支决算总计变动情况）</w:t>
      </w:r>
    </w:p>
    <w:p>
      <w:pPr>
        <w:keepNext w:val="0"/>
        <w:keepLines w:val="0"/>
        <w:pageBreakBefore w:val="0"/>
        <w:widowControl w:val="0"/>
        <w:numPr>
          <w:ilvl w:val="0"/>
          <w:numId w:val="0"/>
        </w:numPr>
        <w:shd w:val="clear"/>
        <w:kinsoku/>
        <w:wordWrap/>
        <w:overflowPunct/>
        <w:topLinePunct w:val="0"/>
        <w:autoSpaceDE/>
        <w:autoSpaceDN/>
        <w:bidi w:val="0"/>
        <w:spacing w:line="576" w:lineRule="exact"/>
        <w:ind w:lef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p>
    <w:p>
      <w:pPr>
        <w:keepNext w:val="0"/>
        <w:keepLines w:val="0"/>
        <w:pageBreakBefore w:val="0"/>
        <w:widowControl w:val="0"/>
        <w:numPr>
          <w:ilvl w:val="0"/>
          <w:numId w:val="0"/>
        </w:numPr>
        <w:shd w:val="clear"/>
        <w:kinsoku/>
        <w:wordWrap/>
        <w:overflowPunct/>
        <w:topLinePunct w:val="0"/>
        <w:autoSpaceDE/>
        <w:autoSpaceDN/>
        <w:bidi w:val="0"/>
        <w:adjustRightInd/>
        <w:snapToGrid/>
        <w:spacing w:before="0" w:after="0" w:line="576" w:lineRule="exact"/>
        <w:ind w:firstLine="640" w:firstLineChars="200"/>
        <w:jc w:val="both"/>
        <w:textAlignment w:val="auto"/>
        <w:outlineLvl w:val="1"/>
        <w:rPr>
          <w:rFonts w:hint="eastAsia" w:ascii="黑体" w:hAnsi="黑体" w:eastAsia="黑体" w:cs="黑体"/>
          <w:b w:val="0"/>
          <w:color w:val="auto"/>
          <w:sz w:val="32"/>
          <w:szCs w:val="32"/>
          <w:highlight w:val="none"/>
          <w:lang w:eastAsia="zh-CN"/>
        </w:rPr>
      </w:pPr>
      <w:bookmarkStart w:id="48" w:name="_Toc15396607"/>
      <w:bookmarkStart w:id="49" w:name="_Toc15377209"/>
      <w:bookmarkStart w:id="50" w:name="_Toc698"/>
      <w:bookmarkStart w:id="51" w:name="_Toc5252"/>
      <w:r>
        <w:rPr>
          <w:rFonts w:hint="eastAsia" w:ascii="黑体" w:hAnsi="黑体" w:eastAsia="黑体" w:cs="黑体"/>
          <w:b w:val="0"/>
          <w:color w:val="auto"/>
          <w:sz w:val="32"/>
          <w:szCs w:val="32"/>
          <w:highlight w:val="none"/>
          <w:lang w:eastAsia="zh-CN"/>
        </w:rPr>
        <w:t>五、一般公共预算财政拨款支出决算情况说明</w:t>
      </w:r>
      <w:bookmarkEnd w:id="48"/>
      <w:bookmarkEnd w:id="49"/>
      <w:bookmarkEnd w:id="50"/>
      <w:bookmarkEnd w:id="51"/>
    </w:p>
    <w:p>
      <w:pPr>
        <w:keepNext w:val="0"/>
        <w:keepLines w:val="0"/>
        <w:pageBreakBefore w:val="0"/>
        <w:widowControl w:val="0"/>
        <w:numPr>
          <w:ilvl w:val="0"/>
          <w:numId w:val="0"/>
        </w:numPr>
        <w:shd w:val="clear"/>
        <w:kinsoku/>
        <w:wordWrap/>
        <w:overflowPunct/>
        <w:topLinePunct w:val="0"/>
        <w:autoSpaceDE/>
        <w:autoSpaceDN/>
        <w:bidi w:val="0"/>
        <w:spacing w:line="576" w:lineRule="exact"/>
        <w:ind w:leftChars="0" w:firstLine="640" w:firstLineChars="200"/>
        <w:jc w:val="both"/>
        <w:textAlignment w:val="auto"/>
        <w:outlineLvl w:val="9"/>
        <w:rPr>
          <w:rFonts w:hint="eastAsia" w:ascii="楷体_GB2312" w:hAnsi="楷体_GB2312" w:eastAsia="楷体_GB2312" w:cs="楷体_GB2312"/>
          <w:color w:val="auto"/>
          <w:sz w:val="32"/>
          <w:szCs w:val="32"/>
          <w:highlight w:val="none"/>
          <w:lang w:eastAsia="zh-CN"/>
        </w:rPr>
      </w:pPr>
      <w:bookmarkStart w:id="52" w:name="_Toc15377210"/>
      <w:r>
        <w:rPr>
          <w:rFonts w:hint="eastAsia" w:ascii="楷体_GB2312" w:hAnsi="楷体_GB2312" w:eastAsia="楷体_GB2312" w:cs="楷体_GB2312"/>
          <w:color w:val="auto"/>
          <w:sz w:val="32"/>
          <w:szCs w:val="32"/>
          <w:highlight w:val="none"/>
          <w:lang w:eastAsia="zh-CN"/>
        </w:rPr>
        <w:t>（一）一般公共预算财政拨款支出决算总体情况</w:t>
      </w:r>
      <w:bookmarkEnd w:id="52"/>
    </w:p>
    <w:p>
      <w:pPr>
        <w:keepNext w:val="0"/>
        <w:keepLines w:val="0"/>
        <w:pageBreakBefore w:val="0"/>
        <w:widowControl w:val="0"/>
        <w:numPr>
          <w:ilvl w:val="0"/>
          <w:numId w:val="0"/>
        </w:numPr>
        <w:shd w:val="clear"/>
        <w:kinsoku/>
        <w:wordWrap/>
        <w:overflowPunct/>
        <w:topLinePunct w:val="0"/>
        <w:autoSpaceDE/>
        <w:autoSpaceDN/>
        <w:bidi w:val="0"/>
        <w:spacing w:line="576" w:lineRule="exact"/>
        <w:ind w:leftChars="0" w:firstLine="640" w:firstLineChars="200"/>
        <w:jc w:val="both"/>
        <w:textAlignment w:val="auto"/>
        <w:outlineLvl w:val="9"/>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20</w:t>
      </w:r>
      <w:r>
        <w:rPr>
          <w:rFonts w:hint="eastAsia" w:ascii="Times New Roman" w:hAnsi="Times New Roman" w:eastAsia="仿宋_GB2312" w:cs="Times New Roman"/>
          <w:color w:val="auto"/>
          <w:sz w:val="32"/>
          <w:szCs w:val="32"/>
          <w:highlight w:val="none"/>
          <w:lang w:val="en-US" w:eastAsia="zh-CN"/>
        </w:rPr>
        <w:t>22</w:t>
      </w:r>
      <w:r>
        <w:rPr>
          <w:rFonts w:hint="eastAsia" w:ascii="Times New Roman" w:hAnsi="Times New Roman" w:eastAsia="仿宋_GB2312" w:cs="Times New Roman"/>
          <w:color w:val="auto"/>
          <w:sz w:val="32"/>
          <w:szCs w:val="32"/>
          <w:highlight w:val="none"/>
          <w:lang w:eastAsia="zh-CN"/>
        </w:rPr>
        <w:t>年一般公共预算财政拨款支出</w:t>
      </w:r>
      <w:r>
        <w:rPr>
          <w:rFonts w:hint="eastAsia" w:ascii="Times New Roman" w:hAnsi="Times New Roman" w:eastAsia="仿宋_GB2312" w:cs="Times New Roman"/>
          <w:color w:val="auto"/>
          <w:sz w:val="32"/>
          <w:szCs w:val="32"/>
          <w:highlight w:val="none"/>
          <w:lang w:val="en-US" w:eastAsia="zh-CN"/>
        </w:rPr>
        <w:t>1526.78万元，</w:t>
      </w:r>
      <w:r>
        <w:rPr>
          <w:rFonts w:hint="eastAsia" w:ascii="Times New Roman" w:hAnsi="Times New Roman" w:eastAsia="仿宋_GB2312" w:cs="Times New Roman"/>
          <w:color w:val="auto"/>
          <w:sz w:val="32"/>
          <w:szCs w:val="32"/>
          <w:highlight w:val="none"/>
          <w:lang w:eastAsia="zh-CN"/>
        </w:rPr>
        <w:t>占本年支出合计的</w:t>
      </w:r>
      <w:r>
        <w:rPr>
          <w:rFonts w:hint="eastAsia" w:ascii="Times New Roman" w:hAnsi="Times New Roman" w:eastAsia="仿宋_GB2312" w:cs="Times New Roman"/>
          <w:color w:val="auto"/>
          <w:sz w:val="32"/>
          <w:szCs w:val="32"/>
          <w:highlight w:val="none"/>
          <w:lang w:val="en-US" w:eastAsia="zh-CN"/>
        </w:rPr>
        <w:t>100</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。与</w:t>
      </w:r>
      <w:r>
        <w:rPr>
          <w:rFonts w:hint="default" w:ascii="Times New Roman" w:hAnsi="Times New Roman" w:eastAsia="仿宋_GB2312" w:cs="Times New Roman"/>
          <w:color w:val="auto"/>
          <w:sz w:val="32"/>
          <w:szCs w:val="32"/>
          <w:highlight w:val="none"/>
          <w:lang w:eastAsia="zh-CN"/>
        </w:rPr>
        <w:t>20</w:t>
      </w:r>
      <w:r>
        <w:rPr>
          <w:rFonts w:hint="eastAsia" w:ascii="Times New Roman" w:hAnsi="Times New Roman" w:eastAsia="仿宋_GB2312" w:cs="Times New Roman"/>
          <w:color w:val="auto"/>
          <w:sz w:val="32"/>
          <w:szCs w:val="32"/>
          <w:highlight w:val="none"/>
          <w:lang w:val="en-US" w:eastAsia="zh-CN"/>
        </w:rPr>
        <w:t>21</w:t>
      </w:r>
      <w:r>
        <w:rPr>
          <w:rFonts w:hint="eastAsia" w:ascii="Times New Roman" w:hAnsi="Times New Roman" w:eastAsia="仿宋_GB2312" w:cs="Times New Roman"/>
          <w:color w:val="auto"/>
          <w:sz w:val="32"/>
          <w:szCs w:val="32"/>
          <w:highlight w:val="none"/>
          <w:lang w:eastAsia="zh-CN"/>
        </w:rPr>
        <w:t>年相比，一般公共预算财政拨款支出减少</w:t>
      </w:r>
      <w:r>
        <w:rPr>
          <w:rFonts w:hint="eastAsia" w:ascii="Times New Roman" w:hAnsi="Times New Roman" w:eastAsia="仿宋_GB2312" w:cs="Times New Roman"/>
          <w:color w:val="auto"/>
          <w:sz w:val="32"/>
          <w:szCs w:val="32"/>
          <w:highlight w:val="none"/>
          <w:lang w:val="en-US" w:eastAsia="zh-CN"/>
        </w:rPr>
        <w:t>231.22</w:t>
      </w:r>
      <w:r>
        <w:rPr>
          <w:rFonts w:hint="eastAsia" w:ascii="Times New Roman" w:hAnsi="Times New Roman" w:eastAsia="仿宋_GB2312" w:cs="Times New Roman"/>
          <w:color w:val="auto"/>
          <w:sz w:val="32"/>
          <w:szCs w:val="32"/>
          <w:highlight w:val="none"/>
          <w:lang w:eastAsia="zh-CN"/>
        </w:rPr>
        <w:t>万元，下降</w:t>
      </w:r>
      <w:r>
        <w:rPr>
          <w:rFonts w:hint="eastAsia" w:ascii="Times New Roman" w:hAnsi="Times New Roman" w:eastAsia="仿宋_GB2312" w:cs="Times New Roman"/>
          <w:color w:val="auto"/>
          <w:sz w:val="32"/>
          <w:szCs w:val="32"/>
          <w:highlight w:val="none"/>
          <w:lang w:val="en-US" w:eastAsia="zh-CN"/>
        </w:rPr>
        <w:t>13.15</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。主要变动原因是</w:t>
      </w:r>
      <w:r>
        <w:rPr>
          <w:rFonts w:hint="eastAsia" w:ascii="Times New Roman" w:hAnsi="Times New Roman" w:eastAsia="仿宋_GB2312" w:cs="Times New Roman"/>
          <w:color w:val="auto"/>
          <w:sz w:val="32"/>
          <w:szCs w:val="32"/>
          <w:highlight w:val="none"/>
          <w:lang w:val="en-US" w:eastAsia="zh-CN"/>
        </w:rPr>
        <w:t>2022年疫情严重，对全年招商活动造成影响，外出减少，导致费用支出减少。</w:t>
      </w:r>
    </w:p>
    <w:p>
      <w:pPr>
        <w:pStyle w:val="14"/>
        <w:keepNext w:val="0"/>
        <w:keepLines w:val="0"/>
        <w:pageBreakBefore w:val="0"/>
        <w:shd w:val="clear"/>
        <w:kinsoku/>
        <w:wordWrap/>
        <w:overflowPunct/>
        <w:topLinePunct w:val="0"/>
        <w:autoSpaceDE/>
        <w:autoSpaceDN/>
        <w:bidi w:val="0"/>
        <w:outlineLvl w:val="9"/>
        <w:rPr>
          <w:color w:val="auto"/>
          <w:highlight w:val="none"/>
        </w:rPr>
      </w:pPr>
      <w:r>
        <w:rPr>
          <w:rFonts w:hint="eastAsia"/>
          <w:color w:val="auto"/>
          <w:highlight w:val="none"/>
          <w:lang w:val="en-US" w:eastAsia="zh-CN"/>
        </w:rPr>
        <w:t xml:space="preserve">         </w:t>
      </w:r>
      <w:r>
        <w:rPr>
          <w:color w:val="auto"/>
          <w:highlight w:val="none"/>
        </w:rPr>
        <w:drawing>
          <wp:inline distT="0" distB="0" distL="114300" distR="114300">
            <wp:extent cx="3897630" cy="2134235"/>
            <wp:effectExtent l="4445" t="4445" r="6985" b="2159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6" w:lineRule="exact"/>
        <w:ind w:leftChars="0" w:firstLine="0" w:firstLineChars="0"/>
        <w:jc w:val="center"/>
        <w:textAlignment w:val="auto"/>
        <w:outlineLvl w:val="9"/>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（图5：一般公共预算财政拨款支出决算变动情况）</w:t>
      </w:r>
    </w:p>
    <w:p>
      <w:pPr>
        <w:keepNext w:val="0"/>
        <w:keepLines w:val="0"/>
        <w:pageBreakBefore w:val="0"/>
        <w:widowControl w:val="0"/>
        <w:numPr>
          <w:ilvl w:val="0"/>
          <w:numId w:val="0"/>
        </w:numPr>
        <w:shd w:val="clear"/>
        <w:kinsoku/>
        <w:wordWrap/>
        <w:overflowPunct/>
        <w:topLinePunct w:val="0"/>
        <w:autoSpaceDE/>
        <w:autoSpaceDN/>
        <w:bidi w:val="0"/>
        <w:spacing w:line="576" w:lineRule="exact"/>
        <w:ind w:leftChars="0" w:firstLine="640" w:firstLineChars="200"/>
        <w:jc w:val="both"/>
        <w:textAlignment w:val="auto"/>
        <w:outlineLvl w:val="9"/>
        <w:rPr>
          <w:rFonts w:hint="eastAsia" w:ascii="楷体_GB2312" w:hAnsi="楷体_GB2312" w:eastAsia="楷体_GB2312" w:cs="楷体_GB2312"/>
          <w:color w:val="auto"/>
          <w:sz w:val="32"/>
          <w:szCs w:val="32"/>
          <w:highlight w:val="none"/>
          <w:lang w:eastAsia="zh-CN"/>
        </w:rPr>
      </w:pPr>
      <w:bookmarkStart w:id="53" w:name="_Toc15377211"/>
    </w:p>
    <w:p>
      <w:pPr>
        <w:keepNext w:val="0"/>
        <w:keepLines w:val="0"/>
        <w:pageBreakBefore w:val="0"/>
        <w:widowControl w:val="0"/>
        <w:numPr>
          <w:ilvl w:val="0"/>
          <w:numId w:val="0"/>
        </w:numPr>
        <w:shd w:val="clear"/>
        <w:kinsoku/>
        <w:wordWrap/>
        <w:overflowPunct/>
        <w:topLinePunct w:val="0"/>
        <w:autoSpaceDE/>
        <w:autoSpaceDN/>
        <w:bidi w:val="0"/>
        <w:spacing w:line="576" w:lineRule="exact"/>
        <w:ind w:leftChars="0" w:firstLine="640" w:firstLineChars="200"/>
        <w:jc w:val="both"/>
        <w:textAlignment w:val="auto"/>
        <w:outlineLvl w:val="9"/>
        <w:rPr>
          <w:rFonts w:hint="default"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（二）一般公共预算财政拨款支出决算结构情况</w:t>
      </w:r>
      <w:bookmarkEnd w:id="53"/>
    </w:p>
    <w:p>
      <w:pPr>
        <w:keepNext w:val="0"/>
        <w:keepLines w:val="0"/>
        <w:pageBreakBefore w:val="0"/>
        <w:widowControl w:val="0"/>
        <w:numPr>
          <w:ilvl w:val="0"/>
          <w:numId w:val="0"/>
        </w:numPr>
        <w:shd w:val="clear"/>
        <w:kinsoku/>
        <w:wordWrap/>
        <w:overflowPunct/>
        <w:topLinePunct w:val="0"/>
        <w:autoSpaceDE/>
        <w:autoSpaceDN/>
        <w:bidi w:val="0"/>
        <w:spacing w:line="576" w:lineRule="exact"/>
        <w:ind w:leftChars="0" w:firstLine="640" w:firstLineChars="200"/>
        <w:jc w:val="both"/>
        <w:textAlignment w:val="auto"/>
        <w:outlineLvl w:val="9"/>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20</w:t>
      </w:r>
      <w:r>
        <w:rPr>
          <w:rFonts w:hint="eastAsia" w:ascii="Times New Roman" w:hAnsi="Times New Roman" w:eastAsia="仿宋_GB2312" w:cs="Times New Roman"/>
          <w:color w:val="auto"/>
          <w:sz w:val="32"/>
          <w:szCs w:val="32"/>
          <w:highlight w:val="none"/>
          <w:lang w:val="en-US" w:eastAsia="zh-CN"/>
        </w:rPr>
        <w:t>22</w:t>
      </w:r>
      <w:r>
        <w:rPr>
          <w:rFonts w:hint="eastAsia" w:ascii="Times New Roman" w:hAnsi="Times New Roman" w:eastAsia="仿宋_GB2312" w:cs="Times New Roman"/>
          <w:color w:val="auto"/>
          <w:sz w:val="32"/>
          <w:szCs w:val="32"/>
          <w:highlight w:val="none"/>
          <w:lang w:eastAsia="zh-CN"/>
        </w:rPr>
        <w:t>年一般公共预算财政拨款支出</w:t>
      </w:r>
      <w:r>
        <w:rPr>
          <w:rFonts w:hint="eastAsia" w:ascii="Times New Roman" w:hAnsi="Times New Roman" w:eastAsia="仿宋_GB2312" w:cs="Times New Roman"/>
          <w:color w:val="auto"/>
          <w:sz w:val="32"/>
          <w:szCs w:val="32"/>
          <w:highlight w:val="none"/>
          <w:lang w:val="en-US" w:eastAsia="zh-CN"/>
        </w:rPr>
        <w:t>1526.78</w:t>
      </w:r>
      <w:r>
        <w:rPr>
          <w:rFonts w:hint="eastAsia" w:ascii="Times New Roman" w:hAnsi="Times New Roman" w:eastAsia="仿宋_GB2312" w:cs="Times New Roman"/>
          <w:color w:val="auto"/>
          <w:sz w:val="32"/>
          <w:szCs w:val="32"/>
          <w:highlight w:val="none"/>
          <w:lang w:eastAsia="zh-CN"/>
        </w:rPr>
        <w:t>万元，主要用于以下方面</w:t>
      </w:r>
      <w:r>
        <w:rPr>
          <w:rFonts w:hint="eastAsia"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一般公共服务（类）支出</w:t>
      </w:r>
      <w:r>
        <w:rPr>
          <w:rFonts w:hint="eastAsia" w:ascii="Times New Roman" w:hAnsi="Times New Roman" w:eastAsia="仿宋_GB2312" w:cs="Times New Roman"/>
          <w:color w:val="auto"/>
          <w:sz w:val="32"/>
          <w:szCs w:val="32"/>
          <w:highlight w:val="none"/>
          <w:lang w:val="en-US" w:eastAsia="zh-CN"/>
        </w:rPr>
        <w:t>1353.7</w:t>
      </w:r>
      <w:r>
        <w:rPr>
          <w:rFonts w:hint="eastAsia" w:ascii="Times New Roman" w:hAnsi="Times New Roman" w:eastAsia="仿宋_GB2312" w:cs="Times New Roman"/>
          <w:color w:val="auto"/>
          <w:sz w:val="32"/>
          <w:szCs w:val="32"/>
          <w:highlight w:val="none"/>
          <w:lang w:eastAsia="zh-CN"/>
        </w:rPr>
        <w:t>万元，占</w:t>
      </w:r>
      <w:r>
        <w:rPr>
          <w:rFonts w:hint="eastAsia" w:ascii="Times New Roman" w:hAnsi="Times New Roman" w:eastAsia="仿宋_GB2312" w:cs="Times New Roman"/>
          <w:color w:val="auto"/>
          <w:sz w:val="32"/>
          <w:szCs w:val="32"/>
          <w:highlight w:val="none"/>
          <w:lang w:val="en-US" w:eastAsia="zh-CN"/>
        </w:rPr>
        <w:t>88.67</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；社会保障和就业（类）支出</w:t>
      </w:r>
      <w:r>
        <w:rPr>
          <w:rFonts w:hint="eastAsia" w:ascii="Times New Roman" w:hAnsi="Times New Roman" w:eastAsia="仿宋_GB2312" w:cs="Times New Roman"/>
          <w:color w:val="auto"/>
          <w:sz w:val="32"/>
          <w:szCs w:val="32"/>
          <w:highlight w:val="none"/>
          <w:lang w:val="en-US" w:eastAsia="zh-CN"/>
        </w:rPr>
        <w:t>87.84</w:t>
      </w:r>
      <w:r>
        <w:rPr>
          <w:rFonts w:hint="eastAsia" w:ascii="Times New Roman" w:hAnsi="Times New Roman" w:eastAsia="仿宋_GB2312" w:cs="Times New Roman"/>
          <w:color w:val="auto"/>
          <w:sz w:val="32"/>
          <w:szCs w:val="32"/>
          <w:highlight w:val="none"/>
          <w:lang w:eastAsia="zh-CN"/>
        </w:rPr>
        <w:t>万元，占</w:t>
      </w:r>
      <w:r>
        <w:rPr>
          <w:rFonts w:hint="eastAsia" w:ascii="Times New Roman" w:hAnsi="Times New Roman" w:eastAsia="仿宋_GB2312" w:cs="Times New Roman"/>
          <w:color w:val="auto"/>
          <w:sz w:val="32"/>
          <w:szCs w:val="32"/>
          <w:highlight w:val="none"/>
          <w:lang w:val="en-US" w:eastAsia="zh-CN"/>
        </w:rPr>
        <w:t>5.75</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；卫生健康（类）支出</w:t>
      </w:r>
      <w:r>
        <w:rPr>
          <w:rFonts w:hint="eastAsia" w:ascii="Times New Roman" w:hAnsi="Times New Roman" w:eastAsia="仿宋_GB2312" w:cs="Times New Roman"/>
          <w:color w:val="auto"/>
          <w:sz w:val="32"/>
          <w:szCs w:val="32"/>
          <w:highlight w:val="none"/>
          <w:lang w:val="en-US" w:eastAsia="zh-CN"/>
        </w:rPr>
        <w:t>22.52</w:t>
      </w:r>
      <w:r>
        <w:rPr>
          <w:rFonts w:hint="eastAsia" w:ascii="Times New Roman" w:hAnsi="Times New Roman" w:eastAsia="仿宋_GB2312" w:cs="Times New Roman"/>
          <w:color w:val="auto"/>
          <w:sz w:val="32"/>
          <w:szCs w:val="32"/>
          <w:highlight w:val="none"/>
          <w:lang w:eastAsia="zh-CN"/>
        </w:rPr>
        <w:t>万元，占</w:t>
      </w:r>
      <w:r>
        <w:rPr>
          <w:rFonts w:hint="eastAsia" w:ascii="Times New Roman" w:hAnsi="Times New Roman" w:eastAsia="仿宋_GB2312" w:cs="Times New Roman"/>
          <w:color w:val="auto"/>
          <w:sz w:val="32"/>
          <w:szCs w:val="32"/>
          <w:highlight w:val="none"/>
          <w:lang w:val="en-US" w:eastAsia="zh-CN"/>
        </w:rPr>
        <w:t>1.47</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；住房保障（类）支出</w:t>
      </w:r>
      <w:r>
        <w:rPr>
          <w:rFonts w:hint="eastAsia" w:ascii="Times New Roman" w:hAnsi="Times New Roman" w:eastAsia="仿宋_GB2312" w:cs="Times New Roman"/>
          <w:color w:val="auto"/>
          <w:sz w:val="32"/>
          <w:szCs w:val="32"/>
          <w:highlight w:val="none"/>
          <w:lang w:val="en-US" w:eastAsia="zh-CN"/>
        </w:rPr>
        <w:t>62.72</w:t>
      </w:r>
      <w:r>
        <w:rPr>
          <w:rFonts w:hint="eastAsia" w:ascii="Times New Roman" w:hAnsi="Times New Roman" w:eastAsia="仿宋_GB2312" w:cs="Times New Roman"/>
          <w:color w:val="auto"/>
          <w:sz w:val="32"/>
          <w:szCs w:val="32"/>
          <w:highlight w:val="none"/>
          <w:lang w:eastAsia="zh-CN"/>
        </w:rPr>
        <w:t>万元，占</w:t>
      </w:r>
      <w:r>
        <w:rPr>
          <w:rFonts w:hint="eastAsia" w:ascii="Times New Roman" w:hAnsi="Times New Roman" w:eastAsia="仿宋_GB2312" w:cs="Times New Roman"/>
          <w:color w:val="auto"/>
          <w:sz w:val="32"/>
          <w:szCs w:val="32"/>
          <w:highlight w:val="none"/>
          <w:lang w:val="en-US" w:eastAsia="zh-CN"/>
        </w:rPr>
        <w:t>4.11</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w:t>
      </w:r>
    </w:p>
    <w:p>
      <w:pPr>
        <w:pStyle w:val="2"/>
        <w:keepNext w:val="0"/>
        <w:keepLines w:val="0"/>
        <w:pageBreakBefore w:val="0"/>
        <w:shd w:val="clear"/>
        <w:kinsoku/>
        <w:wordWrap/>
        <w:overflowPunct/>
        <w:topLinePunct w:val="0"/>
        <w:autoSpaceDE/>
        <w:autoSpaceDN/>
        <w:bidi w:val="0"/>
        <w:outlineLvl w:val="9"/>
        <w:rPr>
          <w:rFonts w:hint="eastAsia"/>
          <w:color w:val="auto"/>
          <w:highlight w:val="none"/>
          <w:lang w:eastAsia="zh-CN"/>
        </w:rPr>
      </w:pPr>
      <w:r>
        <w:rPr>
          <w:rFonts w:hint="eastAsia"/>
          <w:color w:val="auto"/>
          <w:highlight w:val="none"/>
          <w:lang w:val="en-US" w:eastAsia="zh-CN"/>
        </w:rPr>
        <w:t xml:space="preserve">             </w:t>
      </w:r>
      <w:r>
        <w:rPr>
          <w:color w:val="auto"/>
          <w:highlight w:val="none"/>
        </w:rPr>
        <w:drawing>
          <wp:inline distT="0" distB="0" distL="114300" distR="114300">
            <wp:extent cx="3686175" cy="2146300"/>
            <wp:effectExtent l="4445" t="4445" r="12700" b="9525"/>
            <wp:docPr id="5"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pageBreakBefore w:val="0"/>
        <w:shd w:val="clear"/>
        <w:kinsoku/>
        <w:wordWrap/>
        <w:overflowPunct/>
        <w:topLinePunct w:val="0"/>
        <w:autoSpaceDE/>
        <w:autoSpaceDN/>
        <w:bidi w:val="0"/>
        <w:outlineLvl w:val="9"/>
        <w:rPr>
          <w:color w:val="auto"/>
          <w:highlight w:val="none"/>
        </w:rPr>
      </w:pPr>
    </w:p>
    <w:p>
      <w:pPr>
        <w:keepNext w:val="0"/>
        <w:keepLines w:val="0"/>
        <w:pageBreakBefore w:val="0"/>
        <w:widowControl w:val="0"/>
        <w:numPr>
          <w:ilvl w:val="0"/>
          <w:numId w:val="0"/>
        </w:numPr>
        <w:shd w:val="clear"/>
        <w:kinsoku/>
        <w:wordWrap/>
        <w:overflowPunct/>
        <w:topLinePunct w:val="0"/>
        <w:autoSpaceDE/>
        <w:autoSpaceDN/>
        <w:bidi w:val="0"/>
        <w:adjustRightInd/>
        <w:snapToGrid/>
        <w:spacing w:line="576" w:lineRule="exact"/>
        <w:ind w:leftChars="0" w:firstLine="0" w:firstLineChars="0"/>
        <w:jc w:val="center"/>
        <w:textAlignment w:val="auto"/>
        <w:outlineLvl w:val="9"/>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（图6：一般公共预算财政拨款支出决算结构）</w:t>
      </w:r>
    </w:p>
    <w:p>
      <w:pPr>
        <w:keepNext w:val="0"/>
        <w:keepLines w:val="0"/>
        <w:pageBreakBefore w:val="0"/>
        <w:widowControl w:val="0"/>
        <w:numPr>
          <w:ilvl w:val="0"/>
          <w:numId w:val="0"/>
        </w:numPr>
        <w:shd w:val="clear"/>
        <w:kinsoku/>
        <w:wordWrap/>
        <w:overflowPunct/>
        <w:topLinePunct w:val="0"/>
        <w:autoSpaceDE/>
        <w:autoSpaceDN/>
        <w:bidi w:val="0"/>
        <w:spacing w:line="576" w:lineRule="exact"/>
        <w:ind w:leftChars="0" w:firstLine="640" w:firstLineChars="200"/>
        <w:jc w:val="both"/>
        <w:textAlignment w:val="auto"/>
        <w:outlineLvl w:val="9"/>
        <w:rPr>
          <w:rFonts w:hint="eastAsia" w:ascii="楷体_GB2312" w:hAnsi="楷体_GB2312" w:eastAsia="楷体_GB2312" w:cs="楷体_GB2312"/>
          <w:color w:val="auto"/>
          <w:sz w:val="32"/>
          <w:szCs w:val="32"/>
          <w:highlight w:val="none"/>
          <w:lang w:eastAsia="zh-CN"/>
        </w:rPr>
      </w:pPr>
      <w:bookmarkStart w:id="54" w:name="_Toc15377212"/>
      <w:r>
        <w:rPr>
          <w:rFonts w:hint="eastAsia" w:ascii="楷体_GB2312" w:hAnsi="楷体_GB2312" w:eastAsia="楷体_GB2312" w:cs="楷体_GB2312"/>
          <w:color w:val="auto"/>
          <w:sz w:val="32"/>
          <w:szCs w:val="32"/>
          <w:highlight w:val="none"/>
          <w:lang w:eastAsia="zh-CN"/>
        </w:rPr>
        <w:t>（三）一般公共预算财政拨款支出决算具体情况</w:t>
      </w:r>
      <w:bookmarkEnd w:id="54"/>
    </w:p>
    <w:p>
      <w:pPr>
        <w:keepNext w:val="0"/>
        <w:keepLines w:val="0"/>
        <w:pageBreakBefore w:val="0"/>
        <w:widowControl w:val="0"/>
        <w:numPr>
          <w:ilvl w:val="0"/>
          <w:numId w:val="0"/>
        </w:numPr>
        <w:shd w:val="clear"/>
        <w:kinsoku/>
        <w:wordWrap/>
        <w:overflowPunct/>
        <w:topLinePunct w:val="0"/>
        <w:autoSpaceDE/>
        <w:autoSpaceDN/>
        <w:bidi w:val="0"/>
        <w:spacing w:line="576" w:lineRule="exact"/>
        <w:ind w:leftChars="0" w:firstLine="640" w:firstLineChars="200"/>
        <w:jc w:val="both"/>
        <w:textAlignment w:val="auto"/>
        <w:outlineLvl w:val="9"/>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20</w:t>
      </w:r>
      <w:r>
        <w:rPr>
          <w:rFonts w:hint="eastAsia" w:ascii="Times New Roman" w:hAnsi="Times New Roman" w:eastAsia="仿宋_GB2312" w:cs="Times New Roman"/>
          <w:color w:val="auto"/>
          <w:sz w:val="32"/>
          <w:szCs w:val="32"/>
          <w:highlight w:val="none"/>
          <w:lang w:val="en-US" w:eastAsia="zh-CN"/>
        </w:rPr>
        <w:t>22</w:t>
      </w:r>
      <w:r>
        <w:rPr>
          <w:rFonts w:hint="eastAsia" w:ascii="Times New Roman" w:hAnsi="Times New Roman" w:eastAsia="仿宋_GB2312" w:cs="Times New Roman"/>
          <w:color w:val="auto"/>
          <w:sz w:val="32"/>
          <w:szCs w:val="32"/>
          <w:highlight w:val="none"/>
          <w:lang w:eastAsia="zh-CN"/>
        </w:rPr>
        <w:t>年一般公共预算支出决算数为</w:t>
      </w:r>
      <w:r>
        <w:rPr>
          <w:rFonts w:hint="eastAsia" w:ascii="Times New Roman" w:hAnsi="Times New Roman" w:eastAsia="仿宋_GB2312" w:cs="Times New Roman"/>
          <w:color w:val="auto"/>
          <w:sz w:val="32"/>
          <w:szCs w:val="32"/>
          <w:highlight w:val="none"/>
          <w:lang w:val="en-US" w:eastAsia="zh-CN"/>
        </w:rPr>
        <w:t>1526.78万元</w:t>
      </w:r>
      <w:r>
        <w:rPr>
          <w:rFonts w:hint="eastAsia" w:ascii="Times New Roman" w:hAnsi="Times New Roman" w:eastAsia="仿宋_GB2312" w:cs="Times New Roman"/>
          <w:color w:val="auto"/>
          <w:sz w:val="32"/>
          <w:szCs w:val="32"/>
          <w:highlight w:val="none"/>
          <w:lang w:eastAsia="zh-CN"/>
        </w:rPr>
        <w:t>，完成预算</w:t>
      </w:r>
      <w:r>
        <w:rPr>
          <w:rFonts w:hint="eastAsia" w:ascii="Times New Roman" w:hAnsi="Times New Roman" w:eastAsia="仿宋_GB2312" w:cs="Times New Roman"/>
          <w:color w:val="auto"/>
          <w:sz w:val="32"/>
          <w:szCs w:val="32"/>
          <w:highlight w:val="none"/>
          <w:lang w:val="en-US" w:eastAsia="zh-CN"/>
        </w:rPr>
        <w:t>96.83</w:t>
      </w:r>
      <w:r>
        <w:rPr>
          <w:rFonts w:hint="eastAsia" w:ascii="Times New Roman" w:hAnsi="Times New Roman" w:eastAsia="仿宋_GB2312" w:cs="Times New Roman"/>
          <w:color w:val="auto"/>
          <w:sz w:val="32"/>
          <w:szCs w:val="32"/>
          <w:highlight w:val="none"/>
          <w:lang w:eastAsia="zh-CN"/>
        </w:rPr>
        <w:t>%。其中：</w:t>
      </w:r>
    </w:p>
    <w:p>
      <w:pPr>
        <w:keepNext w:val="0"/>
        <w:keepLines w:val="0"/>
        <w:pageBreakBefore w:val="0"/>
        <w:widowControl w:val="0"/>
        <w:numPr>
          <w:numId w:val="0"/>
        </w:numPr>
        <w:shd w:val="clear"/>
        <w:kinsoku/>
        <w:wordWrap/>
        <w:overflowPunct/>
        <w:topLinePunct w:val="0"/>
        <w:autoSpaceDE/>
        <w:autoSpaceDN/>
        <w:bidi w:val="0"/>
        <w:spacing w:line="576"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eastAsia" w:eastAsia="仿宋_GB2312" w:cs="Times New Roman"/>
          <w:color w:val="auto"/>
          <w:sz w:val="32"/>
          <w:szCs w:val="32"/>
          <w:highlight w:val="none"/>
          <w:lang w:val="en-US" w:eastAsia="zh-CN"/>
        </w:rPr>
        <w:t>1.</w:t>
      </w:r>
      <w:r>
        <w:rPr>
          <w:rFonts w:hint="eastAsia" w:ascii="Times New Roman" w:hAnsi="Times New Roman" w:eastAsia="仿宋_GB2312" w:cs="Times New Roman"/>
          <w:color w:val="auto"/>
          <w:sz w:val="32"/>
          <w:szCs w:val="32"/>
          <w:highlight w:val="none"/>
          <w:lang w:val="en-US" w:eastAsia="zh-CN"/>
        </w:rPr>
        <w:t>一般公共服务（类）政府办公厅（室）及相关机构事务（款）行政运行（项）：支出决算为86.02万元，完成预算100%。</w:t>
      </w:r>
    </w:p>
    <w:p>
      <w:pPr>
        <w:keepNext w:val="0"/>
        <w:keepLines w:val="0"/>
        <w:pageBreakBefore w:val="0"/>
        <w:widowControl w:val="0"/>
        <w:numPr>
          <w:numId w:val="0"/>
        </w:numPr>
        <w:shd w:val="clear"/>
        <w:kinsoku/>
        <w:wordWrap/>
        <w:overflowPunct/>
        <w:topLinePunct w:val="0"/>
        <w:autoSpaceDE/>
        <w:autoSpaceDN/>
        <w:bidi w:val="0"/>
        <w:spacing w:line="576" w:lineRule="exact"/>
        <w:ind w:firstLine="640" w:firstLineChars="200"/>
        <w:jc w:val="both"/>
        <w:textAlignment w:val="auto"/>
        <w:outlineLvl w:val="9"/>
        <w:rPr>
          <w:rFonts w:hint="eastAsia" w:ascii="Times New Roman" w:hAnsi="Times New Roman" w:eastAsia="仿宋_GB2312" w:cs="Times New Roman"/>
          <w:color w:val="auto"/>
          <w:sz w:val="32"/>
          <w:szCs w:val="32"/>
          <w:highlight w:val="none"/>
          <w:lang w:eastAsia="zh-CN"/>
        </w:rPr>
      </w:pPr>
      <w:r>
        <w:rPr>
          <w:rFonts w:hint="eastAsia" w:eastAsia="仿宋_GB2312" w:cs="Times New Roman"/>
          <w:color w:val="auto"/>
          <w:sz w:val="32"/>
          <w:szCs w:val="32"/>
          <w:highlight w:val="none"/>
          <w:lang w:val="en-US" w:eastAsia="zh-CN"/>
        </w:rPr>
        <w:t>2.</w:t>
      </w:r>
      <w:r>
        <w:rPr>
          <w:rFonts w:hint="eastAsia" w:ascii="Times New Roman" w:hAnsi="Times New Roman" w:eastAsia="仿宋_GB2312" w:cs="Times New Roman"/>
          <w:color w:val="auto"/>
          <w:sz w:val="32"/>
          <w:szCs w:val="32"/>
          <w:highlight w:val="none"/>
          <w:lang w:eastAsia="zh-CN"/>
        </w:rPr>
        <w:t>一般公共服务（类）商贸事务（款）行政运行（项）</w:t>
      </w:r>
      <w:r>
        <w:rPr>
          <w:rFonts w:hint="eastAsia"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 xml:space="preserve"> </w:t>
      </w:r>
      <w:r>
        <w:rPr>
          <w:rFonts w:hint="eastAsia" w:ascii="Times New Roman" w:hAnsi="Times New Roman" w:eastAsia="仿宋_GB2312" w:cs="Times New Roman"/>
          <w:color w:val="auto"/>
          <w:sz w:val="32"/>
          <w:szCs w:val="32"/>
          <w:highlight w:val="none"/>
          <w:lang w:eastAsia="zh-CN"/>
        </w:rPr>
        <w:t>支出决算为</w:t>
      </w:r>
      <w:r>
        <w:rPr>
          <w:rFonts w:hint="eastAsia" w:ascii="Times New Roman" w:hAnsi="Times New Roman" w:eastAsia="仿宋_GB2312" w:cs="Times New Roman"/>
          <w:color w:val="auto"/>
          <w:sz w:val="32"/>
          <w:szCs w:val="32"/>
          <w:highlight w:val="none"/>
          <w:lang w:val="en-US" w:eastAsia="zh-CN"/>
        </w:rPr>
        <w:t>658.91</w:t>
      </w:r>
      <w:r>
        <w:rPr>
          <w:rFonts w:hint="eastAsia" w:ascii="Times New Roman" w:hAnsi="Times New Roman" w:eastAsia="仿宋_GB2312" w:cs="Times New Roman"/>
          <w:color w:val="auto"/>
          <w:sz w:val="32"/>
          <w:szCs w:val="32"/>
          <w:highlight w:val="none"/>
          <w:lang w:eastAsia="zh-CN"/>
        </w:rPr>
        <w:t>万元，完成预算</w:t>
      </w:r>
      <w:r>
        <w:rPr>
          <w:rFonts w:hint="eastAsia" w:ascii="Times New Roman" w:hAnsi="Times New Roman" w:eastAsia="仿宋_GB2312" w:cs="Times New Roman"/>
          <w:color w:val="auto"/>
          <w:sz w:val="32"/>
          <w:szCs w:val="32"/>
          <w:highlight w:val="none"/>
          <w:lang w:val="en-US" w:eastAsia="zh-CN"/>
        </w:rPr>
        <w:t>100</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val="0"/>
        <w:numPr>
          <w:numId w:val="0"/>
        </w:numPr>
        <w:shd w:val="clear"/>
        <w:kinsoku/>
        <w:wordWrap/>
        <w:overflowPunct/>
        <w:topLinePunct w:val="0"/>
        <w:autoSpaceDE/>
        <w:autoSpaceDN/>
        <w:bidi w:val="0"/>
        <w:spacing w:line="576"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eastAsia" w:eastAsia="仿宋_GB2312" w:cs="Times New Roman"/>
          <w:color w:val="auto"/>
          <w:sz w:val="32"/>
          <w:szCs w:val="32"/>
          <w:highlight w:val="none"/>
          <w:lang w:val="en-US" w:eastAsia="zh-CN"/>
        </w:rPr>
        <w:t>3.</w:t>
      </w:r>
      <w:r>
        <w:rPr>
          <w:rFonts w:hint="eastAsia" w:ascii="Times New Roman" w:hAnsi="Times New Roman" w:eastAsia="仿宋_GB2312" w:cs="Times New Roman"/>
          <w:color w:val="auto"/>
          <w:sz w:val="32"/>
          <w:szCs w:val="32"/>
          <w:highlight w:val="none"/>
          <w:lang w:eastAsia="zh-CN"/>
        </w:rPr>
        <w:t>一般公共服务（类）商贸事务（款）招商引资（项）支出决算为</w:t>
      </w:r>
      <w:r>
        <w:rPr>
          <w:rFonts w:hint="eastAsia" w:ascii="Times New Roman" w:hAnsi="Times New Roman" w:eastAsia="仿宋_GB2312" w:cs="Times New Roman"/>
          <w:color w:val="auto"/>
          <w:sz w:val="32"/>
          <w:szCs w:val="32"/>
          <w:highlight w:val="none"/>
          <w:lang w:val="en-US" w:eastAsia="zh-CN"/>
        </w:rPr>
        <w:t>541.4</w:t>
      </w:r>
      <w:r>
        <w:rPr>
          <w:rFonts w:hint="eastAsia" w:ascii="Times New Roman" w:hAnsi="Times New Roman" w:eastAsia="仿宋_GB2312" w:cs="Times New Roman"/>
          <w:color w:val="auto"/>
          <w:sz w:val="32"/>
          <w:szCs w:val="32"/>
          <w:highlight w:val="none"/>
          <w:lang w:eastAsia="zh-CN"/>
        </w:rPr>
        <w:t>万元，完成预算</w:t>
      </w:r>
      <w:r>
        <w:rPr>
          <w:rFonts w:hint="eastAsia" w:ascii="Times New Roman" w:hAnsi="Times New Roman" w:eastAsia="仿宋_GB2312" w:cs="Times New Roman"/>
          <w:color w:val="auto"/>
          <w:sz w:val="32"/>
          <w:szCs w:val="32"/>
          <w:highlight w:val="none"/>
          <w:lang w:val="en-US" w:eastAsia="zh-CN"/>
        </w:rPr>
        <w:t>93.25</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，决算数小于预算数的主要</w:t>
      </w:r>
      <w:r>
        <w:rPr>
          <w:rFonts w:hint="eastAsia" w:eastAsia="仿宋_GB2312" w:cs="Times New Roman"/>
          <w:color w:val="auto"/>
          <w:sz w:val="32"/>
          <w:szCs w:val="32"/>
          <w:highlight w:val="none"/>
          <w:lang w:eastAsia="zh-CN"/>
        </w:rPr>
        <w:t>原因是</w:t>
      </w:r>
      <w:r>
        <w:rPr>
          <w:rFonts w:hint="eastAsia" w:ascii="Times New Roman" w:hAnsi="Times New Roman" w:eastAsia="仿宋_GB2312" w:cs="Times New Roman"/>
          <w:color w:val="auto"/>
          <w:sz w:val="32"/>
          <w:szCs w:val="32"/>
          <w:highlight w:val="none"/>
          <w:lang w:eastAsia="zh-CN"/>
        </w:rPr>
        <w:t>疫情原因外出招商活动减少，资金支出减少。</w:t>
      </w:r>
    </w:p>
    <w:p>
      <w:pPr>
        <w:keepNext w:val="0"/>
        <w:keepLines w:val="0"/>
        <w:pageBreakBefore w:val="0"/>
        <w:widowControl w:val="0"/>
        <w:numPr>
          <w:numId w:val="0"/>
        </w:numPr>
        <w:shd w:val="clear"/>
        <w:kinsoku/>
        <w:wordWrap/>
        <w:overflowPunct/>
        <w:topLinePunct w:val="0"/>
        <w:autoSpaceDE/>
        <w:autoSpaceDN/>
        <w:bidi w:val="0"/>
        <w:spacing w:line="576" w:lineRule="exact"/>
        <w:ind w:firstLine="640" w:firstLineChars="200"/>
        <w:jc w:val="both"/>
        <w:textAlignment w:val="auto"/>
        <w:outlineLvl w:val="9"/>
        <w:rPr>
          <w:rFonts w:hint="eastAsia" w:ascii="Times New Roman" w:hAnsi="Times New Roman" w:eastAsia="仿宋_GB2312" w:cs="Times New Roman"/>
          <w:color w:val="auto"/>
          <w:sz w:val="32"/>
          <w:szCs w:val="32"/>
          <w:highlight w:val="none"/>
          <w:lang w:val="en-US" w:eastAsia="zh-CN"/>
        </w:rPr>
      </w:pPr>
      <w:r>
        <w:rPr>
          <w:rFonts w:hint="eastAsia" w:eastAsia="仿宋_GB2312" w:cs="Times New Roman"/>
          <w:color w:val="auto"/>
          <w:sz w:val="32"/>
          <w:szCs w:val="32"/>
          <w:highlight w:val="none"/>
          <w:lang w:val="en-US" w:eastAsia="zh-CN"/>
        </w:rPr>
        <w:t>4.</w:t>
      </w:r>
      <w:r>
        <w:rPr>
          <w:rFonts w:hint="eastAsia" w:ascii="Times New Roman" w:hAnsi="Times New Roman" w:eastAsia="仿宋_GB2312" w:cs="Times New Roman"/>
          <w:color w:val="auto"/>
          <w:sz w:val="32"/>
          <w:szCs w:val="32"/>
          <w:highlight w:val="none"/>
          <w:lang w:eastAsia="zh-CN"/>
        </w:rPr>
        <w:t>一般公共服务（类）商贸事务（款）事业运行（项）：支出决算为</w:t>
      </w:r>
      <w:r>
        <w:rPr>
          <w:rFonts w:hint="eastAsia" w:ascii="Times New Roman" w:hAnsi="Times New Roman" w:eastAsia="仿宋_GB2312" w:cs="Times New Roman"/>
          <w:color w:val="auto"/>
          <w:sz w:val="32"/>
          <w:szCs w:val="32"/>
          <w:highlight w:val="none"/>
          <w:lang w:val="en-US" w:eastAsia="zh-CN"/>
        </w:rPr>
        <w:t>59.79万元，完成预算100%。</w:t>
      </w:r>
    </w:p>
    <w:p>
      <w:pPr>
        <w:keepNext w:val="0"/>
        <w:keepLines w:val="0"/>
        <w:pageBreakBefore w:val="0"/>
        <w:widowControl w:val="0"/>
        <w:numPr>
          <w:numId w:val="0"/>
        </w:numPr>
        <w:shd w:val="clear"/>
        <w:kinsoku/>
        <w:wordWrap/>
        <w:overflowPunct/>
        <w:topLinePunct w:val="0"/>
        <w:autoSpaceDE/>
        <w:autoSpaceDN/>
        <w:bidi w:val="0"/>
        <w:spacing w:line="576" w:lineRule="exact"/>
        <w:ind w:firstLine="640" w:firstLineChars="200"/>
        <w:jc w:val="both"/>
        <w:textAlignment w:val="auto"/>
        <w:outlineLvl w:val="9"/>
        <w:rPr>
          <w:rFonts w:hint="eastAsia" w:ascii="Times New Roman" w:hAnsi="Times New Roman" w:eastAsia="仿宋_GB2312" w:cs="Times New Roman"/>
          <w:color w:val="auto"/>
          <w:sz w:val="32"/>
          <w:szCs w:val="32"/>
          <w:highlight w:val="none"/>
          <w:lang w:val="en-US" w:eastAsia="zh-CN"/>
        </w:rPr>
      </w:pPr>
      <w:r>
        <w:rPr>
          <w:rFonts w:hint="eastAsia" w:eastAsia="仿宋_GB2312" w:cs="Times New Roman"/>
          <w:color w:val="auto"/>
          <w:sz w:val="32"/>
          <w:szCs w:val="32"/>
          <w:highlight w:val="none"/>
          <w:lang w:val="en-US" w:eastAsia="zh-CN"/>
        </w:rPr>
        <w:t>5.</w:t>
      </w:r>
      <w:r>
        <w:rPr>
          <w:rFonts w:hint="eastAsia" w:ascii="Times New Roman" w:hAnsi="Times New Roman" w:eastAsia="仿宋_GB2312" w:cs="Times New Roman"/>
          <w:color w:val="auto"/>
          <w:sz w:val="32"/>
          <w:szCs w:val="32"/>
          <w:highlight w:val="none"/>
          <w:lang w:val="en-US" w:eastAsia="zh-CN"/>
        </w:rPr>
        <w:t>一般公共服务（类）其他一般公共服务支出（款）其他一般公共服务支出（项）：支出决算为7.58万元，完成预算100%。</w:t>
      </w:r>
    </w:p>
    <w:p>
      <w:pPr>
        <w:keepNext w:val="0"/>
        <w:keepLines w:val="0"/>
        <w:pageBreakBefore w:val="0"/>
        <w:widowControl w:val="0"/>
        <w:numPr>
          <w:numId w:val="0"/>
        </w:numPr>
        <w:shd w:val="clear"/>
        <w:kinsoku/>
        <w:wordWrap/>
        <w:overflowPunct/>
        <w:topLinePunct w:val="0"/>
        <w:autoSpaceDE/>
        <w:autoSpaceDN/>
        <w:bidi w:val="0"/>
        <w:spacing w:line="576" w:lineRule="exact"/>
        <w:ind w:firstLine="640" w:firstLineChars="200"/>
        <w:jc w:val="both"/>
        <w:textAlignment w:val="auto"/>
        <w:outlineLvl w:val="9"/>
        <w:rPr>
          <w:rFonts w:hint="eastAsia" w:ascii="Times New Roman" w:hAnsi="Times New Roman" w:eastAsia="仿宋_GB2312" w:cs="Times New Roman"/>
          <w:color w:val="auto"/>
          <w:sz w:val="32"/>
          <w:szCs w:val="32"/>
          <w:highlight w:val="none"/>
          <w:lang w:eastAsia="zh-CN"/>
        </w:rPr>
      </w:pPr>
      <w:r>
        <w:rPr>
          <w:rFonts w:hint="eastAsia" w:eastAsia="仿宋_GB2312" w:cs="Times New Roman"/>
          <w:color w:val="auto"/>
          <w:sz w:val="32"/>
          <w:szCs w:val="32"/>
          <w:highlight w:val="none"/>
          <w:lang w:val="en-US" w:eastAsia="zh-CN"/>
        </w:rPr>
        <w:t>6.</w:t>
      </w:r>
      <w:r>
        <w:rPr>
          <w:rFonts w:hint="eastAsia" w:ascii="Times New Roman" w:hAnsi="Times New Roman" w:eastAsia="仿宋_GB2312" w:cs="Times New Roman"/>
          <w:color w:val="auto"/>
          <w:sz w:val="32"/>
          <w:szCs w:val="32"/>
          <w:highlight w:val="none"/>
          <w:lang w:eastAsia="zh-CN"/>
        </w:rPr>
        <w:t>社会保障和就业（类）行政事业单位养老支出（款）机关事业单位基本养老保险缴费支出（项）</w:t>
      </w:r>
      <w:r>
        <w:rPr>
          <w:rFonts w:hint="eastAsia"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 xml:space="preserve"> </w:t>
      </w:r>
      <w:r>
        <w:rPr>
          <w:rFonts w:hint="eastAsia" w:ascii="Times New Roman" w:hAnsi="Times New Roman" w:eastAsia="仿宋_GB2312" w:cs="Times New Roman"/>
          <w:color w:val="auto"/>
          <w:sz w:val="32"/>
          <w:szCs w:val="32"/>
          <w:highlight w:val="none"/>
          <w:lang w:eastAsia="zh-CN"/>
        </w:rPr>
        <w:t>支出决算为</w:t>
      </w:r>
      <w:r>
        <w:rPr>
          <w:rFonts w:hint="eastAsia" w:ascii="Times New Roman" w:hAnsi="Times New Roman" w:eastAsia="仿宋_GB2312" w:cs="Times New Roman"/>
          <w:color w:val="auto"/>
          <w:sz w:val="32"/>
          <w:szCs w:val="32"/>
          <w:highlight w:val="none"/>
          <w:lang w:val="en-US" w:eastAsia="zh-CN"/>
        </w:rPr>
        <w:t>47.48</w:t>
      </w:r>
      <w:r>
        <w:rPr>
          <w:rFonts w:hint="eastAsia" w:ascii="Times New Roman" w:hAnsi="Times New Roman" w:eastAsia="仿宋_GB2312" w:cs="Times New Roman"/>
          <w:color w:val="auto"/>
          <w:sz w:val="32"/>
          <w:szCs w:val="32"/>
          <w:highlight w:val="none"/>
          <w:lang w:eastAsia="zh-CN"/>
        </w:rPr>
        <w:t>万元，完成预算</w:t>
      </w:r>
      <w:r>
        <w:rPr>
          <w:rFonts w:hint="eastAsia" w:ascii="Times New Roman" w:hAnsi="Times New Roman" w:eastAsia="仿宋_GB2312" w:cs="Times New Roman"/>
          <w:color w:val="auto"/>
          <w:sz w:val="32"/>
          <w:szCs w:val="32"/>
          <w:highlight w:val="none"/>
          <w:lang w:val="en-US" w:eastAsia="zh-CN"/>
        </w:rPr>
        <w:t>67.61</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，主要原因为基础绩效奖计入养老保险基础缴费，年末未调整基数补缴费用。</w:t>
      </w:r>
    </w:p>
    <w:p>
      <w:pPr>
        <w:keepNext w:val="0"/>
        <w:keepLines w:val="0"/>
        <w:pageBreakBefore w:val="0"/>
        <w:widowControl w:val="0"/>
        <w:numPr>
          <w:numId w:val="0"/>
        </w:numPr>
        <w:shd w:val="clear"/>
        <w:kinsoku/>
        <w:wordWrap/>
        <w:overflowPunct/>
        <w:topLinePunct w:val="0"/>
        <w:autoSpaceDE/>
        <w:autoSpaceDN/>
        <w:bidi w:val="0"/>
        <w:spacing w:line="576" w:lineRule="exact"/>
        <w:ind w:firstLine="640" w:firstLineChars="200"/>
        <w:jc w:val="both"/>
        <w:textAlignment w:val="auto"/>
        <w:outlineLvl w:val="9"/>
        <w:rPr>
          <w:rFonts w:hint="eastAsia" w:ascii="Times New Roman" w:hAnsi="Times New Roman" w:eastAsia="仿宋_GB2312" w:cs="Times New Roman"/>
          <w:color w:val="auto"/>
          <w:sz w:val="32"/>
          <w:szCs w:val="32"/>
          <w:highlight w:val="none"/>
          <w:lang w:val="en-US" w:eastAsia="zh-CN"/>
        </w:rPr>
      </w:pPr>
      <w:r>
        <w:rPr>
          <w:rFonts w:hint="eastAsia" w:eastAsia="仿宋_GB2312" w:cs="Times New Roman"/>
          <w:color w:val="auto"/>
          <w:sz w:val="32"/>
          <w:szCs w:val="32"/>
          <w:highlight w:val="none"/>
          <w:lang w:val="en-US" w:eastAsia="zh-CN"/>
        </w:rPr>
        <w:t>7.</w:t>
      </w:r>
      <w:r>
        <w:rPr>
          <w:rFonts w:hint="eastAsia" w:ascii="Times New Roman" w:hAnsi="Times New Roman" w:eastAsia="仿宋_GB2312" w:cs="Times New Roman"/>
          <w:color w:val="auto"/>
          <w:sz w:val="32"/>
          <w:szCs w:val="32"/>
          <w:highlight w:val="none"/>
          <w:lang w:eastAsia="zh-CN"/>
        </w:rPr>
        <w:t>社会保障和就业（类）行政事业单位养老支出（款）机关事业单位职业年金缴费支出（项）</w:t>
      </w:r>
      <w:r>
        <w:rPr>
          <w:rFonts w:hint="eastAsia"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支出决算为</w:t>
      </w:r>
      <w:r>
        <w:rPr>
          <w:rFonts w:hint="eastAsia" w:ascii="Times New Roman" w:hAnsi="Times New Roman" w:eastAsia="仿宋_GB2312" w:cs="Times New Roman"/>
          <w:color w:val="auto"/>
          <w:sz w:val="32"/>
          <w:szCs w:val="32"/>
          <w:highlight w:val="none"/>
          <w:lang w:val="en-US" w:eastAsia="zh-CN"/>
        </w:rPr>
        <w:t>14.21万元，完成预算100%。</w:t>
      </w:r>
    </w:p>
    <w:p>
      <w:pPr>
        <w:keepNext w:val="0"/>
        <w:keepLines w:val="0"/>
        <w:pageBreakBefore w:val="0"/>
        <w:widowControl w:val="0"/>
        <w:numPr>
          <w:numId w:val="0"/>
        </w:numPr>
        <w:shd w:val="clear"/>
        <w:kinsoku/>
        <w:wordWrap/>
        <w:overflowPunct/>
        <w:topLinePunct w:val="0"/>
        <w:autoSpaceDE/>
        <w:autoSpaceDN/>
        <w:bidi w:val="0"/>
        <w:spacing w:line="576" w:lineRule="exact"/>
        <w:ind w:firstLine="640" w:firstLineChars="200"/>
        <w:jc w:val="both"/>
        <w:textAlignment w:val="auto"/>
        <w:outlineLvl w:val="9"/>
        <w:rPr>
          <w:rFonts w:hint="eastAsia" w:ascii="Times New Roman" w:hAnsi="Times New Roman" w:eastAsia="仿宋_GB2312" w:cs="Times New Roman"/>
          <w:color w:val="auto"/>
          <w:sz w:val="32"/>
          <w:szCs w:val="32"/>
          <w:highlight w:val="none"/>
          <w:lang w:val="en-US" w:eastAsia="zh-CN"/>
        </w:rPr>
      </w:pPr>
      <w:r>
        <w:rPr>
          <w:rFonts w:hint="eastAsia" w:eastAsia="仿宋_GB2312" w:cs="Times New Roman"/>
          <w:color w:val="auto"/>
          <w:sz w:val="32"/>
          <w:szCs w:val="32"/>
          <w:highlight w:val="none"/>
          <w:lang w:val="en-US" w:eastAsia="zh-CN"/>
        </w:rPr>
        <w:t>8.</w:t>
      </w:r>
      <w:r>
        <w:rPr>
          <w:rFonts w:hint="eastAsia" w:ascii="Times New Roman" w:hAnsi="Times New Roman" w:eastAsia="仿宋_GB2312" w:cs="Times New Roman"/>
          <w:color w:val="auto"/>
          <w:sz w:val="32"/>
          <w:szCs w:val="32"/>
          <w:highlight w:val="none"/>
          <w:lang w:val="en-US" w:eastAsia="zh-CN"/>
        </w:rPr>
        <w:t>社会保障和就业（类）抚恤（款）死亡抚恤（项）：支出决算为23.9万元，完成预算100%。</w:t>
      </w:r>
    </w:p>
    <w:p>
      <w:pPr>
        <w:keepNext w:val="0"/>
        <w:keepLines w:val="0"/>
        <w:pageBreakBefore w:val="0"/>
        <w:widowControl w:val="0"/>
        <w:numPr>
          <w:numId w:val="0"/>
        </w:numPr>
        <w:shd w:val="clear"/>
        <w:kinsoku/>
        <w:wordWrap/>
        <w:overflowPunct/>
        <w:topLinePunct w:val="0"/>
        <w:autoSpaceDE/>
        <w:autoSpaceDN/>
        <w:bidi w:val="0"/>
        <w:spacing w:line="576" w:lineRule="exact"/>
        <w:ind w:firstLine="640" w:firstLineChars="200"/>
        <w:jc w:val="both"/>
        <w:textAlignment w:val="auto"/>
        <w:outlineLvl w:val="9"/>
        <w:rPr>
          <w:rFonts w:hint="eastAsia" w:ascii="Times New Roman" w:hAnsi="Times New Roman" w:eastAsia="仿宋_GB2312" w:cs="Times New Roman"/>
          <w:color w:val="auto"/>
          <w:sz w:val="32"/>
          <w:szCs w:val="32"/>
          <w:highlight w:val="none"/>
          <w:lang w:val="en-US" w:eastAsia="zh-CN"/>
        </w:rPr>
      </w:pPr>
      <w:r>
        <w:rPr>
          <w:rFonts w:hint="eastAsia" w:eastAsia="仿宋_GB2312" w:cs="Times New Roman"/>
          <w:color w:val="auto"/>
          <w:sz w:val="32"/>
          <w:szCs w:val="32"/>
          <w:highlight w:val="none"/>
          <w:lang w:val="en-US" w:eastAsia="zh-CN"/>
        </w:rPr>
        <w:t>9.</w:t>
      </w:r>
      <w:r>
        <w:rPr>
          <w:rFonts w:hint="eastAsia" w:ascii="Times New Roman" w:hAnsi="Times New Roman" w:eastAsia="仿宋_GB2312" w:cs="Times New Roman"/>
          <w:color w:val="auto"/>
          <w:sz w:val="32"/>
          <w:szCs w:val="32"/>
          <w:highlight w:val="none"/>
          <w:lang w:eastAsia="zh-CN"/>
        </w:rPr>
        <w:t>社会保障和就业（类）其他社会保障和就业支出（款）其他社会保障和就业支出（项）：支出决算为</w:t>
      </w:r>
      <w:r>
        <w:rPr>
          <w:rFonts w:hint="eastAsia" w:ascii="Times New Roman" w:hAnsi="Times New Roman" w:eastAsia="仿宋_GB2312" w:cs="Times New Roman"/>
          <w:color w:val="auto"/>
          <w:sz w:val="32"/>
          <w:szCs w:val="32"/>
          <w:highlight w:val="none"/>
          <w:lang w:val="en-US" w:eastAsia="zh-CN"/>
        </w:rPr>
        <w:t>2.26万元，完成预算100%。</w:t>
      </w:r>
    </w:p>
    <w:p>
      <w:pPr>
        <w:keepNext w:val="0"/>
        <w:keepLines w:val="0"/>
        <w:pageBreakBefore w:val="0"/>
        <w:widowControl w:val="0"/>
        <w:numPr>
          <w:numId w:val="0"/>
        </w:numPr>
        <w:shd w:val="clear"/>
        <w:kinsoku/>
        <w:wordWrap/>
        <w:overflowPunct/>
        <w:topLinePunct w:val="0"/>
        <w:autoSpaceDE/>
        <w:autoSpaceDN/>
        <w:bidi w:val="0"/>
        <w:spacing w:line="576" w:lineRule="exact"/>
        <w:ind w:firstLine="640" w:firstLineChars="200"/>
        <w:jc w:val="both"/>
        <w:textAlignment w:val="auto"/>
        <w:outlineLvl w:val="9"/>
        <w:rPr>
          <w:rFonts w:hint="eastAsia" w:ascii="Times New Roman" w:hAnsi="Times New Roman" w:eastAsia="仿宋_GB2312" w:cs="Times New Roman"/>
          <w:color w:val="auto"/>
          <w:sz w:val="32"/>
          <w:szCs w:val="32"/>
          <w:highlight w:val="none"/>
          <w:lang w:eastAsia="zh-CN"/>
        </w:rPr>
      </w:pPr>
      <w:r>
        <w:rPr>
          <w:rFonts w:hint="eastAsia" w:eastAsia="仿宋_GB2312" w:cs="Times New Roman"/>
          <w:color w:val="auto"/>
          <w:sz w:val="32"/>
          <w:szCs w:val="32"/>
          <w:highlight w:val="none"/>
          <w:lang w:val="en-US" w:eastAsia="zh-CN"/>
        </w:rPr>
        <w:t>10.</w:t>
      </w:r>
      <w:r>
        <w:rPr>
          <w:rFonts w:hint="eastAsia" w:ascii="Times New Roman" w:hAnsi="Times New Roman" w:eastAsia="仿宋_GB2312" w:cs="Times New Roman"/>
          <w:color w:val="auto"/>
          <w:sz w:val="32"/>
          <w:szCs w:val="32"/>
          <w:highlight w:val="none"/>
          <w:lang w:eastAsia="zh-CN"/>
        </w:rPr>
        <w:t>卫生健康（类）行政事业单位医疗（款）行政单位医疗（项）</w:t>
      </w:r>
      <w:r>
        <w:rPr>
          <w:rFonts w:hint="eastAsia"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支出决算为</w:t>
      </w:r>
      <w:r>
        <w:rPr>
          <w:rFonts w:hint="eastAsia" w:ascii="Times New Roman" w:hAnsi="Times New Roman" w:eastAsia="仿宋_GB2312" w:cs="Times New Roman"/>
          <w:color w:val="auto"/>
          <w:sz w:val="32"/>
          <w:szCs w:val="32"/>
          <w:highlight w:val="none"/>
          <w:lang w:val="en-US" w:eastAsia="zh-CN"/>
        </w:rPr>
        <w:t>22.52</w:t>
      </w:r>
      <w:r>
        <w:rPr>
          <w:rFonts w:hint="eastAsia" w:ascii="Times New Roman" w:hAnsi="Times New Roman" w:eastAsia="仿宋_GB2312" w:cs="Times New Roman"/>
          <w:color w:val="auto"/>
          <w:sz w:val="32"/>
          <w:szCs w:val="32"/>
          <w:highlight w:val="none"/>
          <w:lang w:eastAsia="zh-CN"/>
        </w:rPr>
        <w:t>万元，完成预算</w:t>
      </w:r>
      <w:r>
        <w:rPr>
          <w:rFonts w:hint="eastAsia" w:ascii="Times New Roman" w:hAnsi="Times New Roman" w:eastAsia="仿宋_GB2312" w:cs="Times New Roman"/>
          <w:color w:val="auto"/>
          <w:sz w:val="32"/>
          <w:szCs w:val="32"/>
          <w:highlight w:val="none"/>
          <w:lang w:val="en-US" w:eastAsia="zh-CN"/>
        </w:rPr>
        <w:t>100</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val="0"/>
        <w:numPr>
          <w:numId w:val="0"/>
        </w:numPr>
        <w:shd w:val="clear"/>
        <w:kinsoku/>
        <w:wordWrap/>
        <w:overflowPunct/>
        <w:topLinePunct w:val="0"/>
        <w:autoSpaceDE/>
        <w:autoSpaceDN/>
        <w:bidi w:val="0"/>
        <w:spacing w:line="576"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eastAsia" w:eastAsia="仿宋_GB2312" w:cs="Times New Roman"/>
          <w:color w:val="auto"/>
          <w:sz w:val="32"/>
          <w:szCs w:val="32"/>
          <w:highlight w:val="none"/>
          <w:lang w:val="en-US" w:eastAsia="zh-CN"/>
        </w:rPr>
        <w:t>11.</w:t>
      </w:r>
      <w:r>
        <w:rPr>
          <w:rFonts w:hint="eastAsia" w:ascii="Times New Roman" w:hAnsi="Times New Roman" w:eastAsia="仿宋_GB2312" w:cs="Times New Roman"/>
          <w:color w:val="auto"/>
          <w:sz w:val="32"/>
          <w:szCs w:val="32"/>
          <w:highlight w:val="none"/>
          <w:lang w:eastAsia="zh-CN"/>
        </w:rPr>
        <w:t>住房保障支出（类）住房改革支出（款）住房公积金（项）</w:t>
      </w:r>
      <w:r>
        <w:rPr>
          <w:rFonts w:hint="eastAsia"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支出决算为</w:t>
      </w:r>
      <w:r>
        <w:rPr>
          <w:rFonts w:hint="eastAsia" w:ascii="Times New Roman" w:hAnsi="Times New Roman" w:eastAsia="仿宋_GB2312" w:cs="Times New Roman"/>
          <w:color w:val="auto"/>
          <w:sz w:val="32"/>
          <w:szCs w:val="32"/>
          <w:highlight w:val="none"/>
          <w:lang w:val="en-US" w:eastAsia="zh-CN"/>
        </w:rPr>
        <w:t>62.72</w:t>
      </w:r>
      <w:r>
        <w:rPr>
          <w:rFonts w:hint="eastAsia" w:ascii="Times New Roman" w:hAnsi="Times New Roman" w:eastAsia="仿宋_GB2312" w:cs="Times New Roman"/>
          <w:color w:val="auto"/>
          <w:sz w:val="32"/>
          <w:szCs w:val="32"/>
          <w:highlight w:val="none"/>
          <w:lang w:eastAsia="zh-CN"/>
        </w:rPr>
        <w:t>万元，完成预算</w:t>
      </w:r>
      <w:r>
        <w:rPr>
          <w:rFonts w:hint="eastAsia" w:ascii="Times New Roman" w:hAnsi="Times New Roman" w:eastAsia="仿宋_GB2312" w:cs="Times New Roman"/>
          <w:color w:val="auto"/>
          <w:sz w:val="32"/>
          <w:szCs w:val="32"/>
          <w:highlight w:val="none"/>
          <w:lang w:val="en-US" w:eastAsia="zh-CN"/>
        </w:rPr>
        <w:t>100</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0" w:after="0" w:line="576" w:lineRule="exact"/>
        <w:ind w:firstLine="640" w:firstLineChars="200"/>
        <w:jc w:val="both"/>
        <w:textAlignment w:val="auto"/>
        <w:outlineLvl w:val="1"/>
        <w:rPr>
          <w:rFonts w:hint="eastAsia" w:ascii="黑体" w:hAnsi="黑体" w:eastAsia="黑体" w:cs="黑体"/>
          <w:b w:val="0"/>
          <w:color w:val="auto"/>
          <w:sz w:val="32"/>
          <w:szCs w:val="32"/>
          <w:highlight w:val="none"/>
          <w:lang w:eastAsia="zh-CN"/>
        </w:rPr>
      </w:pPr>
      <w:bookmarkStart w:id="55" w:name="_Toc15396608"/>
      <w:bookmarkStart w:id="56" w:name="_Toc15377214"/>
      <w:bookmarkStart w:id="57" w:name="_Toc19445"/>
      <w:bookmarkStart w:id="58" w:name="_Toc11178"/>
      <w:r>
        <w:rPr>
          <w:rFonts w:hint="eastAsia" w:ascii="黑体" w:hAnsi="黑体" w:eastAsia="黑体" w:cs="黑体"/>
          <w:b w:val="0"/>
          <w:color w:val="auto"/>
          <w:sz w:val="32"/>
          <w:szCs w:val="32"/>
          <w:highlight w:val="none"/>
          <w:lang w:eastAsia="zh-CN"/>
        </w:rPr>
        <w:t>六、一般公共预算财政拨款基本支出决算情况说明</w:t>
      </w:r>
      <w:bookmarkEnd w:id="55"/>
      <w:bookmarkEnd w:id="56"/>
      <w:bookmarkEnd w:id="57"/>
      <w:bookmarkEnd w:id="58"/>
      <w:r>
        <w:rPr>
          <w:rFonts w:hint="eastAsia" w:ascii="黑体" w:hAnsi="黑体" w:eastAsia="黑体" w:cs="黑体"/>
          <w:b w:val="0"/>
          <w:color w:val="auto"/>
          <w:sz w:val="32"/>
          <w:szCs w:val="32"/>
          <w:highlight w:val="none"/>
          <w:lang w:eastAsia="zh-CN"/>
        </w:rPr>
        <w:tab/>
      </w:r>
    </w:p>
    <w:p>
      <w:pPr>
        <w:keepNext w:val="0"/>
        <w:keepLines w:val="0"/>
        <w:pageBreakBefore w:val="0"/>
        <w:widowControl w:val="0"/>
        <w:numPr>
          <w:ilvl w:val="0"/>
          <w:numId w:val="0"/>
        </w:numPr>
        <w:shd w:val="clear"/>
        <w:kinsoku/>
        <w:wordWrap/>
        <w:overflowPunct/>
        <w:topLinePunct w:val="0"/>
        <w:autoSpaceDE/>
        <w:autoSpaceDN/>
        <w:bidi w:val="0"/>
        <w:spacing w:line="576" w:lineRule="exact"/>
        <w:ind w:leftChars="0" w:firstLine="640" w:firstLineChars="200"/>
        <w:jc w:val="both"/>
        <w:textAlignment w:val="auto"/>
        <w:outlineLvl w:val="9"/>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20</w:t>
      </w:r>
      <w:r>
        <w:rPr>
          <w:rFonts w:hint="eastAsia" w:ascii="Times New Roman" w:hAnsi="Times New Roman" w:eastAsia="仿宋_GB2312" w:cs="Times New Roman"/>
          <w:color w:val="auto"/>
          <w:sz w:val="32"/>
          <w:szCs w:val="32"/>
          <w:highlight w:val="none"/>
          <w:lang w:val="en-US" w:eastAsia="zh-CN"/>
        </w:rPr>
        <w:t>22</w:t>
      </w:r>
      <w:r>
        <w:rPr>
          <w:rFonts w:hint="eastAsia" w:ascii="Times New Roman" w:hAnsi="Times New Roman" w:eastAsia="仿宋_GB2312" w:cs="Times New Roman"/>
          <w:color w:val="auto"/>
          <w:sz w:val="32"/>
          <w:szCs w:val="32"/>
          <w:highlight w:val="none"/>
          <w:lang w:eastAsia="zh-CN"/>
        </w:rPr>
        <w:t>年一般公共预算财政拨款基本支出</w:t>
      </w:r>
      <w:r>
        <w:rPr>
          <w:rFonts w:hint="eastAsia" w:ascii="Times New Roman" w:hAnsi="Times New Roman" w:eastAsia="仿宋_GB2312" w:cs="Times New Roman"/>
          <w:color w:val="auto"/>
          <w:sz w:val="32"/>
          <w:szCs w:val="32"/>
          <w:highlight w:val="none"/>
          <w:lang w:val="en-US" w:eastAsia="zh-CN"/>
        </w:rPr>
        <w:t>977.81</w:t>
      </w:r>
      <w:r>
        <w:rPr>
          <w:rFonts w:hint="eastAsia" w:ascii="Times New Roman" w:hAnsi="Times New Roman" w:eastAsia="仿宋_GB2312" w:cs="Times New Roman"/>
          <w:color w:val="auto"/>
          <w:sz w:val="32"/>
          <w:szCs w:val="32"/>
          <w:highlight w:val="none"/>
          <w:lang w:eastAsia="zh-CN"/>
        </w:rPr>
        <w:t>万元，其中：人员经费</w:t>
      </w:r>
      <w:r>
        <w:rPr>
          <w:rFonts w:hint="eastAsia" w:ascii="Times New Roman" w:hAnsi="Times New Roman" w:eastAsia="仿宋_GB2312" w:cs="Times New Roman"/>
          <w:color w:val="auto"/>
          <w:sz w:val="32"/>
          <w:szCs w:val="32"/>
          <w:highlight w:val="none"/>
          <w:lang w:val="en-US" w:eastAsia="zh-CN"/>
        </w:rPr>
        <w:t>834.76</w:t>
      </w:r>
      <w:r>
        <w:rPr>
          <w:rFonts w:hint="eastAsia" w:ascii="Times New Roman" w:hAnsi="Times New Roman" w:eastAsia="仿宋_GB2312" w:cs="Times New Roman"/>
          <w:color w:val="auto"/>
          <w:sz w:val="32"/>
          <w:szCs w:val="32"/>
          <w:highlight w:val="none"/>
          <w:lang w:eastAsia="zh-CN"/>
        </w:rPr>
        <w:t>万元，主要包括：基本工资、津贴补贴、奖金、绩效工资、机关事业单位基本养老保险缴费、职业年金缴费、职工基本医疗保险缴费</w:t>
      </w:r>
      <w:r>
        <w:rPr>
          <w:rFonts w:hint="eastAsia"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其他社会保障缴费、住房公积金</w:t>
      </w:r>
      <w:r>
        <w:rPr>
          <w:rFonts w:hint="eastAsia"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抚恤金、生活补助、奖励金。</w:t>
      </w:r>
    </w:p>
    <w:p>
      <w:pPr>
        <w:keepNext w:val="0"/>
        <w:keepLines w:val="0"/>
        <w:pageBreakBefore w:val="0"/>
        <w:widowControl w:val="0"/>
        <w:numPr>
          <w:ilvl w:val="0"/>
          <w:numId w:val="0"/>
        </w:numPr>
        <w:shd w:val="clear"/>
        <w:kinsoku/>
        <w:wordWrap/>
        <w:overflowPunct/>
        <w:topLinePunct w:val="0"/>
        <w:autoSpaceDE/>
        <w:autoSpaceDN/>
        <w:bidi w:val="0"/>
        <w:spacing w:line="576" w:lineRule="exact"/>
        <w:ind w:lef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公用经费</w:t>
      </w:r>
      <w:r>
        <w:rPr>
          <w:rFonts w:hint="eastAsia" w:ascii="Times New Roman" w:hAnsi="Times New Roman" w:eastAsia="仿宋_GB2312" w:cs="Times New Roman"/>
          <w:color w:val="auto"/>
          <w:sz w:val="32"/>
          <w:szCs w:val="32"/>
          <w:highlight w:val="none"/>
          <w:lang w:val="en-US" w:eastAsia="zh-CN"/>
        </w:rPr>
        <w:t>143.05</w:t>
      </w:r>
      <w:r>
        <w:rPr>
          <w:rFonts w:hint="eastAsia" w:ascii="Times New Roman" w:hAnsi="Times New Roman" w:eastAsia="仿宋_GB2312" w:cs="Times New Roman"/>
          <w:color w:val="auto"/>
          <w:sz w:val="32"/>
          <w:szCs w:val="32"/>
          <w:highlight w:val="none"/>
          <w:lang w:eastAsia="zh-CN"/>
        </w:rPr>
        <w:t>万元，主要包括：办公费、印刷费、手续费、水费、电费、邮电费、差旅费、维修（护）费、租赁费</w:t>
      </w:r>
      <w:r>
        <w:rPr>
          <w:rFonts w:hint="eastAsia"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培训费、公务接待费、工会经费、福利费、公务用车运行维护费、其他交通费</w:t>
      </w:r>
      <w:r>
        <w:rPr>
          <w:rFonts w:hint="eastAsia" w:eastAsia="仿宋_GB2312" w:cs="Times New Roman"/>
          <w:color w:val="auto"/>
          <w:sz w:val="32"/>
          <w:szCs w:val="32"/>
          <w:highlight w:val="none"/>
          <w:lang w:val="en-US" w:eastAsia="zh-CN"/>
        </w:rPr>
        <w:t>用</w:t>
      </w:r>
      <w:r>
        <w:rPr>
          <w:rFonts w:hint="eastAsia" w:ascii="Times New Roman" w:hAnsi="Times New Roman" w:eastAsia="仿宋_GB2312" w:cs="Times New Roman"/>
          <w:color w:val="auto"/>
          <w:sz w:val="32"/>
          <w:szCs w:val="32"/>
          <w:highlight w:val="none"/>
          <w:lang w:eastAsia="zh-CN"/>
        </w:rPr>
        <w:t>、其他商品和服务支出。</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0" w:after="0" w:line="576" w:lineRule="exact"/>
        <w:ind w:firstLine="640" w:firstLineChars="200"/>
        <w:jc w:val="both"/>
        <w:textAlignment w:val="auto"/>
        <w:outlineLvl w:val="1"/>
        <w:rPr>
          <w:rFonts w:hint="eastAsia" w:ascii="黑体" w:hAnsi="黑体" w:eastAsia="黑体" w:cs="黑体"/>
          <w:b w:val="0"/>
          <w:color w:val="auto"/>
          <w:sz w:val="32"/>
          <w:szCs w:val="32"/>
          <w:highlight w:val="none"/>
          <w:lang w:eastAsia="zh-CN"/>
        </w:rPr>
      </w:pPr>
      <w:bookmarkStart w:id="59" w:name="_Toc15396609"/>
      <w:bookmarkStart w:id="60" w:name="_Toc15377215"/>
      <w:bookmarkStart w:id="61" w:name="_Toc2669"/>
      <w:bookmarkStart w:id="62" w:name="_Toc4296"/>
      <w:r>
        <w:rPr>
          <w:rFonts w:hint="eastAsia" w:ascii="黑体" w:hAnsi="黑体" w:eastAsia="黑体" w:cs="黑体"/>
          <w:b w:val="0"/>
          <w:color w:val="auto"/>
          <w:sz w:val="32"/>
          <w:szCs w:val="32"/>
          <w:highlight w:val="none"/>
          <w:lang w:eastAsia="zh-CN"/>
        </w:rPr>
        <w:t>七、财政拨款“三公”经费支出决算情况说明</w:t>
      </w:r>
      <w:bookmarkEnd w:id="59"/>
      <w:bookmarkEnd w:id="60"/>
      <w:bookmarkEnd w:id="61"/>
      <w:bookmarkEnd w:id="62"/>
    </w:p>
    <w:p>
      <w:pPr>
        <w:keepNext w:val="0"/>
        <w:keepLines w:val="0"/>
        <w:pageBreakBefore w:val="0"/>
        <w:widowControl w:val="0"/>
        <w:numPr>
          <w:ilvl w:val="0"/>
          <w:numId w:val="0"/>
        </w:numPr>
        <w:shd w:val="clear"/>
        <w:kinsoku/>
        <w:wordWrap/>
        <w:overflowPunct/>
        <w:topLinePunct w:val="0"/>
        <w:autoSpaceDE/>
        <w:autoSpaceDN/>
        <w:bidi w:val="0"/>
        <w:spacing w:line="576" w:lineRule="exact"/>
        <w:ind w:leftChars="0" w:firstLine="640" w:firstLineChars="200"/>
        <w:jc w:val="both"/>
        <w:textAlignment w:val="auto"/>
        <w:outlineLvl w:val="9"/>
        <w:rPr>
          <w:rFonts w:hint="eastAsia" w:ascii="楷体_GB2312" w:hAnsi="楷体_GB2312" w:eastAsia="楷体_GB2312" w:cs="楷体_GB2312"/>
          <w:color w:val="auto"/>
          <w:sz w:val="32"/>
          <w:szCs w:val="32"/>
          <w:highlight w:val="none"/>
          <w:lang w:eastAsia="zh-CN"/>
        </w:rPr>
      </w:pPr>
      <w:bookmarkStart w:id="63" w:name="_Toc15377216"/>
      <w:r>
        <w:rPr>
          <w:rFonts w:hint="eastAsia" w:ascii="楷体_GB2312" w:hAnsi="楷体_GB2312" w:eastAsia="楷体_GB2312" w:cs="楷体_GB2312"/>
          <w:color w:val="auto"/>
          <w:sz w:val="32"/>
          <w:szCs w:val="32"/>
          <w:highlight w:val="none"/>
          <w:lang w:eastAsia="zh-CN"/>
        </w:rPr>
        <w:t>（一）“三公”经费财政拨款支出决算总体情况说明</w:t>
      </w:r>
      <w:bookmarkEnd w:id="63"/>
    </w:p>
    <w:p>
      <w:pPr>
        <w:keepNext w:val="0"/>
        <w:keepLines w:val="0"/>
        <w:pageBreakBefore w:val="0"/>
        <w:widowControl w:val="0"/>
        <w:numPr>
          <w:ilvl w:val="0"/>
          <w:numId w:val="0"/>
        </w:numPr>
        <w:shd w:val="clear"/>
        <w:kinsoku/>
        <w:wordWrap/>
        <w:overflowPunct/>
        <w:topLinePunct w:val="0"/>
        <w:autoSpaceDE/>
        <w:autoSpaceDN/>
        <w:bidi w:val="0"/>
        <w:spacing w:line="576" w:lineRule="exact"/>
        <w:ind w:lef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20</w:t>
      </w:r>
      <w:r>
        <w:rPr>
          <w:rFonts w:hint="eastAsia" w:ascii="Times New Roman" w:hAnsi="Times New Roman" w:eastAsia="仿宋_GB2312" w:cs="Times New Roman"/>
          <w:color w:val="auto"/>
          <w:sz w:val="32"/>
          <w:szCs w:val="32"/>
          <w:highlight w:val="none"/>
          <w:lang w:val="en-US" w:eastAsia="zh-CN"/>
        </w:rPr>
        <w:t>22</w:t>
      </w:r>
      <w:r>
        <w:rPr>
          <w:rFonts w:hint="eastAsia" w:ascii="Times New Roman" w:hAnsi="Times New Roman" w:eastAsia="仿宋_GB2312" w:cs="Times New Roman"/>
          <w:color w:val="auto"/>
          <w:sz w:val="32"/>
          <w:szCs w:val="32"/>
          <w:highlight w:val="none"/>
          <w:lang w:eastAsia="zh-CN"/>
        </w:rPr>
        <w:t>年“三公”经费财政拨款支出决算为</w:t>
      </w:r>
      <w:r>
        <w:rPr>
          <w:rFonts w:hint="eastAsia" w:ascii="Times New Roman" w:hAnsi="Times New Roman" w:eastAsia="仿宋_GB2312" w:cs="Times New Roman"/>
          <w:color w:val="auto"/>
          <w:sz w:val="32"/>
          <w:szCs w:val="32"/>
          <w:highlight w:val="none"/>
          <w:lang w:val="en-US" w:eastAsia="zh-CN"/>
        </w:rPr>
        <w:t>3.18</w:t>
      </w:r>
      <w:r>
        <w:rPr>
          <w:rFonts w:hint="eastAsia" w:ascii="Times New Roman" w:hAnsi="Times New Roman" w:eastAsia="仿宋_GB2312" w:cs="Times New Roman"/>
          <w:color w:val="auto"/>
          <w:sz w:val="32"/>
          <w:szCs w:val="32"/>
          <w:highlight w:val="none"/>
          <w:lang w:eastAsia="zh-CN"/>
        </w:rPr>
        <w:t>万元，完成预算</w:t>
      </w:r>
      <w:r>
        <w:rPr>
          <w:rFonts w:hint="eastAsia" w:ascii="Times New Roman" w:hAnsi="Times New Roman" w:eastAsia="仿宋_GB2312" w:cs="Times New Roman"/>
          <w:color w:val="auto"/>
          <w:sz w:val="32"/>
          <w:szCs w:val="32"/>
          <w:highlight w:val="none"/>
          <w:lang w:val="en-US" w:eastAsia="zh-CN"/>
        </w:rPr>
        <w:t>31.8</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，较上年</w:t>
      </w:r>
      <w:r>
        <w:rPr>
          <w:rFonts w:hint="eastAsia" w:ascii="Times New Roman" w:hAnsi="Times New Roman" w:eastAsia="仿宋_GB2312" w:cs="Times New Roman"/>
          <w:color w:val="auto"/>
          <w:sz w:val="32"/>
          <w:szCs w:val="32"/>
          <w:highlight w:val="none"/>
          <w:lang w:val="en-US" w:eastAsia="zh-CN"/>
        </w:rPr>
        <w:t>减少16.53万元，下降83.87%。</w:t>
      </w:r>
      <w:r>
        <w:rPr>
          <w:rFonts w:hint="eastAsia" w:ascii="Times New Roman" w:hAnsi="Times New Roman" w:eastAsia="仿宋_GB2312" w:cs="Times New Roman"/>
          <w:color w:val="auto"/>
          <w:sz w:val="32"/>
          <w:szCs w:val="32"/>
          <w:highlight w:val="none"/>
          <w:lang w:eastAsia="zh-CN"/>
        </w:rPr>
        <w:t>决算数小于预算数的主要原因是厉行节约，同时受疫情影响，公务外出次数减少。</w:t>
      </w:r>
    </w:p>
    <w:p>
      <w:pPr>
        <w:keepNext w:val="0"/>
        <w:keepLines w:val="0"/>
        <w:pageBreakBefore w:val="0"/>
        <w:widowControl w:val="0"/>
        <w:numPr>
          <w:ilvl w:val="0"/>
          <w:numId w:val="0"/>
        </w:numPr>
        <w:shd w:val="clear"/>
        <w:kinsoku/>
        <w:wordWrap/>
        <w:overflowPunct/>
        <w:topLinePunct w:val="0"/>
        <w:autoSpaceDE/>
        <w:autoSpaceDN/>
        <w:bidi w:val="0"/>
        <w:spacing w:line="576" w:lineRule="exact"/>
        <w:ind w:leftChars="0" w:firstLine="640" w:firstLineChars="200"/>
        <w:jc w:val="both"/>
        <w:textAlignment w:val="auto"/>
        <w:outlineLvl w:val="9"/>
        <w:rPr>
          <w:rFonts w:hint="default" w:ascii="楷体_GB2312" w:hAnsi="楷体_GB2312" w:eastAsia="楷体_GB2312" w:cs="楷体_GB2312"/>
          <w:color w:val="auto"/>
          <w:sz w:val="32"/>
          <w:szCs w:val="32"/>
          <w:highlight w:val="none"/>
          <w:lang w:eastAsia="zh-CN"/>
        </w:rPr>
      </w:pPr>
      <w:bookmarkStart w:id="64" w:name="_Toc15377217"/>
      <w:r>
        <w:rPr>
          <w:rFonts w:hint="eastAsia" w:ascii="楷体_GB2312" w:hAnsi="楷体_GB2312" w:eastAsia="楷体_GB2312" w:cs="楷体_GB2312"/>
          <w:color w:val="auto"/>
          <w:sz w:val="32"/>
          <w:szCs w:val="32"/>
          <w:highlight w:val="none"/>
          <w:lang w:eastAsia="zh-CN"/>
        </w:rPr>
        <w:t>（二）“三公”经费财政拨款支出决算具体情况说明</w:t>
      </w:r>
      <w:bookmarkEnd w:id="64"/>
    </w:p>
    <w:p>
      <w:pPr>
        <w:keepNext w:val="0"/>
        <w:keepLines w:val="0"/>
        <w:pageBreakBefore w:val="0"/>
        <w:widowControl w:val="0"/>
        <w:numPr>
          <w:ilvl w:val="0"/>
          <w:numId w:val="0"/>
        </w:numPr>
        <w:shd w:val="clear"/>
        <w:kinsoku/>
        <w:wordWrap/>
        <w:overflowPunct/>
        <w:topLinePunct w:val="0"/>
        <w:autoSpaceDE/>
        <w:autoSpaceDN/>
        <w:bidi w:val="0"/>
        <w:spacing w:line="576" w:lineRule="exact"/>
        <w:ind w:leftChars="0" w:firstLine="640" w:firstLineChars="200"/>
        <w:jc w:val="both"/>
        <w:textAlignment w:val="auto"/>
        <w:outlineLvl w:val="9"/>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20</w:t>
      </w:r>
      <w:r>
        <w:rPr>
          <w:rFonts w:hint="eastAsia" w:ascii="Times New Roman" w:hAnsi="Times New Roman" w:eastAsia="仿宋_GB2312" w:cs="Times New Roman"/>
          <w:color w:val="auto"/>
          <w:sz w:val="32"/>
          <w:szCs w:val="32"/>
          <w:highlight w:val="none"/>
          <w:lang w:val="en-US" w:eastAsia="zh-CN"/>
        </w:rPr>
        <w:t>22</w:t>
      </w:r>
      <w:r>
        <w:rPr>
          <w:rFonts w:hint="eastAsia" w:ascii="Times New Roman" w:hAnsi="Times New Roman" w:eastAsia="仿宋_GB2312" w:cs="Times New Roman"/>
          <w:color w:val="auto"/>
          <w:sz w:val="32"/>
          <w:szCs w:val="32"/>
          <w:highlight w:val="none"/>
          <w:lang w:eastAsia="zh-CN"/>
        </w:rPr>
        <w:t>年“三公”经费财政拨款支出决算中，因公出国（境）费支出决算</w:t>
      </w:r>
      <w:r>
        <w:rPr>
          <w:rFonts w:hint="eastAsia" w:ascii="Times New Roman" w:hAnsi="Times New Roman" w:eastAsia="仿宋_GB2312" w:cs="Times New Roman"/>
          <w:color w:val="auto"/>
          <w:sz w:val="32"/>
          <w:szCs w:val="32"/>
          <w:highlight w:val="none"/>
          <w:lang w:val="en-US" w:eastAsia="zh-CN"/>
        </w:rPr>
        <w:t>0</w:t>
      </w:r>
      <w:r>
        <w:rPr>
          <w:rFonts w:hint="eastAsia" w:ascii="Times New Roman" w:hAnsi="Times New Roman" w:eastAsia="仿宋_GB2312" w:cs="Times New Roman"/>
          <w:color w:val="auto"/>
          <w:sz w:val="32"/>
          <w:szCs w:val="32"/>
          <w:highlight w:val="none"/>
          <w:lang w:eastAsia="zh-CN"/>
        </w:rPr>
        <w:t>万元，占</w:t>
      </w:r>
      <w:r>
        <w:rPr>
          <w:rFonts w:hint="eastAsia"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；公务用车购置及运行维护费支出决算</w:t>
      </w:r>
      <w:r>
        <w:rPr>
          <w:rFonts w:hint="eastAsia" w:ascii="Times New Roman" w:hAnsi="Times New Roman" w:eastAsia="仿宋_GB2312" w:cs="Times New Roman"/>
          <w:color w:val="auto"/>
          <w:sz w:val="32"/>
          <w:szCs w:val="32"/>
          <w:highlight w:val="none"/>
          <w:lang w:val="en-US" w:eastAsia="zh-CN"/>
        </w:rPr>
        <w:t>2.94</w:t>
      </w:r>
      <w:r>
        <w:rPr>
          <w:rFonts w:hint="eastAsia" w:ascii="Times New Roman" w:hAnsi="Times New Roman" w:eastAsia="仿宋_GB2312" w:cs="Times New Roman"/>
          <w:color w:val="auto"/>
          <w:sz w:val="32"/>
          <w:szCs w:val="32"/>
          <w:highlight w:val="none"/>
          <w:lang w:eastAsia="zh-CN"/>
        </w:rPr>
        <w:t>万元，占</w:t>
      </w:r>
      <w:r>
        <w:rPr>
          <w:rFonts w:hint="eastAsia" w:ascii="Times New Roman" w:hAnsi="Times New Roman" w:eastAsia="仿宋_GB2312" w:cs="Times New Roman"/>
          <w:color w:val="auto"/>
          <w:sz w:val="32"/>
          <w:szCs w:val="32"/>
          <w:highlight w:val="none"/>
          <w:lang w:val="en-US" w:eastAsia="zh-CN"/>
        </w:rPr>
        <w:t>92.45</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；公务接待费支出决算</w:t>
      </w:r>
      <w:r>
        <w:rPr>
          <w:rFonts w:hint="eastAsia" w:ascii="Times New Roman" w:hAnsi="Times New Roman" w:eastAsia="仿宋_GB2312" w:cs="Times New Roman"/>
          <w:color w:val="auto"/>
          <w:sz w:val="32"/>
          <w:szCs w:val="32"/>
          <w:highlight w:val="none"/>
          <w:lang w:val="en-US" w:eastAsia="zh-CN"/>
        </w:rPr>
        <w:t>0.24</w:t>
      </w:r>
      <w:r>
        <w:rPr>
          <w:rFonts w:hint="eastAsia" w:ascii="Times New Roman" w:hAnsi="Times New Roman" w:eastAsia="仿宋_GB2312" w:cs="Times New Roman"/>
          <w:color w:val="auto"/>
          <w:sz w:val="32"/>
          <w:szCs w:val="32"/>
          <w:highlight w:val="none"/>
          <w:lang w:eastAsia="zh-CN"/>
        </w:rPr>
        <w:t>万元，占</w:t>
      </w:r>
      <w:r>
        <w:rPr>
          <w:rFonts w:hint="eastAsia" w:ascii="Times New Roman" w:hAnsi="Times New Roman" w:eastAsia="仿宋_GB2312" w:cs="Times New Roman"/>
          <w:color w:val="auto"/>
          <w:sz w:val="32"/>
          <w:szCs w:val="32"/>
          <w:highlight w:val="none"/>
          <w:lang w:val="en-US" w:eastAsia="zh-CN"/>
        </w:rPr>
        <w:t>7.55</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。具体情况如下：</w:t>
      </w:r>
    </w:p>
    <w:p>
      <w:pPr>
        <w:pStyle w:val="14"/>
        <w:keepNext w:val="0"/>
        <w:keepLines w:val="0"/>
        <w:pageBreakBefore w:val="0"/>
        <w:shd w:val="clear"/>
        <w:kinsoku/>
        <w:wordWrap/>
        <w:overflowPunct/>
        <w:topLinePunct w:val="0"/>
        <w:autoSpaceDE/>
        <w:autoSpaceDN/>
        <w:bidi w:val="0"/>
        <w:outlineLvl w:val="9"/>
        <w:rPr>
          <w:color w:val="auto"/>
          <w:highlight w:val="none"/>
        </w:rPr>
      </w:pPr>
      <w:r>
        <w:rPr>
          <w:rFonts w:hint="eastAsia"/>
          <w:color w:val="auto"/>
          <w:highlight w:val="none"/>
          <w:lang w:val="en-US" w:eastAsia="zh-CN"/>
        </w:rPr>
        <w:t xml:space="preserve">        </w:t>
      </w:r>
      <w:r>
        <w:rPr>
          <w:color w:val="auto"/>
          <w:highlight w:val="none"/>
        </w:rPr>
        <w:drawing>
          <wp:inline distT="0" distB="0" distL="114300" distR="114300">
            <wp:extent cx="3799205" cy="2451100"/>
            <wp:effectExtent l="4445" t="4445" r="6350" b="20955"/>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6" w:lineRule="exact"/>
        <w:ind w:leftChars="0" w:firstLine="0" w:firstLineChars="0"/>
        <w:jc w:val="center"/>
        <w:textAlignment w:val="auto"/>
        <w:outlineLvl w:val="9"/>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（图7：“三公”经费财政拨款支出结构）</w:t>
      </w:r>
    </w:p>
    <w:p>
      <w:pPr>
        <w:keepNext w:val="0"/>
        <w:keepLines w:val="0"/>
        <w:pageBreakBefore w:val="0"/>
        <w:widowControl w:val="0"/>
        <w:numPr>
          <w:ilvl w:val="0"/>
          <w:numId w:val="0"/>
        </w:numPr>
        <w:shd w:val="clear"/>
        <w:kinsoku/>
        <w:wordWrap/>
        <w:overflowPunct/>
        <w:topLinePunct w:val="0"/>
        <w:autoSpaceDE/>
        <w:autoSpaceDN/>
        <w:bidi w:val="0"/>
        <w:spacing w:line="576" w:lineRule="exact"/>
        <w:ind w:lef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p>
    <w:p>
      <w:pPr>
        <w:keepNext w:val="0"/>
        <w:keepLines w:val="0"/>
        <w:pageBreakBefore w:val="0"/>
        <w:widowControl w:val="0"/>
        <w:numPr>
          <w:numId w:val="0"/>
        </w:numPr>
        <w:shd w:val="clear"/>
        <w:kinsoku/>
        <w:wordWrap/>
        <w:overflowPunct/>
        <w:topLinePunct w:val="0"/>
        <w:autoSpaceDE/>
        <w:autoSpaceDN/>
        <w:bidi w:val="0"/>
        <w:spacing w:line="576"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eastAsia" w:eastAsia="仿宋_GB2312" w:cs="Times New Roman"/>
          <w:color w:val="auto"/>
          <w:sz w:val="32"/>
          <w:szCs w:val="32"/>
          <w:highlight w:val="none"/>
          <w:lang w:val="en-US" w:eastAsia="zh-CN"/>
        </w:rPr>
        <w:t>1.</w:t>
      </w:r>
      <w:r>
        <w:rPr>
          <w:rFonts w:hint="eastAsia" w:ascii="Times New Roman" w:hAnsi="Times New Roman" w:eastAsia="仿宋_GB2312" w:cs="Times New Roman"/>
          <w:color w:val="auto"/>
          <w:sz w:val="32"/>
          <w:szCs w:val="32"/>
          <w:highlight w:val="none"/>
          <w:lang w:eastAsia="zh-CN"/>
        </w:rPr>
        <w:t>因公出国（境）经费支出</w:t>
      </w:r>
      <w:r>
        <w:rPr>
          <w:rFonts w:hint="eastAsia" w:ascii="Times New Roman" w:hAnsi="Times New Roman" w:eastAsia="仿宋_GB2312" w:cs="Times New Roman"/>
          <w:color w:val="auto"/>
          <w:sz w:val="32"/>
          <w:szCs w:val="32"/>
          <w:highlight w:val="none"/>
          <w:lang w:val="en-US" w:eastAsia="zh-CN"/>
        </w:rPr>
        <w:t>0</w:t>
      </w:r>
      <w:r>
        <w:rPr>
          <w:rFonts w:hint="eastAsia" w:ascii="Times New Roman" w:hAnsi="Times New Roman" w:eastAsia="仿宋_GB2312" w:cs="Times New Roman"/>
          <w:color w:val="auto"/>
          <w:sz w:val="32"/>
          <w:szCs w:val="32"/>
          <w:highlight w:val="none"/>
          <w:lang w:eastAsia="zh-CN"/>
        </w:rPr>
        <w:t>万元，年初未安排预算。</w:t>
      </w:r>
      <w:r>
        <w:rPr>
          <w:rFonts w:hint="eastAsia" w:ascii="Times New Roman" w:hAnsi="Times New Roman" w:eastAsia="仿宋_GB2312" w:cs="Times New Roman"/>
          <w:color w:val="auto"/>
          <w:sz w:val="32"/>
          <w:szCs w:val="32"/>
          <w:highlight w:val="none"/>
          <w:lang w:val="en-US" w:eastAsia="zh-CN"/>
        </w:rPr>
        <w:t>因公出国</w:t>
      </w:r>
      <w:r>
        <w:rPr>
          <w:rFonts w:hint="eastAsia" w:ascii="Times New Roman" w:hAnsi="Times New Roman" w:eastAsia="仿宋_GB2312" w:cs="Times New Roman"/>
          <w:color w:val="auto"/>
          <w:sz w:val="32"/>
          <w:szCs w:val="32"/>
          <w:highlight w:val="none"/>
          <w:lang w:eastAsia="zh-CN"/>
        </w:rPr>
        <w:t>（境）</w:t>
      </w:r>
      <w:r>
        <w:rPr>
          <w:rFonts w:hint="eastAsia" w:ascii="Times New Roman" w:hAnsi="Times New Roman" w:eastAsia="仿宋_GB2312" w:cs="Times New Roman"/>
          <w:color w:val="auto"/>
          <w:sz w:val="32"/>
          <w:szCs w:val="32"/>
          <w:highlight w:val="none"/>
          <w:lang w:val="en-US" w:eastAsia="zh-CN"/>
        </w:rPr>
        <w:t>支出决算较2020年无变化</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val="0"/>
        <w:numPr>
          <w:numId w:val="0"/>
        </w:numPr>
        <w:shd w:val="clear"/>
        <w:kinsoku/>
        <w:wordWrap/>
        <w:overflowPunct/>
        <w:topLinePunct w:val="0"/>
        <w:autoSpaceDE/>
        <w:autoSpaceDN/>
        <w:bidi w:val="0"/>
        <w:spacing w:line="576"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eastAsia" w:eastAsia="仿宋_GB2312" w:cs="Times New Roman"/>
          <w:color w:val="auto"/>
          <w:sz w:val="32"/>
          <w:szCs w:val="32"/>
          <w:highlight w:val="none"/>
          <w:lang w:val="en-US" w:eastAsia="zh-CN"/>
        </w:rPr>
        <w:t>2.</w:t>
      </w:r>
      <w:r>
        <w:rPr>
          <w:rFonts w:hint="eastAsia" w:ascii="Times New Roman" w:hAnsi="Times New Roman" w:eastAsia="仿宋_GB2312" w:cs="Times New Roman"/>
          <w:color w:val="auto"/>
          <w:sz w:val="32"/>
          <w:szCs w:val="32"/>
          <w:highlight w:val="none"/>
          <w:lang w:eastAsia="zh-CN"/>
        </w:rPr>
        <w:t>公务用车购置及运行维护费支出</w:t>
      </w:r>
      <w:r>
        <w:rPr>
          <w:rFonts w:hint="eastAsia" w:ascii="Times New Roman" w:hAnsi="Times New Roman" w:eastAsia="仿宋_GB2312" w:cs="Times New Roman"/>
          <w:color w:val="auto"/>
          <w:sz w:val="32"/>
          <w:szCs w:val="32"/>
          <w:highlight w:val="none"/>
          <w:lang w:val="en-US" w:eastAsia="zh-CN"/>
        </w:rPr>
        <w:t>2.94</w:t>
      </w:r>
      <w:r>
        <w:rPr>
          <w:rFonts w:hint="eastAsia" w:ascii="Times New Roman" w:hAnsi="Times New Roman" w:eastAsia="仿宋_GB2312" w:cs="Times New Roman"/>
          <w:color w:val="auto"/>
          <w:sz w:val="32"/>
          <w:szCs w:val="32"/>
          <w:highlight w:val="none"/>
          <w:lang w:eastAsia="zh-CN"/>
        </w:rPr>
        <w:t>万元,完成预算</w:t>
      </w:r>
      <w:r>
        <w:rPr>
          <w:rFonts w:hint="eastAsia" w:eastAsia="仿宋_GB2312" w:cs="Times New Roman"/>
          <w:color w:val="auto"/>
          <w:sz w:val="32"/>
          <w:szCs w:val="32"/>
          <w:highlight w:val="none"/>
          <w:lang w:val="en-US" w:eastAsia="zh-CN"/>
        </w:rPr>
        <w:t>100</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。公务用车购置及运行维护费支出决算比</w:t>
      </w:r>
      <w:r>
        <w:rPr>
          <w:rFonts w:hint="default" w:ascii="Times New Roman" w:hAnsi="Times New Roman" w:eastAsia="仿宋_GB2312" w:cs="Times New Roman"/>
          <w:color w:val="auto"/>
          <w:sz w:val="32"/>
          <w:szCs w:val="32"/>
          <w:highlight w:val="none"/>
          <w:lang w:eastAsia="zh-CN"/>
        </w:rPr>
        <w:t>20</w:t>
      </w:r>
      <w:r>
        <w:rPr>
          <w:rFonts w:hint="eastAsia" w:ascii="Times New Roman" w:hAnsi="Times New Roman" w:eastAsia="仿宋_GB2312" w:cs="Times New Roman"/>
          <w:color w:val="auto"/>
          <w:sz w:val="32"/>
          <w:szCs w:val="32"/>
          <w:highlight w:val="none"/>
          <w:lang w:val="en-US" w:eastAsia="zh-CN"/>
        </w:rPr>
        <w:t>21</w:t>
      </w:r>
      <w:r>
        <w:rPr>
          <w:rFonts w:hint="eastAsia" w:ascii="Times New Roman" w:hAnsi="Times New Roman" w:eastAsia="仿宋_GB2312" w:cs="Times New Roman"/>
          <w:color w:val="auto"/>
          <w:sz w:val="32"/>
          <w:szCs w:val="32"/>
          <w:highlight w:val="none"/>
          <w:lang w:eastAsia="zh-CN"/>
        </w:rPr>
        <w:t>年减少</w:t>
      </w:r>
      <w:r>
        <w:rPr>
          <w:rFonts w:hint="eastAsia" w:ascii="Times New Roman" w:hAnsi="Times New Roman" w:eastAsia="仿宋_GB2312" w:cs="Times New Roman"/>
          <w:color w:val="auto"/>
          <w:sz w:val="32"/>
          <w:szCs w:val="32"/>
          <w:highlight w:val="none"/>
          <w:lang w:val="en-US" w:eastAsia="zh-CN"/>
        </w:rPr>
        <w:t>2.67</w:t>
      </w:r>
      <w:r>
        <w:rPr>
          <w:rFonts w:hint="eastAsia" w:ascii="Times New Roman" w:hAnsi="Times New Roman" w:eastAsia="仿宋_GB2312" w:cs="Times New Roman"/>
          <w:color w:val="auto"/>
          <w:sz w:val="32"/>
          <w:szCs w:val="32"/>
          <w:highlight w:val="none"/>
          <w:lang w:eastAsia="zh-CN"/>
        </w:rPr>
        <w:t>万元，下降</w:t>
      </w:r>
      <w:r>
        <w:rPr>
          <w:rFonts w:hint="eastAsia" w:ascii="Times New Roman" w:hAnsi="Times New Roman" w:eastAsia="仿宋_GB2312" w:cs="Times New Roman"/>
          <w:color w:val="auto"/>
          <w:sz w:val="32"/>
          <w:szCs w:val="32"/>
          <w:highlight w:val="none"/>
          <w:lang w:val="en-US" w:eastAsia="zh-CN"/>
        </w:rPr>
        <w:t>47.59</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。主要原因是厉行节约，同时</w:t>
      </w:r>
      <w:r>
        <w:rPr>
          <w:rFonts w:hint="eastAsia" w:eastAsia="仿宋_GB2312" w:cs="Times New Roman"/>
          <w:color w:val="auto"/>
          <w:sz w:val="32"/>
          <w:szCs w:val="32"/>
          <w:highlight w:val="none"/>
          <w:lang w:eastAsia="zh-CN"/>
        </w:rPr>
        <w:t>由于疫情影响，公务外出减少</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其中：公务用车购置支出</w:t>
      </w:r>
      <w:r>
        <w:rPr>
          <w:rFonts w:hint="eastAsia" w:ascii="Times New Roman" w:hAnsi="Times New Roman" w:eastAsia="仿宋_GB2312" w:cs="Times New Roman"/>
          <w:color w:val="auto"/>
          <w:sz w:val="32"/>
          <w:szCs w:val="32"/>
          <w:highlight w:val="none"/>
          <w:lang w:val="en-US" w:eastAsia="zh-CN"/>
        </w:rPr>
        <w:t>0</w:t>
      </w:r>
      <w:r>
        <w:rPr>
          <w:rFonts w:hint="eastAsia" w:ascii="Times New Roman" w:hAnsi="Times New Roman" w:eastAsia="仿宋_GB2312" w:cs="Times New Roman"/>
          <w:color w:val="auto"/>
          <w:sz w:val="32"/>
          <w:szCs w:val="32"/>
          <w:highlight w:val="none"/>
          <w:lang w:eastAsia="zh-CN"/>
        </w:rPr>
        <w:t>万元。为响应上级要求，厉行节约，严格控制“三公”经费支出，全年未新购置公务用车。截至</w:t>
      </w:r>
      <w:r>
        <w:rPr>
          <w:rFonts w:hint="default" w:ascii="Times New Roman" w:hAnsi="Times New Roman" w:eastAsia="仿宋_GB2312" w:cs="Times New Roman"/>
          <w:color w:val="auto"/>
          <w:sz w:val="32"/>
          <w:szCs w:val="32"/>
          <w:highlight w:val="none"/>
          <w:lang w:eastAsia="zh-CN"/>
        </w:rPr>
        <w:t>20</w:t>
      </w:r>
      <w:r>
        <w:rPr>
          <w:rFonts w:hint="eastAsia" w:ascii="Times New Roman" w:hAnsi="Times New Roman" w:eastAsia="仿宋_GB2312" w:cs="Times New Roman"/>
          <w:color w:val="auto"/>
          <w:sz w:val="32"/>
          <w:szCs w:val="32"/>
          <w:highlight w:val="none"/>
          <w:lang w:val="en-US" w:eastAsia="zh-CN"/>
        </w:rPr>
        <w:t>22</w:t>
      </w:r>
      <w:r>
        <w:rPr>
          <w:rFonts w:hint="eastAsia" w:ascii="Times New Roman" w:hAnsi="Times New Roman" w:eastAsia="仿宋_GB2312" w:cs="Times New Roman"/>
          <w:color w:val="auto"/>
          <w:sz w:val="32"/>
          <w:szCs w:val="32"/>
          <w:highlight w:val="none"/>
          <w:lang w:eastAsia="zh-CN"/>
        </w:rPr>
        <w:t>年</w:t>
      </w:r>
      <w:r>
        <w:rPr>
          <w:rFonts w:hint="default" w:ascii="Times New Roman" w:hAnsi="Times New Roman" w:eastAsia="仿宋_GB2312" w:cs="Times New Roman"/>
          <w:color w:val="auto"/>
          <w:sz w:val="32"/>
          <w:szCs w:val="32"/>
          <w:highlight w:val="none"/>
          <w:lang w:eastAsia="zh-CN"/>
        </w:rPr>
        <w:t>12</w:t>
      </w:r>
      <w:r>
        <w:rPr>
          <w:rFonts w:hint="eastAsia" w:ascii="Times New Roman" w:hAnsi="Times New Roman" w:eastAsia="仿宋_GB2312" w:cs="Times New Roman"/>
          <w:color w:val="auto"/>
          <w:sz w:val="32"/>
          <w:szCs w:val="32"/>
          <w:highlight w:val="none"/>
          <w:lang w:eastAsia="zh-CN"/>
        </w:rPr>
        <w:t>月底，单位共有公务用车</w:t>
      </w:r>
      <w:r>
        <w:rPr>
          <w:rFonts w:hint="eastAsia" w:ascii="Times New Roman" w:hAnsi="Times New Roman" w:eastAsia="仿宋_GB2312" w:cs="Times New Roman"/>
          <w:color w:val="auto"/>
          <w:sz w:val="32"/>
          <w:szCs w:val="32"/>
          <w:highlight w:val="none"/>
          <w:lang w:val="en-US" w:eastAsia="zh-CN"/>
        </w:rPr>
        <w:t>2</w:t>
      </w:r>
      <w:r>
        <w:rPr>
          <w:rFonts w:hint="eastAsia" w:ascii="Times New Roman" w:hAnsi="Times New Roman" w:eastAsia="仿宋_GB2312" w:cs="Times New Roman"/>
          <w:color w:val="auto"/>
          <w:sz w:val="32"/>
          <w:szCs w:val="32"/>
          <w:highlight w:val="none"/>
          <w:lang w:eastAsia="zh-CN"/>
        </w:rPr>
        <w:t>辆，其中：轿车</w:t>
      </w:r>
      <w:r>
        <w:rPr>
          <w:rFonts w:hint="eastAsia" w:ascii="Times New Roman" w:hAnsi="Times New Roman" w:eastAsia="仿宋_GB2312" w:cs="Times New Roman"/>
          <w:color w:val="auto"/>
          <w:sz w:val="32"/>
          <w:szCs w:val="32"/>
          <w:highlight w:val="none"/>
          <w:lang w:val="en-US" w:eastAsia="zh-CN"/>
        </w:rPr>
        <w:t>2</w:t>
      </w:r>
      <w:r>
        <w:rPr>
          <w:rFonts w:hint="eastAsia" w:ascii="Times New Roman" w:hAnsi="Times New Roman" w:eastAsia="仿宋_GB2312" w:cs="Times New Roman"/>
          <w:color w:val="auto"/>
          <w:sz w:val="32"/>
          <w:szCs w:val="32"/>
          <w:highlight w:val="none"/>
          <w:lang w:eastAsia="zh-CN"/>
        </w:rPr>
        <w:t>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Chars="0" w:firstLine="640" w:firstLineChars="200"/>
        <w:jc w:val="both"/>
        <w:textAlignment w:val="auto"/>
        <w:outlineLvl w:val="9"/>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公务用车运行维护费支出</w:t>
      </w:r>
      <w:r>
        <w:rPr>
          <w:rFonts w:hint="eastAsia" w:ascii="Times New Roman" w:hAnsi="Times New Roman" w:eastAsia="仿宋_GB2312" w:cs="Times New Roman"/>
          <w:color w:val="auto"/>
          <w:sz w:val="32"/>
          <w:szCs w:val="32"/>
          <w:highlight w:val="none"/>
          <w:lang w:val="en-US" w:eastAsia="zh-CN"/>
        </w:rPr>
        <w:t>2.94</w:t>
      </w:r>
      <w:r>
        <w:rPr>
          <w:rFonts w:hint="eastAsia" w:ascii="Times New Roman" w:hAnsi="Times New Roman" w:eastAsia="仿宋_GB2312" w:cs="Times New Roman"/>
          <w:color w:val="auto"/>
          <w:sz w:val="32"/>
          <w:szCs w:val="32"/>
          <w:highlight w:val="none"/>
          <w:lang w:eastAsia="zh-CN"/>
        </w:rPr>
        <w:t>万元。主要用于外出考察项目、接送客商等所需的公务用车燃料费、维修费、过路过桥费、保险费等支出。</w:t>
      </w:r>
    </w:p>
    <w:p>
      <w:pPr>
        <w:keepNext w:val="0"/>
        <w:keepLines w:val="0"/>
        <w:pageBreakBefore w:val="0"/>
        <w:widowControl w:val="0"/>
        <w:numPr>
          <w:numId w:val="0"/>
        </w:numPr>
        <w:shd w:val="clea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eastAsia" w:eastAsia="仿宋_GB2312" w:cs="Times New Roman"/>
          <w:color w:val="auto"/>
          <w:sz w:val="32"/>
          <w:szCs w:val="32"/>
          <w:highlight w:val="none"/>
          <w:lang w:val="en-US" w:eastAsia="zh-CN"/>
        </w:rPr>
        <w:t>3.</w:t>
      </w:r>
      <w:r>
        <w:rPr>
          <w:rFonts w:hint="eastAsia" w:ascii="Times New Roman" w:hAnsi="Times New Roman" w:eastAsia="仿宋_GB2312" w:cs="Times New Roman"/>
          <w:color w:val="auto"/>
          <w:sz w:val="32"/>
          <w:szCs w:val="32"/>
          <w:highlight w:val="none"/>
          <w:lang w:eastAsia="zh-CN"/>
        </w:rPr>
        <w:t>公务接待费支出</w:t>
      </w:r>
      <w:r>
        <w:rPr>
          <w:rFonts w:hint="eastAsia" w:ascii="Times New Roman" w:hAnsi="Times New Roman" w:eastAsia="仿宋_GB2312" w:cs="Times New Roman"/>
          <w:color w:val="auto"/>
          <w:sz w:val="32"/>
          <w:szCs w:val="32"/>
          <w:highlight w:val="none"/>
          <w:lang w:val="en-US" w:eastAsia="zh-CN"/>
        </w:rPr>
        <w:t>0.24</w:t>
      </w:r>
      <w:r>
        <w:rPr>
          <w:rFonts w:hint="eastAsia" w:ascii="Times New Roman" w:hAnsi="Times New Roman" w:eastAsia="仿宋_GB2312" w:cs="Times New Roman"/>
          <w:color w:val="auto"/>
          <w:sz w:val="32"/>
          <w:szCs w:val="32"/>
          <w:highlight w:val="none"/>
          <w:lang w:eastAsia="zh-CN"/>
        </w:rPr>
        <w:t>万元，完成预算</w:t>
      </w:r>
      <w:r>
        <w:rPr>
          <w:rFonts w:hint="eastAsia" w:eastAsia="仿宋_GB2312" w:cs="Times New Roman"/>
          <w:color w:val="auto"/>
          <w:sz w:val="32"/>
          <w:szCs w:val="32"/>
          <w:highlight w:val="none"/>
          <w:lang w:val="en-US" w:eastAsia="zh-CN"/>
        </w:rPr>
        <w:t>100</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。公务接待费支出决算比</w:t>
      </w:r>
      <w:r>
        <w:rPr>
          <w:rFonts w:hint="default" w:ascii="Times New Roman" w:hAnsi="Times New Roman" w:eastAsia="仿宋_GB2312" w:cs="Times New Roman"/>
          <w:color w:val="auto"/>
          <w:sz w:val="32"/>
          <w:szCs w:val="32"/>
          <w:highlight w:val="none"/>
          <w:lang w:eastAsia="zh-CN"/>
        </w:rPr>
        <w:t>20</w:t>
      </w:r>
      <w:r>
        <w:rPr>
          <w:rFonts w:hint="eastAsia" w:ascii="Times New Roman" w:hAnsi="Times New Roman" w:eastAsia="仿宋_GB2312" w:cs="Times New Roman"/>
          <w:color w:val="auto"/>
          <w:sz w:val="32"/>
          <w:szCs w:val="32"/>
          <w:highlight w:val="none"/>
          <w:lang w:val="en-US" w:eastAsia="zh-CN"/>
        </w:rPr>
        <w:t>21</w:t>
      </w:r>
      <w:r>
        <w:rPr>
          <w:rFonts w:hint="eastAsia" w:ascii="Times New Roman" w:hAnsi="Times New Roman" w:eastAsia="仿宋_GB2312" w:cs="Times New Roman"/>
          <w:color w:val="auto"/>
          <w:sz w:val="32"/>
          <w:szCs w:val="32"/>
          <w:highlight w:val="none"/>
          <w:lang w:eastAsia="zh-CN"/>
        </w:rPr>
        <w:t>年减少</w:t>
      </w:r>
      <w:r>
        <w:rPr>
          <w:rFonts w:hint="eastAsia" w:ascii="Times New Roman" w:hAnsi="Times New Roman" w:eastAsia="仿宋_GB2312" w:cs="Times New Roman"/>
          <w:color w:val="auto"/>
          <w:sz w:val="32"/>
          <w:szCs w:val="32"/>
          <w:highlight w:val="none"/>
          <w:lang w:val="en-US" w:eastAsia="zh-CN"/>
        </w:rPr>
        <w:t>13.87</w:t>
      </w:r>
      <w:r>
        <w:rPr>
          <w:rFonts w:hint="eastAsia" w:ascii="Times New Roman" w:hAnsi="Times New Roman" w:eastAsia="仿宋_GB2312" w:cs="Times New Roman"/>
          <w:color w:val="auto"/>
          <w:sz w:val="32"/>
          <w:szCs w:val="32"/>
          <w:highlight w:val="none"/>
          <w:lang w:eastAsia="zh-CN"/>
        </w:rPr>
        <w:t>万元，下降</w:t>
      </w:r>
      <w:r>
        <w:rPr>
          <w:rFonts w:hint="eastAsia" w:ascii="Times New Roman" w:hAnsi="Times New Roman" w:eastAsia="仿宋_GB2312" w:cs="Times New Roman"/>
          <w:color w:val="auto"/>
          <w:sz w:val="32"/>
          <w:szCs w:val="32"/>
          <w:highlight w:val="none"/>
          <w:lang w:val="en-US" w:eastAsia="zh-CN"/>
        </w:rPr>
        <w:t>98.3</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。主要原因是厉行节约，同时由于疫情影响，各单位外出公务活动相对减少。其中：</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国内公务接待支出</w:t>
      </w:r>
      <w:r>
        <w:rPr>
          <w:rFonts w:hint="eastAsia" w:ascii="Times New Roman" w:hAnsi="Times New Roman" w:eastAsia="仿宋_GB2312" w:cs="Times New Roman"/>
          <w:color w:val="auto"/>
          <w:sz w:val="32"/>
          <w:szCs w:val="32"/>
          <w:highlight w:val="none"/>
          <w:lang w:val="en-US" w:eastAsia="zh-CN"/>
        </w:rPr>
        <w:t>0.24</w:t>
      </w:r>
      <w:r>
        <w:rPr>
          <w:rFonts w:hint="eastAsia" w:ascii="Times New Roman" w:hAnsi="Times New Roman" w:eastAsia="仿宋_GB2312" w:cs="Times New Roman"/>
          <w:color w:val="auto"/>
          <w:sz w:val="32"/>
          <w:szCs w:val="32"/>
          <w:highlight w:val="none"/>
          <w:lang w:eastAsia="zh-CN"/>
        </w:rPr>
        <w:t>万元，主要用于执行公务、开展业务活动开支的交通费、住宿费、用餐费等。国内公务接待</w:t>
      </w:r>
      <w:r>
        <w:rPr>
          <w:rFonts w:hint="eastAsia" w:eastAsia="仿宋_GB2312" w:cs="Times New Roman"/>
          <w:color w:val="auto"/>
          <w:sz w:val="32"/>
          <w:szCs w:val="32"/>
          <w:highlight w:val="none"/>
          <w:lang w:val="en-US" w:eastAsia="zh-CN"/>
        </w:rPr>
        <w:t>2</w:t>
      </w:r>
      <w:r>
        <w:rPr>
          <w:rFonts w:hint="eastAsia" w:ascii="Times New Roman" w:hAnsi="Times New Roman" w:eastAsia="仿宋_GB2312" w:cs="Times New Roman"/>
          <w:color w:val="auto"/>
          <w:sz w:val="32"/>
          <w:szCs w:val="32"/>
          <w:highlight w:val="none"/>
          <w:lang w:eastAsia="zh-CN"/>
        </w:rPr>
        <w:t>批次，</w:t>
      </w:r>
      <w:r>
        <w:rPr>
          <w:rFonts w:hint="eastAsia" w:eastAsia="仿宋_GB2312" w:cs="Times New Roman"/>
          <w:color w:val="auto"/>
          <w:sz w:val="32"/>
          <w:szCs w:val="32"/>
          <w:highlight w:val="none"/>
          <w:lang w:val="en-US" w:eastAsia="zh-CN"/>
        </w:rPr>
        <w:t>12</w:t>
      </w:r>
      <w:r>
        <w:rPr>
          <w:rFonts w:hint="eastAsia" w:ascii="Times New Roman" w:hAnsi="Times New Roman" w:eastAsia="仿宋_GB2312" w:cs="Times New Roman"/>
          <w:color w:val="auto"/>
          <w:sz w:val="32"/>
          <w:szCs w:val="32"/>
          <w:highlight w:val="none"/>
          <w:lang w:eastAsia="zh-CN"/>
        </w:rPr>
        <w:t>人次（不包括陪同人员），共计支出</w:t>
      </w:r>
      <w:r>
        <w:rPr>
          <w:rFonts w:hint="eastAsia" w:ascii="Times New Roman" w:hAnsi="Times New Roman" w:eastAsia="仿宋_GB2312" w:cs="Times New Roman"/>
          <w:color w:val="auto"/>
          <w:sz w:val="32"/>
          <w:szCs w:val="32"/>
          <w:highlight w:val="none"/>
          <w:lang w:val="en-US" w:eastAsia="zh-CN"/>
        </w:rPr>
        <w:t>0.24</w:t>
      </w:r>
      <w:r>
        <w:rPr>
          <w:rFonts w:hint="eastAsia" w:ascii="Times New Roman" w:hAnsi="Times New Roman" w:eastAsia="仿宋_GB2312" w:cs="Times New Roman"/>
          <w:color w:val="auto"/>
          <w:sz w:val="32"/>
          <w:szCs w:val="32"/>
          <w:highlight w:val="none"/>
          <w:lang w:eastAsia="zh-CN"/>
        </w:rPr>
        <w:t>万元，具体内容包括：省经合局来广调研、经联会成员方来我市衔接工作、央企国企来广考察、其他市州招商系统来广走访考察等。</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外事接待支出</w:t>
      </w:r>
      <w:r>
        <w:rPr>
          <w:rFonts w:hint="eastAsia" w:ascii="Times New Roman" w:hAnsi="Times New Roman" w:eastAsia="仿宋_GB2312" w:cs="Times New Roman"/>
          <w:color w:val="auto"/>
          <w:sz w:val="32"/>
          <w:szCs w:val="32"/>
          <w:highlight w:val="none"/>
          <w:lang w:val="en-US" w:eastAsia="zh-CN"/>
        </w:rPr>
        <w:t>0</w:t>
      </w:r>
      <w:r>
        <w:rPr>
          <w:rFonts w:hint="eastAsia" w:ascii="Times New Roman" w:hAnsi="Times New Roman" w:eastAsia="仿宋_GB2312" w:cs="Times New Roman"/>
          <w:color w:val="auto"/>
          <w:sz w:val="32"/>
          <w:szCs w:val="32"/>
          <w:highlight w:val="none"/>
          <w:lang w:eastAsia="zh-CN"/>
        </w:rPr>
        <w:t>万元。</w:t>
      </w:r>
      <w:bookmarkStart w:id="65" w:name="_Toc15377218"/>
      <w:bookmarkStart w:id="66" w:name="_Toc15396610"/>
    </w:p>
    <w:p>
      <w:pPr>
        <w:keepNext w:val="0"/>
        <w:keepLines w:val="0"/>
        <w:pageBreakBefore w:val="0"/>
        <w:widowControl w:val="0"/>
        <w:numPr>
          <w:ilvl w:val="0"/>
          <w:numId w:val="0"/>
        </w:numPr>
        <w:shd w:val="clear"/>
        <w:kinsoku/>
        <w:wordWrap/>
        <w:overflowPunct/>
        <w:topLinePunct w:val="0"/>
        <w:autoSpaceDE/>
        <w:autoSpaceDN/>
        <w:bidi w:val="0"/>
        <w:adjustRightInd/>
        <w:snapToGrid/>
        <w:spacing w:before="0" w:after="0" w:line="600" w:lineRule="exact"/>
        <w:ind w:firstLine="640" w:firstLineChars="200"/>
        <w:jc w:val="both"/>
        <w:textAlignment w:val="auto"/>
        <w:outlineLvl w:val="1"/>
        <w:rPr>
          <w:rFonts w:hint="eastAsia" w:ascii="黑体" w:hAnsi="黑体" w:eastAsia="黑体" w:cs="黑体"/>
          <w:b w:val="0"/>
          <w:color w:val="auto"/>
          <w:sz w:val="32"/>
          <w:szCs w:val="32"/>
          <w:highlight w:val="none"/>
          <w:lang w:eastAsia="zh-CN"/>
        </w:rPr>
      </w:pPr>
      <w:bookmarkStart w:id="67" w:name="_Toc31741"/>
      <w:bookmarkStart w:id="68" w:name="_Toc2663"/>
      <w:r>
        <w:rPr>
          <w:rFonts w:hint="eastAsia" w:ascii="黑体" w:hAnsi="黑体" w:eastAsia="黑体" w:cs="黑体"/>
          <w:b w:val="0"/>
          <w:color w:val="auto"/>
          <w:sz w:val="32"/>
          <w:szCs w:val="32"/>
          <w:highlight w:val="none"/>
          <w:lang w:eastAsia="zh-CN"/>
        </w:rPr>
        <w:t>八、政府性基金预算支出决算情况说明</w:t>
      </w:r>
      <w:bookmarkEnd w:id="65"/>
      <w:bookmarkEnd w:id="66"/>
      <w:bookmarkEnd w:id="67"/>
      <w:bookmarkEnd w:id="68"/>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20</w:t>
      </w:r>
      <w:r>
        <w:rPr>
          <w:rFonts w:hint="eastAsia" w:ascii="Times New Roman" w:hAnsi="Times New Roman" w:eastAsia="仿宋_GB2312" w:cs="Times New Roman"/>
          <w:color w:val="auto"/>
          <w:sz w:val="32"/>
          <w:szCs w:val="32"/>
          <w:highlight w:val="none"/>
          <w:lang w:val="en-US" w:eastAsia="zh-CN"/>
        </w:rPr>
        <w:t>22</w:t>
      </w:r>
      <w:r>
        <w:rPr>
          <w:rFonts w:hint="eastAsia" w:ascii="Times New Roman" w:hAnsi="Times New Roman" w:eastAsia="仿宋_GB2312" w:cs="Times New Roman"/>
          <w:color w:val="auto"/>
          <w:sz w:val="32"/>
          <w:szCs w:val="32"/>
          <w:highlight w:val="none"/>
          <w:lang w:eastAsia="zh-CN"/>
        </w:rPr>
        <w:t>年政府性基金预算财政拨款支出</w:t>
      </w:r>
      <w:r>
        <w:rPr>
          <w:rFonts w:hint="eastAsia" w:ascii="Times New Roman" w:hAnsi="Times New Roman" w:eastAsia="仿宋_GB2312" w:cs="Times New Roman"/>
          <w:color w:val="auto"/>
          <w:sz w:val="32"/>
          <w:szCs w:val="32"/>
          <w:highlight w:val="none"/>
          <w:lang w:val="en-US" w:eastAsia="zh-CN"/>
        </w:rPr>
        <w:t>0</w:t>
      </w:r>
      <w:r>
        <w:rPr>
          <w:rFonts w:hint="eastAsia" w:ascii="Times New Roman" w:hAnsi="Times New Roman" w:eastAsia="仿宋_GB2312" w:cs="Times New Roman"/>
          <w:color w:val="auto"/>
          <w:sz w:val="32"/>
          <w:szCs w:val="32"/>
          <w:highlight w:val="none"/>
          <w:lang w:eastAsia="zh-CN"/>
        </w:rPr>
        <w:t>万元。</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0" w:after="0" w:line="600" w:lineRule="exact"/>
        <w:ind w:firstLine="640" w:firstLineChars="200"/>
        <w:jc w:val="both"/>
        <w:textAlignment w:val="auto"/>
        <w:outlineLvl w:val="1"/>
        <w:rPr>
          <w:rFonts w:hint="default" w:ascii="黑体" w:hAnsi="黑体" w:eastAsia="黑体" w:cs="黑体"/>
          <w:b w:val="0"/>
          <w:color w:val="auto"/>
          <w:sz w:val="32"/>
          <w:szCs w:val="32"/>
          <w:highlight w:val="none"/>
          <w:lang w:eastAsia="zh-CN"/>
        </w:rPr>
      </w:pPr>
      <w:bookmarkStart w:id="69" w:name="_Toc15377219"/>
      <w:bookmarkStart w:id="70" w:name="_Toc28180"/>
      <w:bookmarkStart w:id="71" w:name="_Toc15396611"/>
      <w:bookmarkStart w:id="72" w:name="_Toc26769"/>
      <w:r>
        <w:rPr>
          <w:rFonts w:hint="eastAsia" w:ascii="黑体" w:hAnsi="黑体" w:eastAsia="黑体" w:cs="黑体"/>
          <w:b w:val="0"/>
          <w:color w:val="auto"/>
          <w:sz w:val="32"/>
          <w:szCs w:val="32"/>
          <w:highlight w:val="none"/>
          <w:lang w:eastAsia="zh-CN"/>
        </w:rPr>
        <w:t>九、国有资本经营预算支出决算情况说明</w:t>
      </w:r>
      <w:bookmarkEnd w:id="69"/>
      <w:bookmarkEnd w:id="70"/>
      <w:bookmarkEnd w:id="71"/>
      <w:bookmarkEnd w:id="72"/>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20</w:t>
      </w:r>
      <w:r>
        <w:rPr>
          <w:rFonts w:hint="eastAsia" w:ascii="Times New Roman" w:hAnsi="Times New Roman" w:eastAsia="仿宋_GB2312" w:cs="Times New Roman"/>
          <w:color w:val="auto"/>
          <w:sz w:val="32"/>
          <w:szCs w:val="32"/>
          <w:highlight w:val="none"/>
          <w:lang w:val="en-US" w:eastAsia="zh-CN"/>
        </w:rPr>
        <w:t>22</w:t>
      </w:r>
      <w:r>
        <w:rPr>
          <w:rFonts w:hint="eastAsia" w:ascii="Times New Roman" w:hAnsi="Times New Roman" w:eastAsia="仿宋_GB2312" w:cs="Times New Roman"/>
          <w:color w:val="auto"/>
          <w:sz w:val="32"/>
          <w:szCs w:val="32"/>
          <w:highlight w:val="none"/>
          <w:lang w:eastAsia="zh-CN"/>
        </w:rPr>
        <w:t>年国有资本经营预算财政拨款支出</w:t>
      </w:r>
      <w:r>
        <w:rPr>
          <w:rFonts w:hint="eastAsia" w:ascii="Times New Roman" w:hAnsi="Times New Roman" w:eastAsia="仿宋_GB2312" w:cs="Times New Roman"/>
          <w:color w:val="auto"/>
          <w:sz w:val="32"/>
          <w:szCs w:val="32"/>
          <w:highlight w:val="none"/>
          <w:lang w:val="en-US" w:eastAsia="zh-CN"/>
        </w:rPr>
        <w:t>0</w:t>
      </w:r>
      <w:r>
        <w:rPr>
          <w:rFonts w:hint="eastAsia" w:ascii="Times New Roman" w:hAnsi="Times New Roman" w:eastAsia="仿宋_GB2312" w:cs="Times New Roman"/>
          <w:color w:val="auto"/>
          <w:sz w:val="32"/>
          <w:szCs w:val="32"/>
          <w:highlight w:val="none"/>
          <w:lang w:eastAsia="zh-CN"/>
        </w:rPr>
        <w:t>万元。</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0" w:after="0" w:line="576" w:lineRule="exact"/>
        <w:ind w:firstLine="640" w:firstLineChars="200"/>
        <w:jc w:val="both"/>
        <w:textAlignment w:val="auto"/>
        <w:outlineLvl w:val="1"/>
        <w:rPr>
          <w:rFonts w:hint="eastAsia" w:ascii="黑体" w:hAnsi="黑体" w:eastAsia="黑体" w:cs="黑体"/>
          <w:b w:val="0"/>
          <w:color w:val="auto"/>
          <w:sz w:val="32"/>
          <w:szCs w:val="32"/>
          <w:highlight w:val="none"/>
          <w:lang w:eastAsia="zh-CN"/>
        </w:rPr>
      </w:pPr>
      <w:bookmarkStart w:id="73" w:name="_Toc15396612"/>
      <w:bookmarkStart w:id="74" w:name="_Toc15377221"/>
      <w:bookmarkStart w:id="75" w:name="_Toc6757"/>
      <w:bookmarkStart w:id="76" w:name="_Toc23345"/>
      <w:r>
        <w:rPr>
          <w:rFonts w:hint="eastAsia" w:ascii="黑体" w:hAnsi="黑体" w:eastAsia="黑体" w:cs="黑体"/>
          <w:b w:val="0"/>
          <w:color w:val="auto"/>
          <w:sz w:val="32"/>
          <w:szCs w:val="32"/>
          <w:highlight w:val="none"/>
          <w:lang w:eastAsia="zh-CN"/>
        </w:rPr>
        <w:t>十、其他重要事项的情况说明</w:t>
      </w:r>
      <w:bookmarkEnd w:id="73"/>
      <w:bookmarkEnd w:id="74"/>
      <w:bookmarkEnd w:id="75"/>
      <w:bookmarkEnd w:id="76"/>
    </w:p>
    <w:p>
      <w:pPr>
        <w:keepNext w:val="0"/>
        <w:keepLines w:val="0"/>
        <w:pageBreakBefore w:val="0"/>
        <w:widowControl w:val="0"/>
        <w:numPr>
          <w:ilvl w:val="0"/>
          <w:numId w:val="0"/>
        </w:numPr>
        <w:shd w:val="clear"/>
        <w:kinsoku/>
        <w:wordWrap/>
        <w:overflowPunct/>
        <w:topLinePunct w:val="0"/>
        <w:autoSpaceDE/>
        <w:autoSpaceDN/>
        <w:bidi w:val="0"/>
        <w:spacing w:line="576" w:lineRule="exact"/>
        <w:ind w:leftChars="0" w:firstLine="640" w:firstLineChars="200"/>
        <w:jc w:val="both"/>
        <w:textAlignment w:val="auto"/>
        <w:outlineLvl w:val="9"/>
        <w:rPr>
          <w:rFonts w:hint="eastAsia" w:ascii="楷体_GB2312" w:hAnsi="楷体_GB2312" w:eastAsia="楷体_GB2312" w:cs="楷体_GB2312"/>
          <w:color w:val="auto"/>
          <w:sz w:val="32"/>
          <w:szCs w:val="32"/>
          <w:highlight w:val="none"/>
          <w:lang w:eastAsia="zh-CN"/>
        </w:rPr>
      </w:pPr>
      <w:bookmarkStart w:id="77" w:name="_Toc15377222"/>
      <w:r>
        <w:rPr>
          <w:rFonts w:hint="eastAsia" w:ascii="楷体_GB2312" w:hAnsi="楷体_GB2312" w:eastAsia="楷体_GB2312" w:cs="楷体_GB2312"/>
          <w:color w:val="auto"/>
          <w:sz w:val="32"/>
          <w:szCs w:val="32"/>
          <w:highlight w:val="none"/>
          <w:lang w:eastAsia="zh-CN"/>
        </w:rPr>
        <w:t>（一）机关运行经费支出情况</w:t>
      </w:r>
      <w:bookmarkEnd w:id="77"/>
    </w:p>
    <w:p>
      <w:pPr>
        <w:keepNext w:val="0"/>
        <w:keepLines w:val="0"/>
        <w:pageBreakBefore w:val="0"/>
        <w:widowControl w:val="0"/>
        <w:numPr>
          <w:ilvl w:val="0"/>
          <w:numId w:val="0"/>
        </w:numPr>
        <w:shd w:val="clear"/>
        <w:kinsoku/>
        <w:wordWrap/>
        <w:overflowPunct/>
        <w:topLinePunct w:val="0"/>
        <w:autoSpaceDE/>
        <w:autoSpaceDN/>
        <w:bidi w:val="0"/>
        <w:spacing w:line="576" w:lineRule="exact"/>
        <w:ind w:leftChars="0" w:firstLine="640" w:firstLineChars="200"/>
        <w:jc w:val="both"/>
        <w:textAlignment w:val="auto"/>
        <w:outlineLvl w:val="9"/>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20</w:t>
      </w:r>
      <w:r>
        <w:rPr>
          <w:rFonts w:hint="eastAsia" w:ascii="Times New Roman" w:hAnsi="Times New Roman" w:eastAsia="仿宋_GB2312" w:cs="Times New Roman"/>
          <w:color w:val="auto"/>
          <w:sz w:val="32"/>
          <w:szCs w:val="32"/>
          <w:highlight w:val="none"/>
          <w:lang w:val="en-US" w:eastAsia="zh-CN"/>
        </w:rPr>
        <w:t>22</w:t>
      </w:r>
      <w:r>
        <w:rPr>
          <w:rFonts w:hint="eastAsia" w:ascii="Times New Roman" w:hAnsi="Times New Roman" w:eastAsia="仿宋_GB2312" w:cs="Times New Roman"/>
          <w:color w:val="auto"/>
          <w:sz w:val="32"/>
          <w:szCs w:val="32"/>
          <w:highlight w:val="none"/>
          <w:lang w:eastAsia="zh-CN"/>
        </w:rPr>
        <w:t>年，市经济合作和外事局机关运行经费支出</w:t>
      </w:r>
      <w:r>
        <w:rPr>
          <w:rFonts w:hint="eastAsia" w:ascii="Times New Roman" w:hAnsi="Times New Roman" w:eastAsia="仿宋_GB2312" w:cs="Times New Roman"/>
          <w:color w:val="auto"/>
          <w:sz w:val="32"/>
          <w:szCs w:val="32"/>
          <w:highlight w:val="none"/>
          <w:lang w:val="en-US" w:eastAsia="zh-CN"/>
        </w:rPr>
        <w:t>143.05</w:t>
      </w:r>
      <w:r>
        <w:rPr>
          <w:rFonts w:hint="eastAsia" w:ascii="Times New Roman" w:hAnsi="Times New Roman" w:eastAsia="仿宋_GB2312" w:cs="Times New Roman"/>
          <w:color w:val="auto"/>
          <w:sz w:val="32"/>
          <w:szCs w:val="32"/>
          <w:highlight w:val="none"/>
          <w:lang w:eastAsia="zh-CN"/>
        </w:rPr>
        <w:t>万元，比</w:t>
      </w:r>
      <w:r>
        <w:rPr>
          <w:rFonts w:hint="default" w:ascii="Times New Roman" w:hAnsi="Times New Roman" w:eastAsia="仿宋_GB2312" w:cs="Times New Roman"/>
          <w:color w:val="auto"/>
          <w:sz w:val="32"/>
          <w:szCs w:val="32"/>
          <w:highlight w:val="none"/>
          <w:lang w:eastAsia="zh-CN"/>
        </w:rPr>
        <w:t>20</w:t>
      </w:r>
      <w:r>
        <w:rPr>
          <w:rFonts w:hint="eastAsia" w:ascii="Times New Roman" w:hAnsi="Times New Roman" w:eastAsia="仿宋_GB2312" w:cs="Times New Roman"/>
          <w:color w:val="auto"/>
          <w:sz w:val="32"/>
          <w:szCs w:val="32"/>
          <w:highlight w:val="none"/>
          <w:lang w:val="en-US" w:eastAsia="zh-CN"/>
        </w:rPr>
        <w:t>21</w:t>
      </w:r>
      <w:r>
        <w:rPr>
          <w:rFonts w:hint="eastAsia" w:ascii="Times New Roman" w:hAnsi="Times New Roman" w:eastAsia="仿宋_GB2312" w:cs="Times New Roman"/>
          <w:color w:val="auto"/>
          <w:sz w:val="32"/>
          <w:szCs w:val="32"/>
          <w:highlight w:val="none"/>
          <w:lang w:eastAsia="zh-CN"/>
        </w:rPr>
        <w:t>年增加</w:t>
      </w:r>
      <w:r>
        <w:rPr>
          <w:rFonts w:hint="eastAsia" w:ascii="Times New Roman" w:hAnsi="Times New Roman" w:eastAsia="仿宋_GB2312" w:cs="Times New Roman"/>
          <w:color w:val="auto"/>
          <w:sz w:val="32"/>
          <w:szCs w:val="32"/>
          <w:highlight w:val="none"/>
          <w:lang w:val="en-US" w:eastAsia="zh-CN"/>
        </w:rPr>
        <w:t>28.45</w:t>
      </w:r>
      <w:r>
        <w:rPr>
          <w:rFonts w:hint="eastAsia" w:ascii="Times New Roman" w:hAnsi="Times New Roman" w:eastAsia="仿宋_GB2312" w:cs="Times New Roman"/>
          <w:color w:val="auto"/>
          <w:sz w:val="32"/>
          <w:szCs w:val="32"/>
          <w:highlight w:val="none"/>
          <w:lang w:eastAsia="zh-CN"/>
        </w:rPr>
        <w:t>万元，增长</w:t>
      </w:r>
      <w:r>
        <w:rPr>
          <w:rFonts w:hint="eastAsia" w:ascii="Times New Roman" w:hAnsi="Times New Roman" w:eastAsia="仿宋_GB2312" w:cs="Times New Roman"/>
          <w:color w:val="auto"/>
          <w:sz w:val="32"/>
          <w:szCs w:val="32"/>
          <w:highlight w:val="none"/>
          <w:lang w:val="en-US" w:eastAsia="zh-CN"/>
        </w:rPr>
        <w:t>24.83</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。主要原因是单位人员增加，运行成本增加。</w:t>
      </w:r>
    </w:p>
    <w:p>
      <w:pPr>
        <w:keepNext w:val="0"/>
        <w:keepLines w:val="0"/>
        <w:pageBreakBefore w:val="0"/>
        <w:widowControl w:val="0"/>
        <w:numPr>
          <w:ilvl w:val="0"/>
          <w:numId w:val="0"/>
        </w:numPr>
        <w:shd w:val="clear"/>
        <w:kinsoku/>
        <w:wordWrap/>
        <w:overflowPunct/>
        <w:topLinePunct w:val="0"/>
        <w:autoSpaceDE/>
        <w:autoSpaceDN/>
        <w:bidi w:val="0"/>
        <w:spacing w:line="576" w:lineRule="exact"/>
        <w:ind w:leftChars="0" w:firstLine="640" w:firstLineChars="200"/>
        <w:jc w:val="both"/>
        <w:textAlignment w:val="auto"/>
        <w:outlineLvl w:val="9"/>
        <w:rPr>
          <w:rFonts w:hint="default" w:ascii="楷体_GB2312" w:hAnsi="楷体_GB2312" w:eastAsia="楷体_GB2312" w:cs="楷体_GB2312"/>
          <w:color w:val="auto"/>
          <w:sz w:val="32"/>
          <w:szCs w:val="32"/>
          <w:highlight w:val="none"/>
          <w:lang w:eastAsia="zh-CN"/>
        </w:rPr>
      </w:pPr>
      <w:bookmarkStart w:id="78" w:name="_Toc15377223"/>
      <w:r>
        <w:rPr>
          <w:rFonts w:hint="eastAsia" w:ascii="楷体_GB2312" w:hAnsi="楷体_GB2312" w:eastAsia="楷体_GB2312" w:cs="楷体_GB2312"/>
          <w:color w:val="auto"/>
          <w:sz w:val="32"/>
          <w:szCs w:val="32"/>
          <w:highlight w:val="none"/>
          <w:lang w:eastAsia="zh-CN"/>
        </w:rPr>
        <w:t>（二）政府采购支出情况</w:t>
      </w:r>
      <w:bookmarkEnd w:id="78"/>
    </w:p>
    <w:p>
      <w:pPr>
        <w:keepNext w:val="0"/>
        <w:keepLines w:val="0"/>
        <w:pageBreakBefore w:val="0"/>
        <w:widowControl w:val="0"/>
        <w:numPr>
          <w:ilvl w:val="0"/>
          <w:numId w:val="0"/>
        </w:numPr>
        <w:shd w:val="clear"/>
        <w:kinsoku/>
        <w:wordWrap/>
        <w:overflowPunct/>
        <w:topLinePunct w:val="0"/>
        <w:autoSpaceDE/>
        <w:autoSpaceDN/>
        <w:bidi w:val="0"/>
        <w:spacing w:line="576" w:lineRule="exact"/>
        <w:ind w:lef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20</w:t>
      </w:r>
      <w:r>
        <w:rPr>
          <w:rFonts w:hint="eastAsia" w:ascii="Times New Roman" w:hAnsi="Times New Roman" w:eastAsia="仿宋_GB2312" w:cs="Times New Roman"/>
          <w:color w:val="auto"/>
          <w:sz w:val="32"/>
          <w:szCs w:val="32"/>
          <w:highlight w:val="none"/>
          <w:lang w:val="en-US" w:eastAsia="zh-CN"/>
        </w:rPr>
        <w:t>22</w:t>
      </w:r>
      <w:r>
        <w:rPr>
          <w:rFonts w:hint="eastAsia" w:ascii="Times New Roman" w:hAnsi="Times New Roman" w:eastAsia="仿宋_GB2312" w:cs="Times New Roman"/>
          <w:color w:val="auto"/>
          <w:sz w:val="32"/>
          <w:szCs w:val="32"/>
          <w:highlight w:val="none"/>
          <w:lang w:eastAsia="zh-CN"/>
        </w:rPr>
        <w:t>年，市经济合作和外事局政府采购支出总额</w:t>
      </w:r>
      <w:r>
        <w:rPr>
          <w:rFonts w:hint="eastAsia" w:ascii="Times New Roman" w:hAnsi="Times New Roman" w:eastAsia="仿宋_GB2312" w:cs="Times New Roman"/>
          <w:color w:val="auto"/>
          <w:sz w:val="32"/>
          <w:szCs w:val="32"/>
          <w:highlight w:val="none"/>
          <w:lang w:val="en-US" w:eastAsia="zh-CN"/>
        </w:rPr>
        <w:t>0</w:t>
      </w:r>
      <w:r>
        <w:rPr>
          <w:rFonts w:hint="eastAsia" w:ascii="Times New Roman" w:hAnsi="Times New Roman" w:eastAsia="仿宋_GB2312" w:cs="Times New Roman"/>
          <w:color w:val="auto"/>
          <w:sz w:val="32"/>
          <w:szCs w:val="32"/>
          <w:highlight w:val="none"/>
          <w:lang w:eastAsia="zh-CN"/>
        </w:rPr>
        <w:t>万元。</w:t>
      </w:r>
    </w:p>
    <w:p>
      <w:pPr>
        <w:keepNext w:val="0"/>
        <w:keepLines w:val="0"/>
        <w:pageBreakBefore w:val="0"/>
        <w:widowControl w:val="0"/>
        <w:numPr>
          <w:ilvl w:val="0"/>
          <w:numId w:val="0"/>
        </w:numPr>
        <w:shd w:val="clear"/>
        <w:kinsoku/>
        <w:wordWrap/>
        <w:overflowPunct/>
        <w:topLinePunct w:val="0"/>
        <w:autoSpaceDE/>
        <w:autoSpaceDN/>
        <w:bidi w:val="0"/>
        <w:spacing w:line="576" w:lineRule="exact"/>
        <w:ind w:leftChars="0" w:firstLine="640" w:firstLineChars="200"/>
        <w:jc w:val="both"/>
        <w:textAlignment w:val="auto"/>
        <w:outlineLvl w:val="9"/>
        <w:rPr>
          <w:rFonts w:hint="default" w:ascii="楷体_GB2312" w:hAnsi="楷体_GB2312" w:eastAsia="楷体_GB2312" w:cs="楷体_GB2312"/>
          <w:color w:val="auto"/>
          <w:sz w:val="32"/>
          <w:szCs w:val="32"/>
          <w:highlight w:val="none"/>
          <w:lang w:eastAsia="zh-CN"/>
        </w:rPr>
      </w:pPr>
      <w:bookmarkStart w:id="79" w:name="_Toc15377224"/>
      <w:r>
        <w:rPr>
          <w:rFonts w:hint="eastAsia" w:ascii="楷体_GB2312" w:hAnsi="楷体_GB2312" w:eastAsia="楷体_GB2312" w:cs="楷体_GB2312"/>
          <w:color w:val="auto"/>
          <w:sz w:val="32"/>
          <w:szCs w:val="32"/>
          <w:highlight w:val="none"/>
          <w:lang w:eastAsia="zh-CN"/>
        </w:rPr>
        <w:t>（三）国有资产占有使用情况</w:t>
      </w:r>
      <w:bookmarkEnd w:id="79"/>
    </w:p>
    <w:p>
      <w:pPr>
        <w:keepNext w:val="0"/>
        <w:keepLines w:val="0"/>
        <w:pageBreakBefore w:val="0"/>
        <w:widowControl w:val="0"/>
        <w:numPr>
          <w:ilvl w:val="0"/>
          <w:numId w:val="0"/>
        </w:numPr>
        <w:shd w:val="clear"/>
        <w:kinsoku/>
        <w:wordWrap/>
        <w:overflowPunct/>
        <w:topLinePunct w:val="0"/>
        <w:autoSpaceDE/>
        <w:autoSpaceDN/>
        <w:bidi w:val="0"/>
        <w:spacing w:line="576" w:lineRule="exact"/>
        <w:ind w:leftChars="0" w:firstLine="640" w:firstLineChars="200"/>
        <w:jc w:val="both"/>
        <w:textAlignment w:val="auto"/>
        <w:outlineLvl w:val="9"/>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截至</w:t>
      </w:r>
      <w:r>
        <w:rPr>
          <w:rFonts w:hint="default" w:ascii="Times New Roman" w:hAnsi="Times New Roman" w:eastAsia="仿宋_GB2312" w:cs="Times New Roman"/>
          <w:color w:val="auto"/>
          <w:sz w:val="32"/>
          <w:szCs w:val="32"/>
          <w:highlight w:val="none"/>
          <w:lang w:eastAsia="zh-CN"/>
        </w:rPr>
        <w:t>20</w:t>
      </w:r>
      <w:r>
        <w:rPr>
          <w:rFonts w:hint="eastAsia" w:ascii="Times New Roman" w:hAnsi="Times New Roman" w:eastAsia="仿宋_GB2312" w:cs="Times New Roman"/>
          <w:color w:val="auto"/>
          <w:sz w:val="32"/>
          <w:szCs w:val="32"/>
          <w:highlight w:val="none"/>
          <w:lang w:val="en-US" w:eastAsia="zh-CN"/>
        </w:rPr>
        <w:t>22</w:t>
      </w:r>
      <w:r>
        <w:rPr>
          <w:rFonts w:hint="eastAsia" w:ascii="Times New Roman" w:hAnsi="Times New Roman" w:eastAsia="仿宋_GB2312" w:cs="Times New Roman"/>
          <w:color w:val="auto"/>
          <w:sz w:val="32"/>
          <w:szCs w:val="32"/>
          <w:highlight w:val="none"/>
          <w:lang w:eastAsia="zh-CN"/>
        </w:rPr>
        <w:t>年</w:t>
      </w:r>
      <w:r>
        <w:rPr>
          <w:rFonts w:hint="default" w:ascii="Times New Roman" w:hAnsi="Times New Roman" w:eastAsia="仿宋_GB2312" w:cs="Times New Roman"/>
          <w:color w:val="auto"/>
          <w:sz w:val="32"/>
          <w:szCs w:val="32"/>
          <w:highlight w:val="none"/>
          <w:lang w:eastAsia="zh-CN"/>
        </w:rPr>
        <w:t>12</w:t>
      </w:r>
      <w:r>
        <w:rPr>
          <w:rFonts w:hint="eastAsia" w:ascii="Times New Roman" w:hAnsi="Times New Roman" w:eastAsia="仿宋_GB2312" w:cs="Times New Roman"/>
          <w:color w:val="auto"/>
          <w:sz w:val="32"/>
          <w:szCs w:val="32"/>
          <w:highlight w:val="none"/>
          <w:lang w:eastAsia="zh-CN"/>
        </w:rPr>
        <w:t>月</w:t>
      </w:r>
      <w:r>
        <w:rPr>
          <w:rFonts w:hint="default" w:ascii="Times New Roman" w:hAnsi="Times New Roman" w:eastAsia="仿宋_GB2312" w:cs="Times New Roman"/>
          <w:color w:val="auto"/>
          <w:sz w:val="32"/>
          <w:szCs w:val="32"/>
          <w:highlight w:val="none"/>
          <w:lang w:eastAsia="zh-CN"/>
        </w:rPr>
        <w:t>31</w:t>
      </w:r>
      <w:r>
        <w:rPr>
          <w:rFonts w:hint="eastAsia" w:ascii="Times New Roman" w:hAnsi="Times New Roman" w:eastAsia="仿宋_GB2312" w:cs="Times New Roman"/>
          <w:color w:val="auto"/>
          <w:sz w:val="32"/>
          <w:szCs w:val="32"/>
          <w:highlight w:val="none"/>
          <w:lang w:eastAsia="zh-CN"/>
        </w:rPr>
        <w:t>日，市经济合作和外事局共有车辆</w:t>
      </w:r>
      <w:r>
        <w:rPr>
          <w:rFonts w:hint="eastAsia" w:ascii="Times New Roman" w:hAnsi="Times New Roman" w:eastAsia="仿宋_GB2312" w:cs="Times New Roman"/>
          <w:color w:val="auto"/>
          <w:sz w:val="32"/>
          <w:szCs w:val="32"/>
          <w:highlight w:val="none"/>
          <w:lang w:val="en-US" w:eastAsia="zh-CN"/>
        </w:rPr>
        <w:t>2</w:t>
      </w:r>
      <w:r>
        <w:rPr>
          <w:rFonts w:hint="eastAsia" w:ascii="Times New Roman" w:hAnsi="Times New Roman" w:eastAsia="仿宋_GB2312" w:cs="Times New Roman"/>
          <w:color w:val="auto"/>
          <w:sz w:val="32"/>
          <w:szCs w:val="32"/>
          <w:highlight w:val="none"/>
          <w:lang w:eastAsia="zh-CN"/>
        </w:rPr>
        <w:t>辆，其中：其他用车</w:t>
      </w:r>
      <w:r>
        <w:rPr>
          <w:rFonts w:hint="eastAsia" w:ascii="Times New Roman" w:hAnsi="Times New Roman" w:eastAsia="仿宋_GB2312" w:cs="Times New Roman"/>
          <w:color w:val="auto"/>
          <w:sz w:val="32"/>
          <w:szCs w:val="32"/>
          <w:highlight w:val="none"/>
          <w:lang w:val="en-US" w:eastAsia="zh-CN"/>
        </w:rPr>
        <w:t>2</w:t>
      </w:r>
      <w:r>
        <w:rPr>
          <w:rFonts w:hint="eastAsia" w:ascii="Times New Roman" w:hAnsi="Times New Roman" w:eastAsia="仿宋_GB2312" w:cs="Times New Roman"/>
          <w:color w:val="auto"/>
          <w:sz w:val="32"/>
          <w:szCs w:val="32"/>
          <w:highlight w:val="none"/>
          <w:lang w:eastAsia="zh-CN"/>
        </w:rPr>
        <w:t>辆。其他用车主要是用于接待来广考察对接洽谈项目的客商，陪同客商赴各地考察项目基本要素等所需的公务用车燃料费、维修费、过路过桥费、保险费等支出。单价</w:t>
      </w:r>
      <w:r>
        <w:rPr>
          <w:rFonts w:hint="default" w:ascii="Times New Roman" w:hAnsi="Times New Roman" w:eastAsia="仿宋_GB2312" w:cs="Times New Roman"/>
          <w:color w:val="auto"/>
          <w:sz w:val="32"/>
          <w:szCs w:val="32"/>
          <w:highlight w:val="none"/>
          <w:lang w:eastAsia="zh-CN"/>
        </w:rPr>
        <w:t>50</w:t>
      </w:r>
      <w:r>
        <w:rPr>
          <w:rFonts w:hint="eastAsia" w:ascii="Times New Roman" w:hAnsi="Times New Roman" w:eastAsia="仿宋_GB2312" w:cs="Times New Roman"/>
          <w:color w:val="auto"/>
          <w:sz w:val="32"/>
          <w:szCs w:val="32"/>
          <w:highlight w:val="none"/>
          <w:lang w:eastAsia="zh-CN"/>
        </w:rPr>
        <w:t>万元以上通用设备</w:t>
      </w:r>
      <w:r>
        <w:rPr>
          <w:rFonts w:hint="eastAsia" w:ascii="Times New Roman" w:hAnsi="Times New Roman" w:eastAsia="仿宋_GB2312" w:cs="Times New Roman"/>
          <w:color w:val="auto"/>
          <w:sz w:val="32"/>
          <w:szCs w:val="32"/>
          <w:highlight w:val="none"/>
          <w:lang w:val="en-US" w:eastAsia="zh-CN"/>
        </w:rPr>
        <w:t>0</w:t>
      </w:r>
      <w:r>
        <w:rPr>
          <w:rFonts w:hint="eastAsia" w:ascii="Times New Roman" w:hAnsi="Times New Roman" w:eastAsia="仿宋_GB2312" w:cs="Times New Roman"/>
          <w:color w:val="auto"/>
          <w:sz w:val="32"/>
          <w:szCs w:val="32"/>
          <w:highlight w:val="none"/>
          <w:lang w:eastAsia="zh-CN"/>
        </w:rPr>
        <w:t>台，单价</w:t>
      </w:r>
      <w:r>
        <w:rPr>
          <w:rFonts w:hint="default" w:ascii="Times New Roman" w:hAnsi="Times New Roman" w:eastAsia="仿宋_GB2312" w:cs="Times New Roman"/>
          <w:color w:val="auto"/>
          <w:sz w:val="32"/>
          <w:szCs w:val="32"/>
          <w:highlight w:val="none"/>
          <w:lang w:eastAsia="zh-CN"/>
        </w:rPr>
        <w:t>100</w:t>
      </w:r>
      <w:r>
        <w:rPr>
          <w:rFonts w:hint="eastAsia" w:ascii="Times New Roman" w:hAnsi="Times New Roman" w:eastAsia="仿宋_GB2312" w:cs="Times New Roman"/>
          <w:color w:val="auto"/>
          <w:sz w:val="32"/>
          <w:szCs w:val="32"/>
          <w:highlight w:val="none"/>
          <w:lang w:eastAsia="zh-CN"/>
        </w:rPr>
        <w:t>万元以上专用设备</w:t>
      </w:r>
      <w:r>
        <w:rPr>
          <w:rFonts w:hint="eastAsia" w:ascii="Times New Roman" w:hAnsi="Times New Roman" w:eastAsia="仿宋_GB2312" w:cs="Times New Roman"/>
          <w:color w:val="auto"/>
          <w:sz w:val="32"/>
          <w:szCs w:val="32"/>
          <w:highlight w:val="none"/>
          <w:lang w:val="en-US" w:eastAsia="zh-CN"/>
        </w:rPr>
        <w:t>0</w:t>
      </w:r>
      <w:r>
        <w:rPr>
          <w:rFonts w:hint="eastAsia" w:ascii="Times New Roman" w:hAnsi="Times New Roman" w:eastAsia="仿宋_GB2312" w:cs="Times New Roman"/>
          <w:color w:val="auto"/>
          <w:sz w:val="32"/>
          <w:szCs w:val="32"/>
          <w:highlight w:val="none"/>
          <w:lang w:eastAsia="zh-CN"/>
        </w:rPr>
        <w:t>台。</w:t>
      </w:r>
    </w:p>
    <w:p>
      <w:pPr>
        <w:keepNext w:val="0"/>
        <w:keepLines w:val="0"/>
        <w:pageBreakBefore w:val="0"/>
        <w:widowControl w:val="0"/>
        <w:numPr>
          <w:ilvl w:val="0"/>
          <w:numId w:val="0"/>
        </w:numPr>
        <w:shd w:val="clear"/>
        <w:kinsoku/>
        <w:wordWrap/>
        <w:overflowPunct/>
        <w:topLinePunct w:val="0"/>
        <w:autoSpaceDE/>
        <w:autoSpaceDN/>
        <w:bidi w:val="0"/>
        <w:spacing w:line="576" w:lineRule="exact"/>
        <w:ind w:leftChars="0" w:firstLine="640" w:firstLineChars="200"/>
        <w:jc w:val="both"/>
        <w:textAlignment w:val="auto"/>
        <w:outlineLvl w:val="9"/>
        <w:rPr>
          <w:rFonts w:hint="default"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（四）预算绩效管理情况</w:t>
      </w:r>
    </w:p>
    <w:p>
      <w:pPr>
        <w:keepNext w:val="0"/>
        <w:keepLines w:val="0"/>
        <w:pageBreakBefore w:val="0"/>
        <w:widowControl w:val="0"/>
        <w:numPr>
          <w:ilvl w:val="0"/>
          <w:numId w:val="0"/>
        </w:numPr>
        <w:shd w:val="clear"/>
        <w:kinsoku/>
        <w:wordWrap/>
        <w:overflowPunct/>
        <w:topLinePunct w:val="0"/>
        <w:autoSpaceDE/>
        <w:autoSpaceDN/>
        <w:bidi w:val="0"/>
        <w:spacing w:line="576" w:lineRule="exact"/>
        <w:ind w:leftChars="0" w:firstLine="640" w:firstLineChars="200"/>
        <w:jc w:val="both"/>
        <w:textAlignment w:val="auto"/>
        <w:outlineLvl w:val="9"/>
        <w:rPr>
          <w:rFonts w:ascii="仿宋_GB2312" w:eastAsia="仿宋_GB2312"/>
          <w:b/>
          <w:color w:val="auto"/>
          <w:sz w:val="32"/>
          <w:szCs w:val="32"/>
          <w:highlight w:val="none"/>
        </w:rPr>
      </w:pPr>
      <w:r>
        <w:rPr>
          <w:rFonts w:hint="eastAsia" w:ascii="Times New Roman" w:hAnsi="Times New Roman" w:eastAsia="仿宋_GB2312" w:cs="Times New Roman"/>
          <w:color w:val="auto"/>
          <w:sz w:val="32"/>
          <w:szCs w:val="32"/>
          <w:highlight w:val="none"/>
          <w:lang w:eastAsia="zh-CN"/>
        </w:rPr>
        <w:t>根据预算绩效管理要求，本部门在</w:t>
      </w:r>
      <w:r>
        <w:rPr>
          <w:rFonts w:hint="eastAsia" w:ascii="Times New Roman" w:hAnsi="Times New Roman" w:eastAsia="仿宋_GB2312" w:cs="Times New Roman"/>
          <w:color w:val="auto"/>
          <w:sz w:val="32"/>
          <w:szCs w:val="32"/>
          <w:highlight w:val="none"/>
          <w:lang w:val="en-US" w:eastAsia="zh-CN"/>
        </w:rPr>
        <w:t>2022年度</w:t>
      </w:r>
      <w:r>
        <w:rPr>
          <w:rFonts w:hint="eastAsia" w:ascii="Times New Roman" w:hAnsi="Times New Roman" w:eastAsia="仿宋_GB2312" w:cs="Times New Roman"/>
          <w:color w:val="auto"/>
          <w:sz w:val="32"/>
          <w:szCs w:val="32"/>
          <w:highlight w:val="none"/>
          <w:lang w:eastAsia="zh-CN"/>
        </w:rPr>
        <w:t>预算编制阶段，组织对驻外分局工作经费和房租项目等</w:t>
      </w:r>
      <w:r>
        <w:rPr>
          <w:rFonts w:hint="eastAsia" w:ascii="Times New Roman" w:hAnsi="Times New Roman" w:eastAsia="仿宋_GB2312" w:cs="Times New Roman"/>
          <w:color w:val="auto"/>
          <w:sz w:val="32"/>
          <w:szCs w:val="32"/>
          <w:highlight w:val="none"/>
          <w:lang w:val="en-US" w:eastAsia="zh-CN"/>
        </w:rPr>
        <w:t>2个项目</w:t>
      </w:r>
      <w:r>
        <w:rPr>
          <w:rFonts w:hint="eastAsia" w:ascii="Times New Roman" w:hAnsi="Times New Roman" w:eastAsia="仿宋_GB2312" w:cs="Times New Roman"/>
          <w:color w:val="auto"/>
          <w:sz w:val="32"/>
          <w:szCs w:val="32"/>
          <w:highlight w:val="none"/>
          <w:lang w:eastAsia="zh-CN"/>
        </w:rPr>
        <w:t>开展了预算事前绩效评估，对</w:t>
      </w:r>
      <w:r>
        <w:rPr>
          <w:rFonts w:hint="eastAsia" w:ascii="Times New Roman" w:hAnsi="Times New Roman" w:eastAsia="仿宋_GB2312" w:cs="Times New Roman"/>
          <w:color w:val="auto"/>
          <w:sz w:val="32"/>
          <w:szCs w:val="32"/>
          <w:highlight w:val="none"/>
          <w:lang w:val="en-US" w:eastAsia="zh-CN"/>
        </w:rPr>
        <w:t>2</w:t>
      </w:r>
      <w:r>
        <w:rPr>
          <w:rFonts w:hint="eastAsia" w:ascii="Times New Roman" w:hAnsi="Times New Roman" w:eastAsia="仿宋_GB2312" w:cs="Times New Roman"/>
          <w:color w:val="auto"/>
          <w:sz w:val="32"/>
          <w:szCs w:val="32"/>
          <w:highlight w:val="none"/>
          <w:lang w:eastAsia="zh-CN"/>
        </w:rPr>
        <w:t>个项目编制了绩效目标，预算执行过程中，选取</w:t>
      </w:r>
      <w:r>
        <w:rPr>
          <w:rFonts w:hint="eastAsia" w:ascii="Times New Roman" w:hAnsi="Times New Roman" w:eastAsia="仿宋_GB2312" w:cs="Times New Roman"/>
          <w:color w:val="auto"/>
          <w:sz w:val="32"/>
          <w:szCs w:val="32"/>
          <w:highlight w:val="none"/>
          <w:lang w:val="en-US" w:eastAsia="zh-CN"/>
        </w:rPr>
        <w:t>2</w:t>
      </w:r>
      <w:r>
        <w:rPr>
          <w:rFonts w:hint="eastAsia" w:ascii="Times New Roman" w:hAnsi="Times New Roman" w:eastAsia="仿宋_GB2312" w:cs="Times New Roman"/>
          <w:color w:val="auto"/>
          <w:sz w:val="32"/>
          <w:szCs w:val="32"/>
          <w:highlight w:val="none"/>
          <w:lang w:eastAsia="zh-CN"/>
        </w:rPr>
        <w:t>个项目开展绩效监控。同时，年终执行完毕后，组织对2022年度一般公共预算全面开展绩效自评，形成市经济合作和外事局部门整体（含部门预算项目）绩效自评报告、乡村振兴等专项预算项目绩效自评报告，其中，市经济合作和外事局部门整体（含部门预算项目）绩效自评得分为</w:t>
      </w:r>
      <w:r>
        <w:rPr>
          <w:rFonts w:hint="eastAsia" w:ascii="Times New Roman" w:hAnsi="Times New Roman" w:eastAsia="仿宋_GB2312" w:cs="Times New Roman"/>
          <w:color w:val="auto"/>
          <w:sz w:val="32"/>
          <w:szCs w:val="32"/>
          <w:highlight w:val="none"/>
          <w:lang w:val="en-US" w:eastAsia="zh-CN"/>
        </w:rPr>
        <w:t>97.6</w:t>
      </w:r>
      <w:r>
        <w:rPr>
          <w:rFonts w:hint="eastAsia" w:ascii="Times New Roman" w:hAnsi="Times New Roman" w:eastAsia="仿宋_GB2312" w:cs="Times New Roman"/>
          <w:color w:val="auto"/>
          <w:sz w:val="32"/>
          <w:szCs w:val="32"/>
          <w:highlight w:val="none"/>
          <w:lang w:eastAsia="zh-CN"/>
        </w:rPr>
        <w:t>分，绩效自评综述：</w:t>
      </w:r>
      <w:r>
        <w:rPr>
          <w:rFonts w:hint="eastAsia" w:ascii="Times New Roman" w:hAnsi="Times New Roman" w:eastAsia="仿宋_GB2312" w:cs="Times New Roman"/>
          <w:color w:val="auto"/>
          <w:sz w:val="32"/>
          <w:szCs w:val="32"/>
          <w:highlight w:val="none"/>
          <w:lang w:val="zh-CN" w:eastAsia="zh-CN"/>
        </w:rPr>
        <w:t>202</w:t>
      </w:r>
      <w:r>
        <w:rPr>
          <w:rFonts w:hint="eastAsia" w:ascii="Times New Roman" w:hAnsi="Times New Roman" w:eastAsia="仿宋_GB2312" w:cs="Times New Roman"/>
          <w:color w:val="auto"/>
          <w:sz w:val="32"/>
          <w:szCs w:val="32"/>
          <w:highlight w:val="none"/>
          <w:lang w:val="en-US" w:eastAsia="zh-CN"/>
        </w:rPr>
        <w:t>2</w:t>
      </w:r>
      <w:r>
        <w:rPr>
          <w:rFonts w:hint="eastAsia" w:ascii="Times New Roman" w:hAnsi="Times New Roman" w:eastAsia="仿宋_GB2312" w:cs="Times New Roman"/>
          <w:color w:val="auto"/>
          <w:sz w:val="32"/>
          <w:szCs w:val="32"/>
          <w:highlight w:val="none"/>
          <w:lang w:val="zh-CN" w:eastAsia="zh-CN"/>
        </w:rPr>
        <w:t>年我单位整体支出绩效自查自评结果良好，全年基本支出保证了单位的正常运转，项目支出保障了重点专项工作的开展，按照 202</w:t>
      </w:r>
      <w:r>
        <w:rPr>
          <w:rFonts w:hint="eastAsia" w:ascii="Times New Roman" w:hAnsi="Times New Roman" w:eastAsia="仿宋_GB2312" w:cs="Times New Roman"/>
          <w:color w:val="auto"/>
          <w:sz w:val="32"/>
          <w:szCs w:val="32"/>
          <w:highlight w:val="none"/>
          <w:lang w:val="en-US" w:eastAsia="zh-CN"/>
        </w:rPr>
        <w:t>2</w:t>
      </w:r>
      <w:r>
        <w:rPr>
          <w:rFonts w:hint="eastAsia" w:ascii="Times New Roman" w:hAnsi="Times New Roman" w:eastAsia="仿宋_GB2312" w:cs="Times New Roman"/>
          <w:color w:val="auto"/>
          <w:sz w:val="32"/>
          <w:szCs w:val="32"/>
          <w:highlight w:val="none"/>
          <w:lang w:val="zh-CN" w:eastAsia="zh-CN"/>
        </w:rPr>
        <w:t>年度部门整体支出绩效评价指标体系对我单位预算编制、预算执行、完成结果、信息公开、整改反馈等方面进行了自评，最终得分</w:t>
      </w:r>
      <w:r>
        <w:rPr>
          <w:rFonts w:hint="eastAsia" w:ascii="Times New Roman" w:hAnsi="Times New Roman" w:eastAsia="仿宋_GB2312" w:cs="Times New Roman"/>
          <w:color w:val="auto"/>
          <w:sz w:val="32"/>
          <w:szCs w:val="32"/>
          <w:highlight w:val="none"/>
          <w:lang w:val="en-US" w:eastAsia="zh-CN"/>
        </w:rPr>
        <w:t>97.6</w:t>
      </w:r>
      <w:r>
        <w:rPr>
          <w:rFonts w:hint="eastAsia" w:ascii="Times New Roman" w:hAnsi="Times New Roman" w:eastAsia="仿宋_GB2312" w:cs="Times New Roman"/>
          <w:color w:val="auto"/>
          <w:sz w:val="32"/>
          <w:szCs w:val="32"/>
          <w:highlight w:val="none"/>
          <w:lang w:val="zh-CN" w:eastAsia="zh-CN"/>
        </w:rPr>
        <w:t>分</w:t>
      </w:r>
      <w:r>
        <w:rPr>
          <w:rFonts w:hint="eastAsia" w:ascii="Times New Roman" w:hAnsi="Times New Roman" w:eastAsia="仿宋_GB2312" w:cs="Times New Roman"/>
          <w:color w:val="auto"/>
          <w:sz w:val="32"/>
          <w:szCs w:val="32"/>
          <w:highlight w:val="none"/>
          <w:lang w:eastAsia="zh-CN"/>
        </w:rPr>
        <w:t>；乡村振兴专项预算项目绩效自评得分为</w:t>
      </w:r>
      <w:r>
        <w:rPr>
          <w:rFonts w:hint="eastAsia" w:ascii="Times New Roman" w:hAnsi="Times New Roman" w:eastAsia="仿宋_GB2312" w:cs="Times New Roman"/>
          <w:color w:val="auto"/>
          <w:sz w:val="32"/>
          <w:szCs w:val="32"/>
          <w:highlight w:val="none"/>
          <w:lang w:val="en-US" w:eastAsia="zh-CN"/>
        </w:rPr>
        <w:t>98.5</w:t>
      </w:r>
      <w:r>
        <w:rPr>
          <w:rFonts w:hint="eastAsia" w:ascii="Times New Roman" w:hAnsi="Times New Roman" w:eastAsia="仿宋_GB2312" w:cs="Times New Roman"/>
          <w:color w:val="auto"/>
          <w:sz w:val="32"/>
          <w:szCs w:val="32"/>
          <w:highlight w:val="none"/>
          <w:lang w:eastAsia="zh-CN"/>
        </w:rPr>
        <w:t>分，绩效自评综述：</w:t>
      </w:r>
      <w:r>
        <w:rPr>
          <w:rFonts w:hint="eastAsia" w:ascii="Times New Roman" w:hAnsi="Times New Roman" w:eastAsia="仿宋_GB2312" w:cs="Times New Roman"/>
          <w:color w:val="auto"/>
          <w:sz w:val="32"/>
          <w:szCs w:val="32"/>
          <w:highlight w:val="none"/>
          <w:lang w:val="zh-CN" w:eastAsia="zh-CN"/>
        </w:rPr>
        <w:t>202</w:t>
      </w:r>
      <w:r>
        <w:rPr>
          <w:rFonts w:hint="eastAsia" w:ascii="Times New Roman" w:hAnsi="Times New Roman" w:eastAsia="仿宋_GB2312" w:cs="Times New Roman"/>
          <w:color w:val="auto"/>
          <w:sz w:val="32"/>
          <w:szCs w:val="32"/>
          <w:highlight w:val="none"/>
          <w:lang w:val="en-US" w:eastAsia="zh-CN"/>
        </w:rPr>
        <w:t>2</w:t>
      </w:r>
      <w:r>
        <w:rPr>
          <w:rFonts w:hint="eastAsia" w:ascii="Times New Roman" w:hAnsi="Times New Roman" w:eastAsia="仿宋_GB2312" w:cs="Times New Roman"/>
          <w:color w:val="auto"/>
          <w:sz w:val="32"/>
          <w:szCs w:val="32"/>
          <w:highlight w:val="none"/>
          <w:lang w:val="zh-CN" w:eastAsia="zh-CN"/>
        </w:rPr>
        <w:t>年我单位乡村振兴支出绩效自查自评结果良好，全年基本支出保证了乡村振兴工作的正常运转，按照 202</w:t>
      </w:r>
      <w:r>
        <w:rPr>
          <w:rFonts w:hint="eastAsia" w:ascii="Times New Roman" w:hAnsi="Times New Roman" w:eastAsia="仿宋_GB2312" w:cs="Times New Roman"/>
          <w:color w:val="auto"/>
          <w:sz w:val="32"/>
          <w:szCs w:val="32"/>
          <w:highlight w:val="none"/>
          <w:lang w:val="en-US" w:eastAsia="zh-CN"/>
        </w:rPr>
        <w:t>2</w:t>
      </w:r>
      <w:r>
        <w:rPr>
          <w:rFonts w:hint="eastAsia" w:ascii="Times New Roman" w:hAnsi="Times New Roman" w:eastAsia="仿宋_GB2312" w:cs="Times New Roman"/>
          <w:color w:val="auto"/>
          <w:sz w:val="32"/>
          <w:szCs w:val="32"/>
          <w:highlight w:val="none"/>
          <w:lang w:val="zh-CN" w:eastAsia="zh-CN"/>
        </w:rPr>
        <w:t>年度部门</w:t>
      </w:r>
      <w:r>
        <w:rPr>
          <w:rFonts w:hint="eastAsia" w:ascii="Times New Roman" w:hAnsi="Times New Roman" w:eastAsia="仿宋_GB2312" w:cs="Times New Roman"/>
          <w:color w:val="auto"/>
          <w:sz w:val="32"/>
          <w:szCs w:val="32"/>
          <w:highlight w:val="none"/>
          <w:lang w:val="en-US" w:eastAsia="zh-CN"/>
        </w:rPr>
        <w:t xml:space="preserve"> 脱贫攻坚专项资金</w:t>
      </w:r>
      <w:r>
        <w:rPr>
          <w:rFonts w:hint="eastAsia" w:ascii="Times New Roman" w:hAnsi="Times New Roman" w:eastAsia="仿宋_GB2312" w:cs="Times New Roman"/>
          <w:color w:val="auto"/>
          <w:sz w:val="32"/>
          <w:szCs w:val="32"/>
          <w:highlight w:val="none"/>
          <w:lang w:val="zh-CN" w:eastAsia="zh-CN"/>
        </w:rPr>
        <w:t>支出绩效评价指标体系对我单位预算编制、预算执行、完成结果、信息公开、整改反馈等方面进行了自评，最终得分</w:t>
      </w:r>
      <w:r>
        <w:rPr>
          <w:rFonts w:hint="eastAsia" w:ascii="Times New Roman" w:hAnsi="Times New Roman" w:eastAsia="仿宋_GB2312" w:cs="Times New Roman"/>
          <w:color w:val="auto"/>
          <w:sz w:val="32"/>
          <w:szCs w:val="32"/>
          <w:highlight w:val="none"/>
          <w:lang w:val="en-US" w:eastAsia="zh-CN"/>
        </w:rPr>
        <w:t>98.5</w:t>
      </w:r>
      <w:r>
        <w:rPr>
          <w:rFonts w:hint="eastAsia" w:ascii="Times New Roman" w:hAnsi="Times New Roman" w:eastAsia="仿宋_GB2312" w:cs="Times New Roman"/>
          <w:color w:val="auto"/>
          <w:sz w:val="32"/>
          <w:szCs w:val="32"/>
          <w:highlight w:val="none"/>
          <w:lang w:val="zh-CN" w:eastAsia="zh-CN"/>
        </w:rPr>
        <w:t>分</w:t>
      </w:r>
      <w:r>
        <w:rPr>
          <w:rFonts w:hint="eastAsia" w:ascii="Times New Roman" w:hAnsi="Times New Roman" w:eastAsia="仿宋_GB2312" w:cs="Times New Roman"/>
          <w:color w:val="auto"/>
          <w:sz w:val="32"/>
          <w:szCs w:val="32"/>
          <w:highlight w:val="none"/>
          <w:lang w:eastAsia="zh-CN"/>
        </w:rPr>
        <w:t>。绩效自评报告详见附件。</w:t>
      </w:r>
      <w:r>
        <w:rPr>
          <w:rFonts w:ascii="仿宋_GB2312" w:eastAsia="仿宋_GB2312"/>
          <w:b/>
          <w:color w:val="auto"/>
          <w:sz w:val="32"/>
          <w:szCs w:val="32"/>
          <w:highlight w:val="none"/>
        </w:rPr>
        <w:br w:type="page"/>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6" w:lineRule="exact"/>
        <w:jc w:val="center"/>
        <w:textAlignment w:val="auto"/>
        <w:outlineLvl w:val="9"/>
        <w:rPr>
          <w:rFonts w:hint="eastAsia" w:ascii="方正小标宋简体" w:hAnsi="方正小标宋简体" w:eastAsia="方正小标宋简体" w:cs="方正小标宋简体"/>
          <w:color w:val="auto"/>
          <w:sz w:val="44"/>
          <w:szCs w:val="44"/>
          <w:highlight w:val="none"/>
          <w:lang w:eastAsia="zh-CN"/>
        </w:rPr>
      </w:pPr>
      <w:bookmarkStart w:id="80" w:name="_Toc15396613"/>
      <w:bookmarkStart w:id="81" w:name="_Toc15377225"/>
    </w:p>
    <w:p>
      <w:pPr>
        <w:keepNext w:val="0"/>
        <w:keepLines w:val="0"/>
        <w:pageBreakBefore w:val="0"/>
        <w:widowControl w:val="0"/>
        <w:shd w:val="clear"/>
        <w:kinsoku/>
        <w:wordWrap/>
        <w:overflowPunct/>
        <w:topLinePunct w:val="0"/>
        <w:autoSpaceDE/>
        <w:autoSpaceDN/>
        <w:bidi w:val="0"/>
        <w:adjustRightInd/>
        <w:snapToGrid/>
        <w:spacing w:before="0" w:after="0" w:line="576" w:lineRule="exact"/>
        <w:ind w:firstLine="0" w:firstLineChars="0"/>
        <w:jc w:val="center"/>
        <w:textAlignment w:val="auto"/>
        <w:outlineLvl w:val="0"/>
        <w:rPr>
          <w:rFonts w:hint="eastAsia" w:ascii="方正小标宋简体" w:hAnsi="方正小标宋简体" w:eastAsia="方正小标宋简体" w:cs="方正小标宋简体"/>
          <w:b w:val="0"/>
          <w:color w:val="auto"/>
          <w:sz w:val="44"/>
          <w:szCs w:val="44"/>
          <w:highlight w:val="none"/>
        </w:rPr>
      </w:pPr>
      <w:bookmarkStart w:id="82" w:name="_Toc18659"/>
      <w:bookmarkStart w:id="83" w:name="_Toc20837"/>
      <w:bookmarkStart w:id="84" w:name="_Toc10852"/>
      <w:r>
        <w:rPr>
          <w:rFonts w:hint="eastAsia" w:ascii="方正小标宋简体" w:hAnsi="方正小标宋简体" w:eastAsia="方正小标宋简体" w:cs="方正小标宋简体"/>
          <w:b w:val="0"/>
          <w:color w:val="auto"/>
          <w:sz w:val="44"/>
          <w:szCs w:val="44"/>
          <w:highlight w:val="none"/>
          <w:lang w:eastAsia="zh-CN"/>
        </w:rPr>
        <w:t>第三部分</w:t>
      </w:r>
      <w:r>
        <w:rPr>
          <w:rFonts w:hint="eastAsia" w:ascii="方正小标宋简体" w:hAnsi="方正小标宋简体" w:eastAsia="方正小标宋简体" w:cs="方正小标宋简体"/>
          <w:b w:val="0"/>
          <w:color w:val="auto"/>
          <w:sz w:val="44"/>
          <w:szCs w:val="44"/>
          <w:highlight w:val="none"/>
          <w:lang w:val="en-US" w:eastAsia="zh-CN"/>
        </w:rPr>
        <w:t xml:space="preserve">  </w:t>
      </w:r>
      <w:r>
        <w:rPr>
          <w:rFonts w:hint="eastAsia" w:ascii="方正小标宋简体" w:hAnsi="方正小标宋简体" w:eastAsia="方正小标宋简体" w:cs="方正小标宋简体"/>
          <w:b w:val="0"/>
          <w:color w:val="auto"/>
          <w:sz w:val="44"/>
          <w:szCs w:val="44"/>
          <w:highlight w:val="none"/>
        </w:rPr>
        <w:t>名词解释</w:t>
      </w:r>
      <w:bookmarkEnd w:id="80"/>
      <w:bookmarkEnd w:id="81"/>
      <w:bookmarkEnd w:id="82"/>
      <w:bookmarkEnd w:id="83"/>
      <w:bookmarkEnd w:id="84"/>
    </w:p>
    <w:p>
      <w:pPr>
        <w:keepNext w:val="0"/>
        <w:keepLines w:val="0"/>
        <w:pageBreakBefore w:val="0"/>
        <w:widowControl w:val="0"/>
        <w:numPr>
          <w:ilvl w:val="0"/>
          <w:numId w:val="0"/>
        </w:numPr>
        <w:shd w:val="clear"/>
        <w:kinsoku/>
        <w:wordWrap/>
        <w:overflowPunct/>
        <w:topLinePunct w:val="0"/>
        <w:autoSpaceDE/>
        <w:autoSpaceDN/>
        <w:bidi w:val="0"/>
        <w:adjustRightInd/>
        <w:snapToGrid/>
        <w:spacing w:line="576" w:lineRule="exact"/>
        <w:ind w:leftChars="0" w:firstLine="640" w:firstLineChars="200"/>
        <w:jc w:val="both"/>
        <w:textAlignment w:val="auto"/>
        <w:outlineLvl w:val="9"/>
        <w:rPr>
          <w:rFonts w:hint="eastAsia" w:ascii="Times New Roman" w:hAnsi="Times New Roman" w:eastAsia="仿宋_GB2312" w:cs="Times New Roman"/>
          <w:color w:val="auto"/>
          <w:sz w:val="32"/>
          <w:szCs w:val="32"/>
          <w:highlight w:val="none"/>
          <w:lang w:val="zh-CN" w:eastAsia="zh-CN"/>
        </w:rPr>
      </w:pPr>
    </w:p>
    <w:p>
      <w:pPr>
        <w:keepNext w:val="0"/>
        <w:keepLines w:val="0"/>
        <w:pageBreakBefore w:val="0"/>
        <w:widowControl w:val="0"/>
        <w:numPr>
          <w:ilvl w:val="0"/>
          <w:numId w:val="0"/>
        </w:numPr>
        <w:shd w:val="clear"/>
        <w:kinsoku/>
        <w:wordWrap/>
        <w:overflowPunct/>
        <w:topLinePunct w:val="0"/>
        <w:autoSpaceDE/>
        <w:autoSpaceDN/>
        <w:bidi w:val="0"/>
        <w:adjustRightInd/>
        <w:snapToGrid/>
        <w:spacing w:line="576" w:lineRule="exact"/>
        <w:ind w:leftChars="0" w:firstLine="640" w:firstLineChars="200"/>
        <w:jc w:val="both"/>
        <w:textAlignment w:val="auto"/>
        <w:outlineLvl w:val="9"/>
        <w:rPr>
          <w:rFonts w:hint="eastAsia" w:ascii="Times New Roman" w:hAnsi="Times New Roman" w:eastAsia="仿宋_GB2312" w:cs="Times New Roman"/>
          <w:color w:val="auto"/>
          <w:sz w:val="32"/>
          <w:szCs w:val="32"/>
          <w:highlight w:val="none"/>
          <w:lang w:val="zh-CN" w:eastAsia="zh-CN"/>
        </w:rPr>
      </w:pPr>
      <w:bookmarkStart w:id="85" w:name="_Toc15377226"/>
      <w:r>
        <w:rPr>
          <w:rFonts w:hint="eastAsia" w:ascii="黑体" w:hAnsi="黑体" w:eastAsia="黑体" w:cs="黑体"/>
          <w:color w:val="auto"/>
          <w:sz w:val="32"/>
          <w:szCs w:val="32"/>
          <w:highlight w:val="none"/>
          <w:lang w:val="zh-CN" w:eastAsia="zh-CN"/>
        </w:rPr>
        <w:t>一、财政拨款收入：</w:t>
      </w:r>
      <w:r>
        <w:rPr>
          <w:rFonts w:hint="eastAsia" w:ascii="Times New Roman" w:hAnsi="Times New Roman" w:eastAsia="仿宋_GB2312" w:cs="Times New Roman"/>
          <w:color w:val="auto"/>
          <w:sz w:val="32"/>
          <w:szCs w:val="32"/>
          <w:highlight w:val="none"/>
          <w:lang w:val="zh-CN" w:eastAsia="zh-CN"/>
        </w:rPr>
        <w:t>指单位从同级财政部门取得的财政预算资金。</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6" w:lineRule="exact"/>
        <w:ind w:leftChars="0" w:firstLine="640" w:firstLineChars="200"/>
        <w:jc w:val="both"/>
        <w:textAlignment w:val="auto"/>
        <w:outlineLvl w:val="9"/>
        <w:rPr>
          <w:rFonts w:hint="eastAsia" w:ascii="Times New Roman" w:hAnsi="Times New Roman" w:eastAsia="仿宋_GB2312" w:cs="Times New Roman"/>
          <w:color w:val="auto"/>
          <w:sz w:val="32"/>
          <w:szCs w:val="32"/>
          <w:highlight w:val="none"/>
          <w:lang w:val="zh-CN" w:eastAsia="zh-CN"/>
        </w:rPr>
      </w:pPr>
      <w:r>
        <w:rPr>
          <w:rFonts w:hint="eastAsia" w:ascii="黑体" w:hAnsi="黑体" w:eastAsia="黑体" w:cs="黑体"/>
          <w:color w:val="auto"/>
          <w:sz w:val="32"/>
          <w:szCs w:val="32"/>
          <w:highlight w:val="none"/>
          <w:lang w:val="zh-CN" w:eastAsia="zh-CN"/>
        </w:rPr>
        <w:t>二、年初结转和结余：</w:t>
      </w:r>
      <w:r>
        <w:rPr>
          <w:rFonts w:hint="eastAsia" w:ascii="Times New Roman" w:hAnsi="Times New Roman" w:eastAsia="仿宋_GB2312" w:cs="Times New Roman"/>
          <w:color w:val="auto"/>
          <w:sz w:val="32"/>
          <w:szCs w:val="32"/>
          <w:highlight w:val="none"/>
          <w:lang w:val="zh-CN" w:eastAsia="zh-CN"/>
        </w:rPr>
        <w:t xml:space="preserve">指以前年度尚未完成、结转到本年按有关规定继续使用的资金。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6" w:lineRule="exact"/>
        <w:ind w:leftChars="0" w:firstLine="640" w:firstLineChars="200"/>
        <w:jc w:val="both"/>
        <w:textAlignment w:val="auto"/>
        <w:outlineLvl w:val="9"/>
        <w:rPr>
          <w:rFonts w:hint="eastAsia" w:ascii="Times New Roman" w:hAnsi="Times New Roman" w:eastAsia="仿宋_GB2312" w:cs="Times New Roman"/>
          <w:color w:val="auto"/>
          <w:sz w:val="32"/>
          <w:szCs w:val="32"/>
          <w:highlight w:val="none"/>
          <w:lang w:val="zh-CN" w:eastAsia="zh-CN"/>
        </w:rPr>
      </w:pPr>
      <w:r>
        <w:rPr>
          <w:rFonts w:hint="eastAsia" w:ascii="黑体" w:hAnsi="黑体" w:eastAsia="黑体" w:cs="黑体"/>
          <w:color w:val="auto"/>
          <w:sz w:val="32"/>
          <w:szCs w:val="32"/>
          <w:highlight w:val="none"/>
          <w:lang w:val="zh-CN" w:eastAsia="zh-CN"/>
        </w:rPr>
        <w:t>三、年末结转和结余：</w:t>
      </w:r>
      <w:r>
        <w:rPr>
          <w:rFonts w:hint="eastAsia" w:ascii="Times New Roman" w:hAnsi="Times New Roman" w:eastAsia="仿宋_GB2312" w:cs="Times New Roman"/>
          <w:color w:val="auto"/>
          <w:sz w:val="32"/>
          <w:szCs w:val="32"/>
          <w:highlight w:val="none"/>
          <w:lang w:val="zh-CN" w:eastAsia="zh-CN"/>
        </w:rPr>
        <w:t>指单位按有关规定结转到下年或以后年度继续使用的资金。</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6" w:lineRule="exact"/>
        <w:ind w:leftChars="0" w:firstLine="640" w:firstLineChars="200"/>
        <w:jc w:val="both"/>
        <w:textAlignment w:val="auto"/>
        <w:outlineLvl w:val="9"/>
        <w:rPr>
          <w:rFonts w:hint="eastAsia" w:ascii="Times New Roman" w:hAnsi="Times New Roman" w:eastAsia="仿宋_GB2312" w:cs="Times New Roman"/>
          <w:color w:val="auto"/>
          <w:sz w:val="32"/>
          <w:szCs w:val="32"/>
          <w:highlight w:val="none"/>
          <w:lang w:val="zh-CN" w:eastAsia="zh-CN"/>
        </w:rPr>
      </w:pPr>
      <w:r>
        <w:rPr>
          <w:rFonts w:hint="eastAsia" w:ascii="黑体" w:hAnsi="黑体" w:eastAsia="黑体" w:cs="黑体"/>
          <w:color w:val="auto"/>
          <w:sz w:val="32"/>
          <w:szCs w:val="32"/>
          <w:highlight w:val="none"/>
          <w:lang w:val="zh-CN" w:eastAsia="zh-CN"/>
        </w:rPr>
        <w:t>四、一般公共服务（类）政府办公厅（室）及相关机构事务（款）行政运行（项）：</w:t>
      </w:r>
      <w:r>
        <w:rPr>
          <w:rFonts w:hint="eastAsia" w:ascii="Times New Roman" w:hAnsi="Times New Roman" w:eastAsia="仿宋_GB2312" w:cs="Times New Roman"/>
          <w:color w:val="auto"/>
          <w:sz w:val="32"/>
          <w:szCs w:val="32"/>
          <w:highlight w:val="none"/>
          <w:lang w:val="zh-CN" w:eastAsia="zh-CN"/>
        </w:rPr>
        <w:t>指行政单位未单独设置</w:t>
      </w:r>
      <w:r>
        <w:rPr>
          <w:rFonts w:hint="eastAsia" w:eastAsia="仿宋_GB2312" w:cs="Times New Roman"/>
          <w:color w:val="auto"/>
          <w:sz w:val="32"/>
          <w:szCs w:val="32"/>
          <w:highlight w:val="none"/>
          <w:lang w:val="zh-CN" w:eastAsia="zh-CN"/>
        </w:rPr>
        <w:t>的</w:t>
      </w:r>
      <w:r>
        <w:rPr>
          <w:rFonts w:hint="eastAsia" w:ascii="Times New Roman" w:hAnsi="Times New Roman" w:eastAsia="仿宋_GB2312" w:cs="Times New Roman"/>
          <w:color w:val="auto"/>
          <w:sz w:val="32"/>
          <w:szCs w:val="32"/>
          <w:highlight w:val="none"/>
          <w:lang w:val="zh-CN" w:eastAsia="zh-CN"/>
        </w:rPr>
        <w:t>其他</w:t>
      </w:r>
      <w:r>
        <w:rPr>
          <w:rFonts w:hint="eastAsia" w:eastAsia="仿宋_GB2312" w:cs="Times New Roman"/>
          <w:color w:val="auto"/>
          <w:sz w:val="32"/>
          <w:szCs w:val="32"/>
          <w:highlight w:val="none"/>
          <w:lang w:val="zh-CN" w:eastAsia="zh-CN"/>
        </w:rPr>
        <w:t>项目支出</w:t>
      </w:r>
      <w:r>
        <w:rPr>
          <w:rFonts w:hint="eastAsia" w:ascii="Times New Roman" w:hAnsi="Times New Roman" w:eastAsia="仿宋_GB2312" w:cs="Times New Roman"/>
          <w:color w:val="auto"/>
          <w:sz w:val="32"/>
          <w:szCs w:val="32"/>
          <w:highlight w:val="none"/>
          <w:lang w:val="zh-CN" w:eastAsia="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6" w:lineRule="exact"/>
        <w:ind w:leftChars="0" w:firstLine="640" w:firstLineChars="200"/>
        <w:jc w:val="both"/>
        <w:textAlignment w:val="auto"/>
        <w:outlineLvl w:val="9"/>
        <w:rPr>
          <w:rFonts w:hint="eastAsia" w:ascii="Times New Roman" w:hAnsi="Times New Roman" w:eastAsia="仿宋_GB2312" w:cs="Times New Roman"/>
          <w:color w:val="auto"/>
          <w:sz w:val="32"/>
          <w:szCs w:val="32"/>
          <w:highlight w:val="none"/>
          <w:lang w:val="en-US" w:eastAsia="zh-CN"/>
        </w:rPr>
      </w:pPr>
      <w:r>
        <w:rPr>
          <w:rFonts w:hint="eastAsia" w:ascii="黑体" w:hAnsi="黑体" w:eastAsia="黑体" w:cs="黑体"/>
          <w:color w:val="auto"/>
          <w:sz w:val="32"/>
          <w:szCs w:val="32"/>
          <w:highlight w:val="none"/>
          <w:lang w:val="zh-CN" w:eastAsia="zh-CN"/>
        </w:rPr>
        <w:t>五、一般公共服务（类）商贸事务（款）行政运行（项）：</w:t>
      </w:r>
      <w:r>
        <w:rPr>
          <w:rFonts w:hint="eastAsia" w:ascii="Times New Roman" w:hAnsi="Times New Roman" w:eastAsia="仿宋_GB2312" w:cs="Times New Roman"/>
          <w:color w:val="auto"/>
          <w:sz w:val="32"/>
          <w:szCs w:val="32"/>
          <w:highlight w:val="none"/>
          <w:lang w:val="en-US" w:eastAsia="zh-CN"/>
        </w:rPr>
        <w:t>指行政单位基本支出。</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6" w:lineRule="exact"/>
        <w:ind w:leftChars="0" w:firstLine="640" w:firstLineChars="200"/>
        <w:jc w:val="both"/>
        <w:textAlignment w:val="auto"/>
        <w:outlineLvl w:val="9"/>
        <w:rPr>
          <w:rFonts w:hint="eastAsia" w:ascii="Times New Roman" w:hAnsi="Times New Roman" w:eastAsia="仿宋_GB2312" w:cs="Times New Roman"/>
          <w:color w:val="auto"/>
          <w:sz w:val="32"/>
          <w:szCs w:val="32"/>
          <w:highlight w:val="none"/>
          <w:lang w:val="en-US" w:eastAsia="zh-CN"/>
        </w:rPr>
      </w:pPr>
      <w:r>
        <w:rPr>
          <w:rFonts w:hint="eastAsia" w:ascii="黑体" w:hAnsi="黑体" w:eastAsia="黑体" w:cs="黑体"/>
          <w:color w:val="auto"/>
          <w:sz w:val="32"/>
          <w:szCs w:val="32"/>
          <w:highlight w:val="none"/>
          <w:lang w:val="zh-CN" w:eastAsia="zh-CN"/>
        </w:rPr>
        <w:t>六、一般公共服务（类）商贸事务（款）招商引资（项）：</w:t>
      </w:r>
      <w:r>
        <w:rPr>
          <w:rFonts w:hint="eastAsia" w:ascii="Times New Roman" w:hAnsi="Times New Roman" w:eastAsia="仿宋_GB2312" w:cs="Times New Roman"/>
          <w:color w:val="auto"/>
          <w:sz w:val="32"/>
          <w:szCs w:val="32"/>
          <w:highlight w:val="none"/>
          <w:lang w:val="zh-CN" w:eastAsia="zh-CN"/>
        </w:rPr>
        <w:t>指财政部门用于招商引资方面的支出。</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6" w:lineRule="exact"/>
        <w:ind w:leftChars="0" w:firstLine="640" w:firstLineChars="200"/>
        <w:jc w:val="both"/>
        <w:textAlignment w:val="auto"/>
        <w:outlineLvl w:val="9"/>
        <w:rPr>
          <w:rFonts w:hint="eastAsia" w:ascii="Times New Roman" w:hAnsi="Times New Roman" w:eastAsia="仿宋_GB2312" w:cs="Times New Roman"/>
          <w:color w:val="auto"/>
          <w:sz w:val="32"/>
          <w:szCs w:val="32"/>
          <w:highlight w:val="none"/>
          <w:lang w:val="en-US" w:eastAsia="zh-CN"/>
        </w:rPr>
      </w:pPr>
      <w:r>
        <w:rPr>
          <w:rFonts w:hint="eastAsia" w:ascii="黑体" w:hAnsi="黑体" w:eastAsia="黑体" w:cs="黑体"/>
          <w:color w:val="auto"/>
          <w:sz w:val="32"/>
          <w:szCs w:val="32"/>
          <w:highlight w:val="none"/>
          <w:lang w:val="zh-CN" w:eastAsia="zh-CN"/>
        </w:rPr>
        <w:t>七、一般公共服务（类）商贸事务（款）  事业运行（项）：</w:t>
      </w:r>
      <w:r>
        <w:rPr>
          <w:rFonts w:hint="eastAsia" w:ascii="Times New Roman" w:hAnsi="Times New Roman" w:eastAsia="仿宋_GB2312" w:cs="Times New Roman"/>
          <w:color w:val="auto"/>
          <w:sz w:val="32"/>
          <w:szCs w:val="32"/>
          <w:highlight w:val="none"/>
          <w:lang w:val="en-US" w:eastAsia="zh-CN"/>
        </w:rPr>
        <w:t>指</w:t>
      </w:r>
      <w:r>
        <w:rPr>
          <w:rFonts w:hint="eastAsia" w:eastAsia="仿宋_GB2312" w:cs="Times New Roman"/>
          <w:color w:val="auto"/>
          <w:sz w:val="32"/>
          <w:szCs w:val="32"/>
          <w:highlight w:val="none"/>
          <w:lang w:val="en-US" w:eastAsia="zh-CN"/>
        </w:rPr>
        <w:t>事业</w:t>
      </w:r>
      <w:r>
        <w:rPr>
          <w:rFonts w:hint="eastAsia" w:ascii="Times New Roman" w:hAnsi="Times New Roman" w:eastAsia="仿宋_GB2312" w:cs="Times New Roman"/>
          <w:color w:val="auto"/>
          <w:sz w:val="32"/>
          <w:szCs w:val="32"/>
          <w:highlight w:val="none"/>
          <w:lang w:val="en-US" w:eastAsia="zh-CN"/>
        </w:rPr>
        <w:t>单位基本支出。</w:t>
      </w:r>
    </w:p>
    <w:p>
      <w:pPr>
        <w:pStyle w:val="2"/>
        <w:keepNext w:val="0"/>
        <w:keepLines w:val="0"/>
        <w:pageBreakBefore w:val="0"/>
        <w:widowControl w:val="0"/>
        <w:numPr>
          <w:ilvl w:val="0"/>
          <w:numId w:val="0"/>
        </w:numPr>
        <w:shd w:val="clear"/>
        <w:kinsoku/>
        <w:wordWrap/>
        <w:overflowPunct/>
        <w:topLinePunct w:val="0"/>
        <w:autoSpaceDE/>
        <w:autoSpaceDN/>
        <w:bidi w:val="0"/>
        <w:adjustRightInd/>
        <w:snapToGrid/>
        <w:spacing w:line="576" w:lineRule="exact"/>
        <w:ind w:leftChars="0" w:right="0" w:rightChars="0"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eastAsia" w:ascii="黑体" w:hAnsi="黑体" w:eastAsia="黑体" w:cs="黑体"/>
          <w:color w:val="auto"/>
          <w:kern w:val="2"/>
          <w:sz w:val="32"/>
          <w:szCs w:val="32"/>
          <w:highlight w:val="none"/>
          <w:lang w:val="en-US" w:eastAsia="zh-CN" w:bidi="ar-SA"/>
        </w:rPr>
        <w:t>八、一般公共服务（类）其他一般公共服务支出（款）其他一般公共服务支出（项）：</w:t>
      </w:r>
      <w:r>
        <w:rPr>
          <w:rFonts w:hint="eastAsia" w:ascii="Times New Roman" w:hAnsi="Times New Roman" w:eastAsia="仿宋_GB2312" w:cs="Times New Roman"/>
          <w:color w:val="auto"/>
          <w:sz w:val="32"/>
          <w:szCs w:val="32"/>
          <w:highlight w:val="none"/>
          <w:lang w:val="en-US" w:eastAsia="zh-CN"/>
        </w:rPr>
        <w:t>指单位其他一般招商引资费用支出。</w:t>
      </w:r>
    </w:p>
    <w:p>
      <w:pPr>
        <w:pStyle w:val="2"/>
        <w:keepNext w:val="0"/>
        <w:keepLines w:val="0"/>
        <w:pageBreakBefore w:val="0"/>
        <w:widowControl w:val="0"/>
        <w:numPr>
          <w:ilvl w:val="0"/>
          <w:numId w:val="0"/>
        </w:numPr>
        <w:shd w:val="clear"/>
        <w:kinsoku/>
        <w:wordWrap/>
        <w:overflowPunct/>
        <w:topLinePunct w:val="0"/>
        <w:autoSpaceDE/>
        <w:autoSpaceDN/>
        <w:bidi w:val="0"/>
        <w:adjustRightInd/>
        <w:snapToGrid/>
        <w:spacing w:line="576" w:lineRule="exact"/>
        <w:ind w:leftChars="0" w:right="0" w:rightChars="0" w:firstLine="640" w:firstLineChars="200"/>
        <w:jc w:val="both"/>
        <w:textAlignment w:val="auto"/>
        <w:rPr>
          <w:rFonts w:hint="eastAsia" w:ascii="Times New Roman" w:hAnsi="Times New Roman" w:eastAsia="仿宋_GB2312" w:cs="Times New Roman"/>
          <w:color w:val="auto"/>
          <w:sz w:val="32"/>
          <w:szCs w:val="32"/>
          <w:highlight w:val="none"/>
          <w:lang w:val="zh-CN" w:eastAsia="zh-CN"/>
        </w:rPr>
      </w:pPr>
      <w:r>
        <w:rPr>
          <w:rFonts w:hint="eastAsia" w:ascii="黑体" w:hAnsi="黑体" w:eastAsia="黑体" w:cs="黑体"/>
          <w:color w:val="auto"/>
          <w:kern w:val="2"/>
          <w:sz w:val="32"/>
          <w:szCs w:val="32"/>
          <w:highlight w:val="none"/>
          <w:lang w:val="zh-CN" w:eastAsia="zh-CN" w:bidi="ar-SA"/>
        </w:rPr>
        <w:t>九、社会保障和就业（类）行政事业单位养老支出（款）机关事业单位基本养老保险缴费支出（项）：</w:t>
      </w:r>
      <w:r>
        <w:rPr>
          <w:rFonts w:hint="eastAsia" w:ascii="Times New Roman" w:hAnsi="Times New Roman" w:eastAsia="仿宋_GB2312" w:cs="Times New Roman"/>
          <w:color w:val="auto"/>
          <w:sz w:val="32"/>
          <w:szCs w:val="32"/>
          <w:highlight w:val="none"/>
          <w:lang w:val="zh-CN" w:eastAsia="zh-CN"/>
        </w:rPr>
        <w:t>指机关事业单位实施养老制度由单位缴纳的基本养老保险费用支出。</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6" w:lineRule="exact"/>
        <w:ind w:leftChars="0" w:firstLine="640" w:firstLineChars="200"/>
        <w:jc w:val="both"/>
        <w:textAlignment w:val="auto"/>
        <w:outlineLvl w:val="9"/>
        <w:rPr>
          <w:rFonts w:hint="eastAsia" w:ascii="Times New Roman" w:hAnsi="Times New Roman" w:eastAsia="仿宋_GB2312" w:cs="Times New Roman"/>
          <w:color w:val="auto"/>
          <w:sz w:val="32"/>
          <w:szCs w:val="32"/>
          <w:highlight w:val="none"/>
          <w:lang w:val="zh-CN" w:eastAsia="zh-CN"/>
        </w:rPr>
      </w:pPr>
      <w:r>
        <w:rPr>
          <w:rFonts w:hint="eastAsia" w:ascii="黑体" w:hAnsi="黑体" w:eastAsia="黑体" w:cs="黑体"/>
          <w:color w:val="auto"/>
          <w:sz w:val="32"/>
          <w:szCs w:val="32"/>
          <w:highlight w:val="none"/>
          <w:lang w:val="zh-CN" w:eastAsia="zh-CN"/>
        </w:rPr>
        <w:t>十、社会保障和就业（类）行政事业单位养老支出（款）机关事业单位职业年金缴费支出（项）：</w:t>
      </w:r>
      <w:r>
        <w:rPr>
          <w:rFonts w:hint="eastAsia" w:ascii="Times New Roman" w:hAnsi="Times New Roman" w:eastAsia="仿宋_GB2312" w:cs="Times New Roman"/>
          <w:color w:val="auto"/>
          <w:sz w:val="32"/>
          <w:szCs w:val="32"/>
          <w:highlight w:val="none"/>
          <w:lang w:val="zh-CN" w:eastAsia="zh-CN"/>
        </w:rPr>
        <w:t>指机关事业单位用于缴纳职工职业年金的支出。</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6" w:lineRule="exact"/>
        <w:ind w:leftChars="0" w:firstLine="640" w:firstLineChars="200"/>
        <w:jc w:val="both"/>
        <w:textAlignment w:val="auto"/>
        <w:outlineLvl w:val="9"/>
        <w:rPr>
          <w:rFonts w:hint="eastAsia" w:ascii="Times New Roman" w:hAnsi="Times New Roman" w:eastAsia="仿宋_GB2312" w:cs="Times New Roman"/>
          <w:color w:val="auto"/>
          <w:sz w:val="32"/>
          <w:szCs w:val="32"/>
          <w:highlight w:val="none"/>
          <w:lang w:val="zh-CN" w:eastAsia="zh-CN"/>
        </w:rPr>
      </w:pPr>
      <w:r>
        <w:rPr>
          <w:rFonts w:hint="eastAsia" w:ascii="黑体" w:hAnsi="黑体" w:eastAsia="黑体" w:cs="黑体"/>
          <w:color w:val="auto"/>
          <w:sz w:val="32"/>
          <w:szCs w:val="32"/>
          <w:highlight w:val="none"/>
          <w:lang w:val="zh-CN" w:eastAsia="zh-CN"/>
        </w:rPr>
        <w:t>十一、社会保障和就业（类）抚恤（款）死亡抚恤（项）：</w:t>
      </w:r>
      <w:r>
        <w:rPr>
          <w:rFonts w:hint="eastAsia" w:ascii="Times New Roman" w:hAnsi="Times New Roman" w:eastAsia="仿宋_GB2312" w:cs="Times New Roman"/>
          <w:color w:val="auto"/>
          <w:sz w:val="32"/>
          <w:szCs w:val="32"/>
          <w:highlight w:val="none"/>
          <w:lang w:val="zh-CN" w:eastAsia="zh-CN"/>
        </w:rPr>
        <w:t>指用于发放去世职工丧葬和抚恤费用的支出。</w:t>
      </w:r>
    </w:p>
    <w:p>
      <w:pPr>
        <w:pStyle w:val="2"/>
        <w:keepNext w:val="0"/>
        <w:keepLines w:val="0"/>
        <w:pageBreakBefore w:val="0"/>
        <w:widowControl w:val="0"/>
        <w:numPr>
          <w:ilvl w:val="0"/>
          <w:numId w:val="0"/>
        </w:numPr>
        <w:shd w:val="clear"/>
        <w:kinsoku/>
        <w:wordWrap/>
        <w:overflowPunct/>
        <w:topLinePunct w:val="0"/>
        <w:autoSpaceDE/>
        <w:autoSpaceDN/>
        <w:bidi w:val="0"/>
        <w:adjustRightInd/>
        <w:snapToGrid/>
        <w:spacing w:line="576" w:lineRule="exact"/>
        <w:ind w:leftChars="0" w:right="0" w:rightChars="0" w:firstLine="640" w:firstLineChars="200"/>
        <w:jc w:val="both"/>
        <w:textAlignment w:val="auto"/>
        <w:rPr>
          <w:rFonts w:hint="eastAsia" w:ascii="Times New Roman" w:hAnsi="Times New Roman" w:eastAsia="仿宋_GB2312" w:cs="Times New Roman"/>
          <w:color w:val="auto"/>
          <w:sz w:val="32"/>
          <w:szCs w:val="32"/>
          <w:highlight w:val="none"/>
          <w:lang w:val="zh-CN" w:eastAsia="zh-CN"/>
        </w:rPr>
      </w:pPr>
      <w:r>
        <w:rPr>
          <w:rFonts w:hint="eastAsia" w:ascii="黑体" w:hAnsi="黑体" w:eastAsia="黑体" w:cs="黑体"/>
          <w:color w:val="auto"/>
          <w:kern w:val="2"/>
          <w:sz w:val="32"/>
          <w:szCs w:val="32"/>
          <w:highlight w:val="none"/>
          <w:lang w:val="zh-CN" w:eastAsia="zh-CN" w:bidi="ar-SA"/>
        </w:rPr>
        <w:t>十二、社会保障和就业（类）其他社会保障和就业支出（款）其他社会保障和就业支出（项）：</w:t>
      </w:r>
      <w:r>
        <w:rPr>
          <w:rFonts w:hint="eastAsia" w:ascii="Times New Roman" w:hAnsi="Times New Roman" w:eastAsia="仿宋_GB2312" w:cs="Times New Roman"/>
          <w:color w:val="auto"/>
          <w:sz w:val="32"/>
          <w:szCs w:val="32"/>
          <w:highlight w:val="none"/>
          <w:lang w:val="zh-CN" w:eastAsia="zh-CN"/>
        </w:rPr>
        <w:t>指行政事业单位用于其他方面的社会保障支出。</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6" w:lineRule="exact"/>
        <w:ind w:leftChars="0" w:firstLine="640" w:firstLineChars="200"/>
        <w:jc w:val="both"/>
        <w:textAlignment w:val="auto"/>
        <w:outlineLvl w:val="9"/>
        <w:rPr>
          <w:rFonts w:hint="eastAsia" w:ascii="Times New Roman" w:hAnsi="Times New Roman" w:eastAsia="仿宋_GB2312" w:cs="Times New Roman"/>
          <w:color w:val="auto"/>
          <w:sz w:val="32"/>
          <w:szCs w:val="32"/>
          <w:highlight w:val="none"/>
          <w:lang w:val="zh-CN" w:eastAsia="zh-CN"/>
        </w:rPr>
      </w:pPr>
      <w:r>
        <w:rPr>
          <w:rFonts w:hint="eastAsia" w:ascii="黑体" w:hAnsi="黑体" w:eastAsia="黑体" w:cs="黑体"/>
          <w:color w:val="auto"/>
          <w:sz w:val="32"/>
          <w:szCs w:val="32"/>
          <w:highlight w:val="none"/>
          <w:lang w:val="zh-CN" w:eastAsia="zh-CN"/>
        </w:rPr>
        <w:t>十三、卫生健康（类）行政事业单位医疗（款）行政单位医疗（项）：</w:t>
      </w:r>
      <w:r>
        <w:rPr>
          <w:rFonts w:hint="eastAsia" w:ascii="Times New Roman" w:hAnsi="Times New Roman" w:eastAsia="仿宋_GB2312" w:cs="Times New Roman"/>
          <w:color w:val="auto"/>
          <w:sz w:val="32"/>
          <w:szCs w:val="32"/>
          <w:highlight w:val="none"/>
          <w:lang w:val="zh-CN" w:eastAsia="zh-CN"/>
        </w:rPr>
        <w:t>指财政部门集中安排的行政单位基本医疗保险缴费经费。</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6" w:lineRule="exact"/>
        <w:ind w:leftChars="0" w:firstLine="640" w:firstLineChars="200"/>
        <w:jc w:val="both"/>
        <w:textAlignment w:val="auto"/>
        <w:outlineLvl w:val="9"/>
        <w:rPr>
          <w:rFonts w:hint="eastAsia" w:ascii="Times New Roman" w:hAnsi="Times New Roman" w:eastAsia="仿宋_GB2312" w:cs="Times New Roman"/>
          <w:color w:val="auto"/>
          <w:sz w:val="32"/>
          <w:szCs w:val="32"/>
          <w:highlight w:val="none"/>
          <w:lang w:val="zh-CN" w:eastAsia="zh-CN"/>
        </w:rPr>
      </w:pPr>
      <w:r>
        <w:rPr>
          <w:rFonts w:hint="eastAsia" w:ascii="黑体" w:hAnsi="黑体" w:eastAsia="黑体" w:cs="黑体"/>
          <w:color w:val="auto"/>
          <w:sz w:val="32"/>
          <w:szCs w:val="32"/>
          <w:highlight w:val="none"/>
          <w:lang w:val="zh-CN" w:eastAsia="zh-CN"/>
        </w:rPr>
        <w:t>十四、住房保障支出（类）住房改革支出（款）住房公积金（项）：</w:t>
      </w:r>
      <w:r>
        <w:rPr>
          <w:rFonts w:hint="eastAsia" w:ascii="Times New Roman" w:hAnsi="Times New Roman" w:eastAsia="仿宋_GB2312" w:cs="Times New Roman"/>
          <w:color w:val="auto"/>
          <w:sz w:val="32"/>
          <w:szCs w:val="32"/>
          <w:highlight w:val="none"/>
          <w:lang w:val="zh-CN" w:eastAsia="zh-CN"/>
        </w:rPr>
        <w:t>指行政事业单位按人力资源和社会保障部、财政部规定的基本工资和津补贴以及规定比例为职工缴纳的住房公积金。</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6" w:lineRule="exact"/>
        <w:ind w:leftChars="0" w:firstLine="640" w:firstLineChars="200"/>
        <w:jc w:val="both"/>
        <w:textAlignment w:val="auto"/>
        <w:outlineLvl w:val="9"/>
        <w:rPr>
          <w:rFonts w:hint="eastAsia" w:ascii="Times New Roman" w:hAnsi="Times New Roman" w:eastAsia="仿宋_GB2312" w:cs="Times New Roman"/>
          <w:color w:val="auto"/>
          <w:sz w:val="32"/>
          <w:szCs w:val="32"/>
          <w:highlight w:val="none"/>
          <w:lang w:val="zh-CN" w:eastAsia="zh-CN"/>
        </w:rPr>
      </w:pPr>
      <w:r>
        <w:rPr>
          <w:rFonts w:hint="eastAsia" w:ascii="黑体" w:hAnsi="黑体" w:eastAsia="黑体" w:cs="黑体"/>
          <w:color w:val="auto"/>
          <w:sz w:val="32"/>
          <w:szCs w:val="32"/>
          <w:highlight w:val="none"/>
          <w:lang w:val="zh-CN" w:eastAsia="zh-CN"/>
        </w:rPr>
        <w:t>十五、基本支出：</w:t>
      </w:r>
      <w:r>
        <w:rPr>
          <w:rFonts w:hint="eastAsia" w:ascii="Times New Roman" w:hAnsi="Times New Roman" w:eastAsia="仿宋_GB2312" w:cs="Times New Roman"/>
          <w:color w:val="auto"/>
          <w:sz w:val="32"/>
          <w:szCs w:val="32"/>
          <w:highlight w:val="none"/>
          <w:lang w:val="zh-CN" w:eastAsia="zh-CN"/>
        </w:rPr>
        <w:t>指为保障机构正常运转、完成日常工作任务而发生的人员支出和公用支出。</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6" w:lineRule="exact"/>
        <w:ind w:leftChars="0" w:firstLine="640" w:firstLineChars="200"/>
        <w:jc w:val="both"/>
        <w:textAlignment w:val="auto"/>
        <w:outlineLvl w:val="9"/>
        <w:rPr>
          <w:rFonts w:hint="eastAsia" w:ascii="Times New Roman" w:hAnsi="Times New Roman" w:eastAsia="仿宋_GB2312" w:cs="Times New Roman"/>
          <w:color w:val="auto"/>
          <w:sz w:val="32"/>
          <w:szCs w:val="32"/>
          <w:highlight w:val="none"/>
          <w:lang w:val="zh-CN" w:eastAsia="zh-CN"/>
        </w:rPr>
      </w:pPr>
      <w:r>
        <w:rPr>
          <w:rFonts w:hint="eastAsia" w:ascii="黑体" w:hAnsi="黑体" w:eastAsia="黑体" w:cs="黑体"/>
          <w:color w:val="auto"/>
          <w:sz w:val="32"/>
          <w:szCs w:val="32"/>
          <w:highlight w:val="none"/>
          <w:lang w:val="zh-CN" w:eastAsia="zh-CN"/>
        </w:rPr>
        <w:t>十六、项目支出：</w:t>
      </w:r>
      <w:r>
        <w:rPr>
          <w:rFonts w:hint="eastAsia" w:ascii="Times New Roman" w:hAnsi="Times New Roman" w:eastAsia="仿宋_GB2312" w:cs="Times New Roman"/>
          <w:color w:val="auto"/>
          <w:sz w:val="32"/>
          <w:szCs w:val="32"/>
          <w:highlight w:val="none"/>
          <w:lang w:val="zh-CN" w:eastAsia="zh-CN"/>
        </w:rPr>
        <w:t>指在基本支出之外为完成特定行政任务和事业发展目标所发生的支出。</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6" w:lineRule="exact"/>
        <w:ind w:leftChars="0" w:firstLine="640" w:firstLineChars="200"/>
        <w:jc w:val="both"/>
        <w:textAlignment w:val="auto"/>
        <w:outlineLvl w:val="9"/>
        <w:rPr>
          <w:rFonts w:hint="eastAsia" w:ascii="Times New Roman" w:hAnsi="Times New Roman" w:eastAsia="仿宋_GB2312" w:cs="Times New Roman"/>
          <w:color w:val="auto"/>
          <w:sz w:val="32"/>
          <w:szCs w:val="32"/>
          <w:highlight w:val="none"/>
          <w:lang w:val="zh-CN" w:eastAsia="zh-CN"/>
        </w:rPr>
      </w:pPr>
      <w:r>
        <w:rPr>
          <w:rFonts w:hint="eastAsia" w:ascii="黑体" w:hAnsi="黑体" w:eastAsia="黑体" w:cs="黑体"/>
          <w:color w:val="auto"/>
          <w:sz w:val="32"/>
          <w:szCs w:val="32"/>
          <w:highlight w:val="none"/>
          <w:lang w:val="zh-CN" w:eastAsia="zh-CN"/>
        </w:rPr>
        <w:t>十七、“三公”经费：</w:t>
      </w:r>
      <w:r>
        <w:rPr>
          <w:rFonts w:hint="eastAsia" w:ascii="Times New Roman" w:hAnsi="Times New Roman" w:eastAsia="仿宋_GB2312" w:cs="Times New Roman"/>
          <w:color w:val="auto"/>
          <w:sz w:val="32"/>
          <w:szCs w:val="32"/>
          <w:highlight w:val="none"/>
          <w:lang w:val="zh-CN" w:eastAsia="zh-CN"/>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6" w:lineRule="exact"/>
        <w:ind w:leftChars="0" w:firstLine="640" w:firstLineChars="200"/>
        <w:jc w:val="both"/>
        <w:textAlignment w:val="auto"/>
        <w:outlineLvl w:val="9"/>
        <w:rPr>
          <w:rFonts w:hint="eastAsia" w:ascii="Times New Roman" w:hAnsi="Times New Roman" w:eastAsia="仿宋_GB2312" w:cs="Times New Roman"/>
          <w:color w:val="auto"/>
          <w:sz w:val="32"/>
          <w:szCs w:val="32"/>
          <w:highlight w:val="none"/>
          <w:lang w:val="zh-CN" w:eastAsia="zh-CN"/>
        </w:rPr>
      </w:pPr>
      <w:r>
        <w:rPr>
          <w:rFonts w:hint="eastAsia" w:ascii="黑体" w:hAnsi="黑体" w:eastAsia="黑体" w:cs="黑体"/>
          <w:color w:val="auto"/>
          <w:sz w:val="32"/>
          <w:szCs w:val="32"/>
          <w:highlight w:val="none"/>
          <w:lang w:val="zh-CN" w:eastAsia="zh-CN"/>
        </w:rPr>
        <w:t>十八、机关运行经费：</w:t>
      </w:r>
      <w:r>
        <w:rPr>
          <w:rFonts w:hint="eastAsia" w:ascii="Times New Roman" w:hAnsi="Times New Roman" w:eastAsia="仿宋_GB2312" w:cs="Times New Roman"/>
          <w:color w:val="auto"/>
          <w:sz w:val="32"/>
          <w:szCs w:val="32"/>
          <w:highlight w:val="none"/>
          <w:lang w:val="zh-CN" w:eastAsia="zh-CN"/>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shd w:val="clear"/>
        <w:kinsoku/>
        <w:wordWrap/>
        <w:overflowPunct/>
        <w:topLinePunct w:val="0"/>
        <w:autoSpaceDE/>
        <w:autoSpaceDN/>
        <w:bidi w:val="0"/>
        <w:spacing w:line="600" w:lineRule="exact"/>
        <w:jc w:val="both"/>
        <w:outlineLvl w:val="9"/>
        <w:rPr>
          <w:rFonts w:ascii="宋体"/>
          <w:b/>
          <w:color w:val="auto"/>
          <w:sz w:val="44"/>
          <w:szCs w:val="44"/>
          <w:highlight w:val="none"/>
        </w:rPr>
      </w:pPr>
      <w:r>
        <w:rPr>
          <w:rFonts w:ascii="宋体"/>
          <w:b/>
          <w:color w:val="auto"/>
          <w:sz w:val="44"/>
          <w:szCs w:val="44"/>
          <w:highlight w:val="none"/>
        </w:rPr>
        <w:br w:type="page"/>
      </w:r>
      <w:bookmarkStart w:id="86" w:name="_Toc15396614"/>
    </w:p>
    <w:p>
      <w:pPr>
        <w:keepNext w:val="0"/>
        <w:keepLines w:val="0"/>
        <w:pageBreakBefore w:val="0"/>
        <w:shd w:val="clear"/>
        <w:kinsoku/>
        <w:wordWrap/>
        <w:overflowPunct/>
        <w:topLinePunct w:val="0"/>
        <w:autoSpaceDE/>
        <w:autoSpaceDN/>
        <w:bidi w:val="0"/>
        <w:spacing w:line="600" w:lineRule="exact"/>
        <w:jc w:val="both"/>
        <w:outlineLvl w:val="9"/>
        <w:rPr>
          <w:rFonts w:ascii="宋体"/>
          <w:b/>
          <w:color w:val="auto"/>
          <w:sz w:val="44"/>
          <w:szCs w:val="44"/>
          <w:highlight w:val="none"/>
        </w:rPr>
      </w:pPr>
    </w:p>
    <w:p>
      <w:pPr>
        <w:keepNext w:val="0"/>
        <w:keepLines w:val="0"/>
        <w:pageBreakBefore w:val="0"/>
        <w:widowControl w:val="0"/>
        <w:shd w:val="clear"/>
        <w:kinsoku/>
        <w:wordWrap/>
        <w:overflowPunct/>
        <w:topLinePunct w:val="0"/>
        <w:autoSpaceDE/>
        <w:autoSpaceDN/>
        <w:bidi w:val="0"/>
        <w:adjustRightInd/>
        <w:snapToGrid/>
        <w:spacing w:before="0" w:after="0" w:line="576" w:lineRule="exact"/>
        <w:ind w:firstLine="0" w:firstLineChars="0"/>
        <w:jc w:val="center"/>
        <w:textAlignment w:val="auto"/>
        <w:outlineLvl w:val="0"/>
        <w:rPr>
          <w:rFonts w:hint="eastAsia" w:ascii="方正小标宋简体" w:hAnsi="方正小标宋简体" w:eastAsia="方正小标宋简体" w:cs="方正小标宋简体"/>
          <w:b w:val="0"/>
          <w:color w:val="auto"/>
          <w:sz w:val="44"/>
          <w:szCs w:val="44"/>
          <w:highlight w:val="none"/>
        </w:rPr>
      </w:pPr>
      <w:bookmarkStart w:id="87" w:name="_Toc21794"/>
      <w:bookmarkStart w:id="88" w:name="_Toc12679"/>
      <w:bookmarkStart w:id="89" w:name="_Toc25662"/>
      <w:r>
        <w:rPr>
          <w:rFonts w:hint="eastAsia" w:ascii="方正小标宋简体" w:hAnsi="方正小标宋简体" w:eastAsia="方正小标宋简体" w:cs="方正小标宋简体"/>
          <w:b w:val="0"/>
          <w:color w:val="auto"/>
          <w:sz w:val="44"/>
          <w:szCs w:val="44"/>
          <w:highlight w:val="none"/>
        </w:rPr>
        <w:t xml:space="preserve">第四部分 </w:t>
      </w:r>
      <w:r>
        <w:rPr>
          <w:rFonts w:hint="eastAsia" w:ascii="方正小标宋简体" w:hAnsi="方正小标宋简体" w:eastAsia="方正小标宋简体" w:cs="方正小标宋简体"/>
          <w:b w:val="0"/>
          <w:color w:val="auto"/>
          <w:sz w:val="44"/>
          <w:szCs w:val="44"/>
          <w:highlight w:val="none"/>
          <w:lang w:val="en-US" w:eastAsia="zh-CN"/>
        </w:rPr>
        <w:t xml:space="preserve"> </w:t>
      </w:r>
      <w:r>
        <w:rPr>
          <w:rFonts w:hint="eastAsia" w:ascii="方正小标宋简体" w:hAnsi="方正小标宋简体" w:eastAsia="方正小标宋简体" w:cs="方正小标宋简体"/>
          <w:b w:val="0"/>
          <w:color w:val="auto"/>
          <w:sz w:val="44"/>
          <w:szCs w:val="44"/>
          <w:highlight w:val="none"/>
        </w:rPr>
        <w:t>附件</w:t>
      </w:r>
      <w:bookmarkEnd w:id="86"/>
      <w:bookmarkEnd w:id="87"/>
      <w:bookmarkEnd w:id="88"/>
      <w:bookmarkEnd w:id="89"/>
    </w:p>
    <w:p>
      <w:pPr>
        <w:pStyle w:val="2"/>
        <w:keepNext w:val="0"/>
        <w:keepLines w:val="0"/>
        <w:pageBreakBefore w:val="0"/>
        <w:shd w:val="clear"/>
        <w:kinsoku/>
        <w:wordWrap/>
        <w:overflowPunct/>
        <w:topLinePunct w:val="0"/>
        <w:autoSpaceDE/>
        <w:autoSpaceDN/>
        <w:bidi w:val="0"/>
        <w:outlineLvl w:val="9"/>
        <w:rPr>
          <w:color w:val="auto"/>
          <w:highlight w:val="none"/>
        </w:rPr>
      </w:pPr>
    </w:p>
    <w:p>
      <w:pPr>
        <w:keepNext w:val="0"/>
        <w:keepLines w:val="0"/>
        <w:pageBreakBefore w:val="0"/>
        <w:widowControl/>
        <w:shd w:val="clear"/>
        <w:kinsoku/>
        <w:wordWrap/>
        <w:overflowPunct/>
        <w:topLinePunct w:val="0"/>
        <w:autoSpaceDE/>
        <w:autoSpaceDN/>
        <w:bidi w:val="0"/>
        <w:adjustRightInd/>
        <w:snapToGrid/>
        <w:spacing w:line="700" w:lineRule="exact"/>
        <w:contextualSpacing/>
        <w:jc w:val="center"/>
        <w:textAlignment w:val="auto"/>
        <w:outlineLvl w:val="9"/>
        <w:rPr>
          <w:rFonts w:hint="eastAsia" w:ascii="宋体" w:hAnsi="宋体" w:eastAsia="方正小标宋简体" w:cs="方正小标宋简体"/>
          <w:b w:val="0"/>
          <w:bCs w:val="0"/>
          <w:color w:val="auto"/>
          <w:sz w:val="44"/>
          <w:szCs w:val="44"/>
          <w:highlight w:val="none"/>
          <w:shd w:val="clear" w:color="auto" w:fill="FFFFFF"/>
          <w:lang w:eastAsia="zh-CN"/>
        </w:rPr>
      </w:pPr>
      <w:r>
        <w:rPr>
          <w:rFonts w:hint="eastAsia" w:ascii="宋体" w:hAnsi="宋体" w:eastAsia="方正小标宋简体" w:cs="方正小标宋简体"/>
          <w:b w:val="0"/>
          <w:bCs w:val="0"/>
          <w:color w:val="auto"/>
          <w:sz w:val="44"/>
          <w:szCs w:val="44"/>
          <w:highlight w:val="none"/>
          <w:shd w:val="clear" w:color="auto" w:fill="FFFFFF"/>
          <w:lang w:eastAsia="zh-CN"/>
        </w:rPr>
        <w:t>广元市经济合作和外事局</w:t>
      </w:r>
    </w:p>
    <w:p>
      <w:pPr>
        <w:keepNext w:val="0"/>
        <w:keepLines w:val="0"/>
        <w:pageBreakBefore w:val="0"/>
        <w:widowControl/>
        <w:shd w:val="clear"/>
        <w:kinsoku/>
        <w:wordWrap/>
        <w:overflowPunct/>
        <w:topLinePunct w:val="0"/>
        <w:autoSpaceDE/>
        <w:autoSpaceDN/>
        <w:bidi w:val="0"/>
        <w:adjustRightInd/>
        <w:snapToGrid/>
        <w:spacing w:line="700" w:lineRule="exact"/>
        <w:contextualSpacing/>
        <w:jc w:val="center"/>
        <w:textAlignment w:val="auto"/>
        <w:outlineLvl w:val="9"/>
        <w:rPr>
          <w:rFonts w:hint="eastAsia" w:ascii="宋体" w:hAnsi="宋体" w:eastAsia="方正小标宋简体" w:cs="方正小标宋简体"/>
          <w:b w:val="0"/>
          <w:bCs w:val="0"/>
          <w:color w:val="auto"/>
          <w:sz w:val="44"/>
          <w:szCs w:val="44"/>
          <w:highlight w:val="none"/>
          <w:shd w:val="clear" w:color="auto" w:fill="FFFFFF"/>
          <w:lang w:val="en-US" w:eastAsia="zh-CN"/>
        </w:rPr>
      </w:pPr>
      <w:r>
        <w:rPr>
          <w:rFonts w:hint="eastAsia" w:ascii="宋体" w:hAnsi="宋体" w:eastAsia="方正小标宋简体" w:cs="方正小标宋简体"/>
          <w:b w:val="0"/>
          <w:bCs w:val="0"/>
          <w:color w:val="auto"/>
          <w:sz w:val="44"/>
          <w:szCs w:val="44"/>
          <w:highlight w:val="none"/>
          <w:shd w:val="clear" w:color="auto" w:fill="FFFFFF"/>
          <w:lang w:eastAsia="zh-CN"/>
        </w:rPr>
        <w:t>关于</w:t>
      </w:r>
      <w:r>
        <w:rPr>
          <w:rFonts w:hint="eastAsia" w:ascii="方正小标宋简体" w:hAnsi="方正小标宋简体" w:eastAsia="方正小标宋简体" w:cs="方正小标宋简体"/>
          <w:b w:val="0"/>
          <w:bCs w:val="0"/>
          <w:color w:val="auto"/>
          <w:sz w:val="44"/>
          <w:szCs w:val="44"/>
          <w:highlight w:val="none"/>
          <w:shd w:val="clear" w:color="auto" w:fill="FFFFFF"/>
          <w:lang w:val="en-US" w:eastAsia="zh-CN"/>
        </w:rPr>
        <w:t>2022</w:t>
      </w:r>
      <w:r>
        <w:rPr>
          <w:rFonts w:hint="eastAsia" w:ascii="宋体" w:hAnsi="宋体" w:eastAsia="方正小标宋简体" w:cs="方正小标宋简体"/>
          <w:b w:val="0"/>
          <w:bCs w:val="0"/>
          <w:color w:val="auto"/>
          <w:sz w:val="44"/>
          <w:szCs w:val="44"/>
          <w:highlight w:val="none"/>
          <w:shd w:val="clear" w:color="auto" w:fill="FFFFFF"/>
          <w:lang w:val="en-US" w:eastAsia="zh-CN"/>
        </w:rPr>
        <w:t>年部门整体支出绩效自评的报告</w:t>
      </w:r>
    </w:p>
    <w:p>
      <w:pPr>
        <w:keepNext w:val="0"/>
        <w:keepLines w:val="0"/>
        <w:pageBreakBefore w:val="0"/>
        <w:widowControl/>
        <w:shd w:val="clear"/>
        <w:kinsoku/>
        <w:wordWrap/>
        <w:overflowPunct/>
        <w:topLinePunct w:val="0"/>
        <w:autoSpaceDE/>
        <w:autoSpaceDN/>
        <w:bidi w:val="0"/>
        <w:spacing w:line="576" w:lineRule="exact"/>
        <w:contextualSpacing/>
        <w:jc w:val="center"/>
        <w:textAlignment w:val="auto"/>
        <w:outlineLvl w:val="9"/>
        <w:rPr>
          <w:rFonts w:hint="default" w:ascii="宋体" w:hAnsi="宋体" w:eastAsia="方正小标宋简体" w:cs="方正小标宋简体"/>
          <w:b w:val="0"/>
          <w:bCs w:val="0"/>
          <w:color w:val="auto"/>
          <w:sz w:val="44"/>
          <w:szCs w:val="44"/>
          <w:highlight w:val="none"/>
          <w:shd w:val="clear" w:color="auto" w:fill="FFFFFF"/>
          <w:lang w:val="en-US" w:eastAsia="zh-CN"/>
        </w:rPr>
      </w:pPr>
    </w:p>
    <w:p>
      <w:pPr>
        <w:pStyle w:val="37"/>
        <w:keepNext w:val="0"/>
        <w:keepLines w:val="0"/>
        <w:pageBreakBefore w:val="0"/>
        <w:widowControl/>
        <w:shd w:val="clear"/>
        <w:kinsoku/>
        <w:wordWrap/>
        <w:overflowPunct/>
        <w:topLinePunct w:val="0"/>
        <w:autoSpaceDE/>
        <w:autoSpaceDN/>
        <w:bidi w:val="0"/>
        <w:spacing w:line="576" w:lineRule="exact"/>
        <w:ind w:firstLine="640" w:firstLineChars="200"/>
        <w:jc w:val="both"/>
        <w:textAlignment w:val="auto"/>
        <w:outlineLvl w:val="9"/>
        <w:rPr>
          <w:rFonts w:ascii="宋体" w:hAnsi="宋体" w:eastAsia="黑体" w:cs="宋体"/>
          <w:b w:val="0"/>
          <w:bCs w:val="0"/>
          <w:color w:val="auto"/>
          <w:kern w:val="0"/>
          <w:sz w:val="24"/>
          <w:szCs w:val="32"/>
          <w:highlight w:val="none"/>
          <w:shd w:val="clear" w:color="auto" w:fill="FFFFFF"/>
        </w:rPr>
      </w:pPr>
      <w:r>
        <w:rPr>
          <w:rFonts w:hint="eastAsia" w:ascii="宋体" w:hAnsi="宋体" w:eastAsia="仿宋_GB2312" w:cs="仿宋_GB2312"/>
          <w:color w:val="auto"/>
          <w:kern w:val="0"/>
          <w:sz w:val="32"/>
          <w:szCs w:val="32"/>
          <w:highlight w:val="none"/>
          <w:lang w:val="en-US" w:eastAsia="zh-CN" w:bidi="ar-SA"/>
        </w:rPr>
        <w:t>按照市财政局《关于开展2022年市级部门绩效自评工作的通知》（广财绩</w:t>
      </w:r>
      <w:r>
        <w:rPr>
          <w:rFonts w:hint="eastAsia" w:ascii="宋体" w:hAnsi="宋体" w:eastAsia="仿宋_GB2312" w:cs="仿宋_GB2312"/>
          <w:color w:val="auto"/>
          <w:kern w:val="0"/>
          <w:sz w:val="32"/>
          <w:szCs w:val="32"/>
          <w:highlight w:val="none"/>
          <w:lang w:val="zh-CN" w:eastAsia="zh-CN" w:bidi="ar-SA"/>
        </w:rPr>
        <w:t>〔202</w:t>
      </w:r>
      <w:r>
        <w:rPr>
          <w:rFonts w:hint="eastAsia" w:ascii="宋体" w:hAnsi="宋体" w:eastAsia="仿宋_GB2312" w:cs="仿宋_GB2312"/>
          <w:color w:val="auto"/>
          <w:kern w:val="0"/>
          <w:sz w:val="32"/>
          <w:szCs w:val="32"/>
          <w:highlight w:val="none"/>
          <w:lang w:val="en-US" w:eastAsia="zh-CN" w:bidi="ar-SA"/>
        </w:rPr>
        <w:t>3</w:t>
      </w:r>
      <w:r>
        <w:rPr>
          <w:rFonts w:hint="eastAsia" w:ascii="宋体" w:hAnsi="宋体" w:eastAsia="仿宋_GB2312" w:cs="仿宋_GB2312"/>
          <w:color w:val="auto"/>
          <w:kern w:val="0"/>
          <w:sz w:val="32"/>
          <w:szCs w:val="32"/>
          <w:highlight w:val="none"/>
          <w:lang w:val="zh-CN" w:eastAsia="zh-CN" w:bidi="ar-SA"/>
        </w:rPr>
        <w:t>〕</w:t>
      </w:r>
      <w:r>
        <w:rPr>
          <w:rFonts w:hint="eastAsia" w:ascii="宋体" w:hAnsi="宋体" w:eastAsia="仿宋_GB2312" w:cs="仿宋_GB2312"/>
          <w:color w:val="auto"/>
          <w:kern w:val="0"/>
          <w:sz w:val="32"/>
          <w:szCs w:val="32"/>
          <w:highlight w:val="none"/>
          <w:lang w:val="en-US" w:eastAsia="zh-CN" w:bidi="ar-SA"/>
        </w:rPr>
        <w:t>5</w:t>
      </w:r>
      <w:r>
        <w:rPr>
          <w:rFonts w:hint="eastAsia" w:ascii="宋体" w:hAnsi="宋体" w:eastAsia="仿宋_GB2312" w:cs="仿宋_GB2312"/>
          <w:color w:val="auto"/>
          <w:kern w:val="0"/>
          <w:sz w:val="32"/>
          <w:szCs w:val="32"/>
          <w:highlight w:val="none"/>
          <w:lang w:val="zh-CN" w:eastAsia="zh-CN" w:bidi="ar-SA"/>
        </w:rPr>
        <w:t>号</w:t>
      </w:r>
      <w:r>
        <w:rPr>
          <w:rFonts w:hint="eastAsia" w:ascii="宋体" w:hAnsi="宋体" w:eastAsia="仿宋_GB2312" w:cs="仿宋_GB2312"/>
          <w:color w:val="auto"/>
          <w:kern w:val="0"/>
          <w:sz w:val="32"/>
          <w:szCs w:val="32"/>
          <w:highlight w:val="none"/>
          <w:lang w:val="en-US" w:eastAsia="zh-CN" w:bidi="ar-SA"/>
        </w:rPr>
        <w:t>）文件精神和要求，我局结合单位财务管理实际，认真开展了2022年市级部门专项支出绩效评价工作，现将我单位整体支出绩效自评工作报告如下：</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黑体" w:hAnsi="黑体" w:eastAsia="黑体" w:cs="黑体"/>
          <w:color w:val="auto"/>
          <w:kern w:val="0"/>
          <w:sz w:val="32"/>
          <w:szCs w:val="32"/>
          <w:highlight w:val="none"/>
          <w:lang w:val="zh-CN" w:eastAsia="zh-CN" w:bidi="ar-SA"/>
        </w:rPr>
      </w:pPr>
      <w:r>
        <w:rPr>
          <w:rFonts w:hint="eastAsia" w:ascii="黑体" w:hAnsi="黑体" w:eastAsia="黑体" w:cs="黑体"/>
          <w:color w:val="auto"/>
          <w:kern w:val="0"/>
          <w:sz w:val="32"/>
          <w:szCs w:val="32"/>
          <w:highlight w:val="none"/>
          <w:lang w:val="zh-CN" w:eastAsia="zh-CN" w:bidi="ar-SA"/>
        </w:rPr>
        <w:t>一、部门（单位）基本情况</w:t>
      </w:r>
    </w:p>
    <w:p>
      <w:pPr>
        <w:keepNext w:val="0"/>
        <w:keepLines w:val="0"/>
        <w:pageBreakBefore w:val="0"/>
        <w:widowControl/>
        <w:numPr>
          <w:ilvl w:val="0"/>
          <w:numId w:val="1"/>
        </w:numPr>
        <w:shd w:val="clear"/>
        <w:kinsoku/>
        <w:wordWrap/>
        <w:overflowPunct/>
        <w:topLinePunct w:val="0"/>
        <w:autoSpaceDE/>
        <w:autoSpaceDN/>
        <w:bidi w:val="0"/>
        <w:adjustRightInd w:val="0"/>
        <w:snapToGrid w:val="0"/>
        <w:spacing w:line="576" w:lineRule="exact"/>
        <w:ind w:firstLine="640" w:firstLineChars="200"/>
        <w:contextualSpacing/>
        <w:jc w:val="both"/>
        <w:textAlignment w:val="auto"/>
        <w:outlineLvl w:val="9"/>
        <w:rPr>
          <w:rFonts w:hint="eastAsia" w:ascii="宋体" w:hAnsi="宋体" w:eastAsia="楷体_GB2312" w:cs="楷体_GB2312"/>
          <w:b w:val="0"/>
          <w:bCs w:val="0"/>
          <w:color w:val="auto"/>
          <w:kern w:val="0"/>
          <w:sz w:val="32"/>
          <w:szCs w:val="32"/>
          <w:highlight w:val="none"/>
          <w:shd w:val="clear" w:color="auto" w:fill="FFFFFF"/>
          <w:lang w:val="zh-CN"/>
        </w:rPr>
      </w:pPr>
      <w:r>
        <w:rPr>
          <w:rFonts w:hint="eastAsia" w:ascii="宋体" w:hAnsi="宋体" w:eastAsia="楷体_GB2312" w:cs="楷体_GB2312"/>
          <w:b w:val="0"/>
          <w:bCs w:val="0"/>
          <w:color w:val="auto"/>
          <w:kern w:val="0"/>
          <w:sz w:val="32"/>
          <w:szCs w:val="32"/>
          <w:highlight w:val="none"/>
          <w:shd w:val="clear" w:color="auto" w:fill="FFFFFF"/>
          <w:lang w:val="zh-CN"/>
        </w:rPr>
        <w:t>机构组成</w:t>
      </w:r>
    </w:p>
    <w:p>
      <w:pPr>
        <w:keepNext w:val="0"/>
        <w:keepLines w:val="0"/>
        <w:pageBreakBefore w:val="0"/>
        <w:widowControl w:val="0"/>
        <w:shd w:val="clear"/>
        <w:kinsoku/>
        <w:wordWrap/>
        <w:overflowPunct/>
        <w:topLinePunct w:val="0"/>
        <w:autoSpaceDE/>
        <w:autoSpaceDN/>
        <w:bidi w:val="0"/>
        <w:adjustRightInd w:val="0"/>
        <w:snapToGrid w:val="0"/>
        <w:spacing w:line="576" w:lineRule="exact"/>
        <w:ind w:firstLine="640" w:firstLineChars="200"/>
        <w:contextualSpacing/>
        <w:jc w:val="both"/>
        <w:textAlignment w:val="auto"/>
        <w:outlineLvl w:val="9"/>
        <w:rPr>
          <w:rFonts w:hint="eastAsia" w:ascii="宋体" w:hAnsi="宋体" w:eastAsia="仿宋_GB2312" w:cs="Times New Roman"/>
          <w:bCs/>
          <w:color w:val="auto"/>
          <w:kern w:val="0"/>
          <w:sz w:val="32"/>
          <w:szCs w:val="32"/>
          <w:highlight w:val="none"/>
          <w:lang w:val="zh-CN" w:eastAsia="zh-CN" w:bidi="ar-SA"/>
        </w:rPr>
      </w:pPr>
      <w:r>
        <w:rPr>
          <w:rFonts w:hint="eastAsia" w:ascii="宋体" w:hAnsi="宋体" w:eastAsia="仿宋_GB2312" w:cs="Times New Roman"/>
          <w:bCs/>
          <w:color w:val="auto"/>
          <w:kern w:val="0"/>
          <w:sz w:val="32"/>
          <w:szCs w:val="32"/>
          <w:highlight w:val="none"/>
          <w:lang w:val="zh-CN" w:eastAsia="zh-CN" w:bidi="ar-SA"/>
        </w:rPr>
        <w:t>我单位为市政府组成部门，挂市港澳事务办公室牌子，代管市人民对外友好协会机关。市委外事工作委员会办公室、市投资促进委员会办公室（无编制）设在我局。局机关设办公室、投资促进一科、投资促进二科、投资促进三科、区域合作科、国际合作科（外资管理科）、项目管理科、外事和港澳科、人事科</w:t>
      </w:r>
      <w:r>
        <w:rPr>
          <w:rFonts w:hint="eastAsia" w:ascii="宋体" w:hAnsi="宋体" w:eastAsia="仿宋_GB2312" w:cs="Times New Roman"/>
          <w:bCs/>
          <w:color w:val="auto"/>
          <w:kern w:val="0"/>
          <w:sz w:val="32"/>
          <w:szCs w:val="32"/>
          <w:highlight w:val="none"/>
          <w:lang w:val="en-US" w:eastAsia="zh-CN" w:bidi="ar-SA"/>
        </w:rPr>
        <w:t>9个科室；下设其他事业单位4个，分别是市经济合作服务中心、市招商中心、市外事和港澳服务中心、市人民对外友好协会机关；驻外机构8个，分别是成都分局、北京分局、浙江分局、江苏分局、广东分局、福建分局、山东分局、直属（重庆）分局。</w:t>
      </w:r>
    </w:p>
    <w:p>
      <w:pPr>
        <w:keepNext w:val="0"/>
        <w:keepLines w:val="0"/>
        <w:pageBreakBefore w:val="0"/>
        <w:widowControl/>
        <w:numPr>
          <w:ilvl w:val="0"/>
          <w:numId w:val="1"/>
        </w:numPr>
        <w:shd w:val="clear"/>
        <w:kinsoku/>
        <w:wordWrap/>
        <w:overflowPunct/>
        <w:topLinePunct w:val="0"/>
        <w:autoSpaceDE/>
        <w:autoSpaceDN/>
        <w:bidi w:val="0"/>
        <w:adjustRightInd w:val="0"/>
        <w:snapToGrid w:val="0"/>
        <w:spacing w:line="576" w:lineRule="exact"/>
        <w:ind w:firstLine="640" w:firstLineChars="200"/>
        <w:contextualSpacing/>
        <w:jc w:val="both"/>
        <w:textAlignment w:val="auto"/>
        <w:outlineLvl w:val="9"/>
        <w:rPr>
          <w:rFonts w:hint="eastAsia" w:ascii="宋体" w:hAnsi="宋体" w:eastAsia="楷体_GB2312" w:cs="楷体_GB2312"/>
          <w:b w:val="0"/>
          <w:bCs w:val="0"/>
          <w:color w:val="auto"/>
          <w:kern w:val="0"/>
          <w:sz w:val="32"/>
          <w:szCs w:val="32"/>
          <w:highlight w:val="none"/>
          <w:shd w:val="clear" w:color="auto" w:fill="FFFFFF"/>
          <w:lang w:val="zh-CN"/>
        </w:rPr>
      </w:pPr>
      <w:r>
        <w:rPr>
          <w:rFonts w:hint="eastAsia" w:ascii="宋体" w:hAnsi="宋体" w:eastAsia="楷体_GB2312" w:cs="楷体_GB2312"/>
          <w:b w:val="0"/>
          <w:bCs w:val="0"/>
          <w:color w:val="auto"/>
          <w:kern w:val="0"/>
          <w:sz w:val="32"/>
          <w:szCs w:val="32"/>
          <w:highlight w:val="none"/>
          <w:shd w:val="clear" w:color="auto" w:fill="FFFFFF"/>
          <w:lang w:val="zh-CN"/>
        </w:rPr>
        <w:t>机构职能和人员概况</w:t>
      </w:r>
    </w:p>
    <w:p>
      <w:pPr>
        <w:pStyle w:val="7"/>
        <w:keepNext w:val="0"/>
        <w:keepLines w:val="0"/>
        <w:pageBreakBefore w:val="0"/>
        <w:widowControl w:val="0"/>
        <w:numPr>
          <w:numId w:val="0"/>
        </w:numPr>
        <w:shd w:val="clear"/>
        <w:kinsoku/>
        <w:wordWrap/>
        <w:overflowPunct/>
        <w:topLinePunct w:val="0"/>
        <w:autoSpaceDE/>
        <w:autoSpaceDN/>
        <w:bidi w:val="0"/>
        <w:adjustRightInd w:val="0"/>
        <w:snapToGrid w:val="0"/>
        <w:spacing w:beforeLines="0" w:line="576" w:lineRule="exact"/>
        <w:ind w:right="0" w:rightChars="0" w:firstLine="640" w:firstLineChars="200"/>
        <w:jc w:val="both"/>
        <w:textAlignment w:val="auto"/>
        <w:outlineLvl w:val="9"/>
        <w:rPr>
          <w:rFonts w:hint="default" w:ascii="宋体" w:hAnsi="宋体" w:eastAsia="仿宋_GB2312" w:cs="Times New Roman"/>
          <w:bCs/>
          <w:color w:val="auto"/>
          <w:sz w:val="32"/>
          <w:szCs w:val="32"/>
          <w:highlight w:val="none"/>
          <w:lang w:val="en-US" w:eastAsia="zh-CN"/>
        </w:rPr>
      </w:pPr>
      <w:r>
        <w:rPr>
          <w:rFonts w:hint="eastAsia" w:ascii="宋体" w:hAnsi="宋体" w:cs="Times New Roman"/>
          <w:bCs/>
          <w:color w:val="auto"/>
          <w:sz w:val="32"/>
          <w:szCs w:val="32"/>
          <w:highlight w:val="none"/>
          <w:lang w:val="en-US" w:eastAsia="zh-CN"/>
        </w:rPr>
        <w:t>1.机构职能</w:t>
      </w:r>
    </w:p>
    <w:p>
      <w:pPr>
        <w:pStyle w:val="7"/>
        <w:keepNext w:val="0"/>
        <w:keepLines w:val="0"/>
        <w:pageBreakBefore w:val="0"/>
        <w:widowControl w:val="0"/>
        <w:numPr>
          <w:ilvl w:val="0"/>
          <w:numId w:val="0"/>
        </w:numPr>
        <w:shd w:val="clear"/>
        <w:kinsoku/>
        <w:wordWrap/>
        <w:overflowPunct/>
        <w:topLinePunct w:val="0"/>
        <w:autoSpaceDE/>
        <w:autoSpaceDN/>
        <w:bidi w:val="0"/>
        <w:adjustRightInd w:val="0"/>
        <w:snapToGrid w:val="0"/>
        <w:spacing w:beforeLines="0" w:line="576" w:lineRule="exact"/>
        <w:ind w:right="0" w:rightChars="0" w:firstLine="640" w:firstLineChars="200"/>
        <w:jc w:val="both"/>
        <w:textAlignment w:val="auto"/>
        <w:outlineLvl w:val="9"/>
        <w:rPr>
          <w:rFonts w:hint="default" w:ascii="宋体" w:hAnsi="宋体" w:eastAsia="仿宋_GB2312" w:cs="Times New Roman"/>
          <w:bCs/>
          <w:color w:val="auto"/>
          <w:sz w:val="32"/>
          <w:szCs w:val="32"/>
          <w:highlight w:val="none"/>
        </w:rPr>
      </w:pPr>
      <w:r>
        <w:rPr>
          <w:rFonts w:hint="eastAsia" w:ascii="宋体" w:hAnsi="宋体" w:cs="Times New Roman"/>
          <w:bCs/>
          <w:color w:val="auto"/>
          <w:sz w:val="32"/>
          <w:szCs w:val="32"/>
          <w:highlight w:val="none"/>
          <w:lang w:eastAsia="zh-CN"/>
        </w:rPr>
        <w:t>（</w:t>
      </w:r>
      <w:r>
        <w:rPr>
          <w:rFonts w:hint="eastAsia" w:ascii="宋体" w:hAnsi="宋体" w:cs="Times New Roman"/>
          <w:bCs/>
          <w:color w:val="auto"/>
          <w:sz w:val="32"/>
          <w:szCs w:val="32"/>
          <w:highlight w:val="none"/>
          <w:lang w:val="en-US" w:eastAsia="zh-CN"/>
        </w:rPr>
        <w:t>1</w:t>
      </w:r>
      <w:r>
        <w:rPr>
          <w:rFonts w:hint="eastAsia" w:ascii="宋体" w:hAnsi="宋体" w:cs="Times New Roman"/>
          <w:bCs/>
          <w:color w:val="auto"/>
          <w:sz w:val="32"/>
          <w:szCs w:val="32"/>
          <w:highlight w:val="none"/>
          <w:lang w:eastAsia="zh-CN"/>
        </w:rPr>
        <w:t>）</w:t>
      </w:r>
      <w:r>
        <w:rPr>
          <w:rFonts w:hint="default" w:ascii="宋体" w:hAnsi="宋体" w:eastAsia="仿宋_GB2312" w:cs="Times New Roman"/>
          <w:bCs/>
          <w:color w:val="auto"/>
          <w:sz w:val="32"/>
          <w:szCs w:val="32"/>
          <w:highlight w:val="none"/>
        </w:rPr>
        <w:t>负责推进投资促进等有关领域的经济合作（以下简称经济合作）。参与起草有关经济合作的地方性法规和规章草案。参与拟订全市经济合作的中长期规划和年度计划并组织实施。</w:t>
      </w:r>
    </w:p>
    <w:p>
      <w:pPr>
        <w:pStyle w:val="7"/>
        <w:keepNext w:val="0"/>
        <w:keepLines w:val="0"/>
        <w:pageBreakBefore w:val="0"/>
        <w:widowControl w:val="0"/>
        <w:shd w:val="clear"/>
        <w:kinsoku/>
        <w:wordWrap/>
        <w:overflowPunct/>
        <w:topLinePunct w:val="0"/>
        <w:autoSpaceDE/>
        <w:autoSpaceDN/>
        <w:bidi w:val="0"/>
        <w:adjustRightInd w:val="0"/>
        <w:snapToGrid w:val="0"/>
        <w:spacing w:beforeLines="0" w:line="576" w:lineRule="exact"/>
        <w:ind w:left="0" w:leftChars="0" w:right="0" w:firstLine="640" w:firstLineChars="200"/>
        <w:jc w:val="both"/>
        <w:textAlignment w:val="auto"/>
        <w:outlineLvl w:val="9"/>
        <w:rPr>
          <w:rFonts w:hint="default" w:ascii="宋体" w:hAnsi="宋体" w:eastAsia="仿宋_GB2312" w:cs="Times New Roman"/>
          <w:bCs/>
          <w:color w:val="auto"/>
          <w:sz w:val="32"/>
          <w:szCs w:val="32"/>
          <w:highlight w:val="none"/>
        </w:rPr>
      </w:pPr>
      <w:r>
        <w:rPr>
          <w:rFonts w:hint="eastAsia" w:ascii="宋体" w:hAnsi="宋体" w:cs="Times New Roman"/>
          <w:bCs/>
          <w:color w:val="auto"/>
          <w:sz w:val="32"/>
          <w:szCs w:val="32"/>
          <w:highlight w:val="none"/>
          <w:lang w:eastAsia="zh-CN"/>
        </w:rPr>
        <w:t>（</w:t>
      </w:r>
      <w:r>
        <w:rPr>
          <w:rFonts w:hint="eastAsia" w:ascii="宋体" w:hAnsi="宋体" w:cs="Times New Roman"/>
          <w:bCs/>
          <w:color w:val="auto"/>
          <w:sz w:val="32"/>
          <w:szCs w:val="32"/>
          <w:highlight w:val="none"/>
          <w:lang w:val="en-US" w:eastAsia="zh-CN"/>
        </w:rPr>
        <w:t>2</w:t>
      </w:r>
      <w:r>
        <w:rPr>
          <w:rFonts w:hint="eastAsia" w:ascii="宋体" w:hAnsi="宋体" w:cs="Times New Roman"/>
          <w:bCs/>
          <w:color w:val="auto"/>
          <w:sz w:val="32"/>
          <w:szCs w:val="32"/>
          <w:highlight w:val="none"/>
          <w:lang w:eastAsia="zh-CN"/>
        </w:rPr>
        <w:t>）</w:t>
      </w:r>
      <w:r>
        <w:rPr>
          <w:rFonts w:hint="default" w:ascii="宋体" w:hAnsi="宋体" w:eastAsia="仿宋_GB2312" w:cs="Times New Roman"/>
          <w:bCs/>
          <w:color w:val="auto"/>
          <w:sz w:val="32"/>
          <w:szCs w:val="32"/>
          <w:highlight w:val="none"/>
        </w:rPr>
        <w:t>统筹指导全市投资促进工作。拟订全市投资促进政策、投资促进中长期规划和年度计划并组织实施。负责全市投资环境推介工作。统筹组织市级重大投资促进活动。牵头全市重大招商引资项目的促进和落实。推进投资促进和管理服务网络体系建设。</w:t>
      </w:r>
    </w:p>
    <w:p>
      <w:pPr>
        <w:pStyle w:val="7"/>
        <w:keepNext w:val="0"/>
        <w:keepLines w:val="0"/>
        <w:pageBreakBefore w:val="0"/>
        <w:widowControl w:val="0"/>
        <w:shd w:val="clear"/>
        <w:kinsoku/>
        <w:wordWrap/>
        <w:overflowPunct/>
        <w:topLinePunct w:val="0"/>
        <w:autoSpaceDE/>
        <w:autoSpaceDN/>
        <w:bidi w:val="0"/>
        <w:adjustRightInd w:val="0"/>
        <w:snapToGrid w:val="0"/>
        <w:spacing w:beforeLines="0" w:line="576" w:lineRule="exact"/>
        <w:ind w:left="0" w:leftChars="0" w:right="0" w:firstLine="640" w:firstLineChars="200"/>
        <w:jc w:val="both"/>
        <w:textAlignment w:val="auto"/>
        <w:outlineLvl w:val="9"/>
        <w:rPr>
          <w:rFonts w:hint="default" w:ascii="宋体" w:hAnsi="宋体" w:eastAsia="仿宋_GB2312" w:cs="Times New Roman"/>
          <w:bCs/>
          <w:color w:val="auto"/>
          <w:sz w:val="32"/>
          <w:szCs w:val="32"/>
          <w:highlight w:val="none"/>
        </w:rPr>
      </w:pPr>
      <w:r>
        <w:rPr>
          <w:rFonts w:hint="eastAsia" w:ascii="宋体" w:hAnsi="宋体" w:cs="Times New Roman"/>
          <w:bCs/>
          <w:color w:val="auto"/>
          <w:sz w:val="32"/>
          <w:szCs w:val="32"/>
          <w:highlight w:val="none"/>
          <w:lang w:eastAsia="zh-CN"/>
        </w:rPr>
        <w:t>（</w:t>
      </w:r>
      <w:r>
        <w:rPr>
          <w:rFonts w:hint="eastAsia" w:ascii="宋体" w:hAnsi="宋体" w:cs="Times New Roman"/>
          <w:bCs/>
          <w:color w:val="auto"/>
          <w:sz w:val="32"/>
          <w:szCs w:val="32"/>
          <w:highlight w:val="none"/>
          <w:lang w:val="en-US" w:eastAsia="zh-CN"/>
        </w:rPr>
        <w:t>3</w:t>
      </w:r>
      <w:r>
        <w:rPr>
          <w:rFonts w:hint="eastAsia" w:ascii="宋体" w:hAnsi="宋体" w:cs="Times New Roman"/>
          <w:bCs/>
          <w:color w:val="auto"/>
          <w:sz w:val="32"/>
          <w:szCs w:val="32"/>
          <w:highlight w:val="none"/>
          <w:lang w:eastAsia="zh-CN"/>
        </w:rPr>
        <w:t>）</w:t>
      </w:r>
      <w:r>
        <w:rPr>
          <w:rFonts w:hint="default" w:ascii="宋体" w:hAnsi="宋体" w:eastAsia="仿宋_GB2312" w:cs="Times New Roman"/>
          <w:bCs/>
          <w:color w:val="auto"/>
          <w:sz w:val="32"/>
          <w:szCs w:val="32"/>
          <w:highlight w:val="none"/>
        </w:rPr>
        <w:t>指导外商投资促进和管理工作。参与拟订外商投资政策和改革方案并组织实施。统计分析全市外商投资情况。依法监督检查外商投资企业执行有关法律法规规章、合同章程的情况并协调解决有关问题。</w:t>
      </w:r>
    </w:p>
    <w:p>
      <w:pPr>
        <w:pStyle w:val="7"/>
        <w:keepNext w:val="0"/>
        <w:keepLines w:val="0"/>
        <w:pageBreakBefore w:val="0"/>
        <w:widowControl w:val="0"/>
        <w:shd w:val="clear"/>
        <w:kinsoku/>
        <w:wordWrap/>
        <w:overflowPunct/>
        <w:topLinePunct w:val="0"/>
        <w:autoSpaceDE/>
        <w:autoSpaceDN/>
        <w:bidi w:val="0"/>
        <w:adjustRightInd w:val="0"/>
        <w:snapToGrid w:val="0"/>
        <w:spacing w:beforeLines="0" w:line="576" w:lineRule="exact"/>
        <w:ind w:left="0" w:leftChars="0" w:right="0" w:firstLine="640" w:firstLineChars="200"/>
        <w:jc w:val="both"/>
        <w:textAlignment w:val="auto"/>
        <w:outlineLvl w:val="9"/>
        <w:rPr>
          <w:rFonts w:hint="default" w:ascii="宋体" w:hAnsi="宋体" w:eastAsia="仿宋_GB2312" w:cs="Times New Roman"/>
          <w:bCs/>
          <w:color w:val="auto"/>
          <w:sz w:val="32"/>
          <w:szCs w:val="32"/>
          <w:highlight w:val="none"/>
        </w:rPr>
      </w:pPr>
      <w:r>
        <w:rPr>
          <w:rFonts w:hint="eastAsia" w:ascii="宋体" w:hAnsi="宋体" w:cs="Times New Roman"/>
          <w:bCs/>
          <w:color w:val="auto"/>
          <w:sz w:val="32"/>
          <w:szCs w:val="32"/>
          <w:highlight w:val="none"/>
          <w:lang w:eastAsia="zh-CN"/>
        </w:rPr>
        <w:t>（</w:t>
      </w:r>
      <w:r>
        <w:rPr>
          <w:rFonts w:hint="eastAsia" w:ascii="宋体" w:hAnsi="宋体" w:cs="Times New Roman"/>
          <w:bCs/>
          <w:color w:val="auto"/>
          <w:sz w:val="32"/>
          <w:szCs w:val="32"/>
          <w:highlight w:val="none"/>
          <w:lang w:val="en-US" w:eastAsia="zh-CN"/>
        </w:rPr>
        <w:t>4</w:t>
      </w:r>
      <w:r>
        <w:rPr>
          <w:rFonts w:hint="eastAsia" w:ascii="宋体" w:hAnsi="宋体" w:cs="Times New Roman"/>
          <w:bCs/>
          <w:color w:val="auto"/>
          <w:sz w:val="32"/>
          <w:szCs w:val="32"/>
          <w:highlight w:val="none"/>
          <w:lang w:eastAsia="zh-CN"/>
        </w:rPr>
        <w:t>）</w:t>
      </w:r>
      <w:r>
        <w:rPr>
          <w:rFonts w:hint="default" w:ascii="宋体" w:hAnsi="宋体" w:eastAsia="仿宋_GB2312" w:cs="Times New Roman"/>
          <w:bCs/>
          <w:color w:val="auto"/>
          <w:sz w:val="32"/>
          <w:szCs w:val="32"/>
          <w:highlight w:val="none"/>
        </w:rPr>
        <w:t>参与推进我市与国（境）内外相关区域合作。承担我市与国（境）内外相关区域经济合作活动的有关具体工作。</w:t>
      </w:r>
    </w:p>
    <w:p>
      <w:pPr>
        <w:pStyle w:val="7"/>
        <w:keepNext w:val="0"/>
        <w:keepLines w:val="0"/>
        <w:pageBreakBefore w:val="0"/>
        <w:widowControl w:val="0"/>
        <w:shd w:val="clear"/>
        <w:kinsoku/>
        <w:wordWrap/>
        <w:overflowPunct/>
        <w:topLinePunct w:val="0"/>
        <w:autoSpaceDE/>
        <w:autoSpaceDN/>
        <w:bidi w:val="0"/>
        <w:adjustRightInd w:val="0"/>
        <w:snapToGrid w:val="0"/>
        <w:spacing w:beforeLines="0" w:line="576" w:lineRule="exact"/>
        <w:ind w:left="0" w:leftChars="0" w:right="0" w:firstLine="640" w:firstLineChars="200"/>
        <w:jc w:val="both"/>
        <w:textAlignment w:val="auto"/>
        <w:outlineLvl w:val="9"/>
        <w:rPr>
          <w:rFonts w:hint="default" w:ascii="宋体" w:hAnsi="宋体" w:eastAsia="仿宋_GB2312" w:cs="Times New Roman"/>
          <w:bCs/>
          <w:color w:val="auto"/>
          <w:sz w:val="32"/>
          <w:szCs w:val="32"/>
          <w:highlight w:val="none"/>
        </w:rPr>
      </w:pPr>
      <w:r>
        <w:rPr>
          <w:rFonts w:hint="eastAsia" w:ascii="宋体" w:hAnsi="宋体" w:cs="Times New Roman"/>
          <w:bCs/>
          <w:color w:val="auto"/>
          <w:sz w:val="32"/>
          <w:szCs w:val="32"/>
          <w:highlight w:val="none"/>
          <w:lang w:eastAsia="zh-CN"/>
        </w:rPr>
        <w:t>（</w:t>
      </w:r>
      <w:r>
        <w:rPr>
          <w:rFonts w:hint="eastAsia" w:ascii="宋体" w:hAnsi="宋体" w:cs="Times New Roman"/>
          <w:bCs/>
          <w:color w:val="auto"/>
          <w:sz w:val="32"/>
          <w:szCs w:val="32"/>
          <w:highlight w:val="none"/>
          <w:lang w:val="en-US" w:eastAsia="zh-CN"/>
        </w:rPr>
        <w:t>5</w:t>
      </w:r>
      <w:r>
        <w:rPr>
          <w:rFonts w:hint="eastAsia" w:ascii="宋体" w:hAnsi="宋体" w:cs="Times New Roman"/>
          <w:bCs/>
          <w:color w:val="auto"/>
          <w:sz w:val="32"/>
          <w:szCs w:val="32"/>
          <w:highlight w:val="none"/>
          <w:lang w:eastAsia="zh-CN"/>
        </w:rPr>
        <w:t>）</w:t>
      </w:r>
      <w:r>
        <w:rPr>
          <w:rFonts w:hint="default" w:ascii="宋体" w:hAnsi="宋体" w:eastAsia="仿宋_GB2312" w:cs="Times New Roman"/>
          <w:bCs/>
          <w:color w:val="auto"/>
          <w:sz w:val="32"/>
          <w:szCs w:val="32"/>
          <w:highlight w:val="none"/>
        </w:rPr>
        <w:t>承担推动我市与港澳台地区经贸合作有关工作。</w:t>
      </w:r>
    </w:p>
    <w:p>
      <w:pPr>
        <w:pStyle w:val="7"/>
        <w:keepNext w:val="0"/>
        <w:keepLines w:val="0"/>
        <w:pageBreakBefore w:val="0"/>
        <w:widowControl w:val="0"/>
        <w:shd w:val="clear"/>
        <w:kinsoku/>
        <w:wordWrap/>
        <w:overflowPunct/>
        <w:topLinePunct w:val="0"/>
        <w:autoSpaceDE/>
        <w:autoSpaceDN/>
        <w:bidi w:val="0"/>
        <w:adjustRightInd w:val="0"/>
        <w:snapToGrid w:val="0"/>
        <w:spacing w:beforeLines="0" w:line="576" w:lineRule="exact"/>
        <w:ind w:left="0" w:leftChars="0" w:right="0" w:firstLine="640" w:firstLineChars="200"/>
        <w:jc w:val="both"/>
        <w:textAlignment w:val="auto"/>
        <w:outlineLvl w:val="9"/>
        <w:rPr>
          <w:rFonts w:hint="default" w:ascii="宋体" w:hAnsi="宋体" w:eastAsia="仿宋_GB2312" w:cs="Times New Roman"/>
          <w:bCs/>
          <w:color w:val="auto"/>
          <w:sz w:val="32"/>
          <w:szCs w:val="32"/>
          <w:highlight w:val="none"/>
        </w:rPr>
      </w:pPr>
      <w:r>
        <w:rPr>
          <w:rFonts w:hint="eastAsia" w:ascii="宋体" w:hAnsi="宋体" w:cs="Times New Roman"/>
          <w:bCs/>
          <w:color w:val="auto"/>
          <w:sz w:val="32"/>
          <w:szCs w:val="32"/>
          <w:highlight w:val="none"/>
          <w:lang w:eastAsia="zh-CN"/>
        </w:rPr>
        <w:t>（</w:t>
      </w:r>
      <w:r>
        <w:rPr>
          <w:rFonts w:hint="eastAsia" w:ascii="宋体" w:hAnsi="宋体" w:cs="Times New Roman"/>
          <w:bCs/>
          <w:color w:val="auto"/>
          <w:sz w:val="32"/>
          <w:szCs w:val="32"/>
          <w:highlight w:val="none"/>
          <w:lang w:val="en-US" w:eastAsia="zh-CN"/>
        </w:rPr>
        <w:t>6</w:t>
      </w:r>
      <w:r>
        <w:rPr>
          <w:rFonts w:hint="eastAsia" w:ascii="宋体" w:hAnsi="宋体" w:cs="Times New Roman"/>
          <w:bCs/>
          <w:color w:val="auto"/>
          <w:sz w:val="32"/>
          <w:szCs w:val="32"/>
          <w:highlight w:val="none"/>
          <w:lang w:eastAsia="zh-CN"/>
        </w:rPr>
        <w:t>）</w:t>
      </w:r>
      <w:r>
        <w:rPr>
          <w:rFonts w:hint="default" w:ascii="宋体" w:hAnsi="宋体" w:eastAsia="仿宋_GB2312" w:cs="Times New Roman"/>
          <w:bCs/>
          <w:color w:val="auto"/>
          <w:sz w:val="32"/>
          <w:szCs w:val="32"/>
          <w:highlight w:val="none"/>
        </w:rPr>
        <w:t>受市政府委托，负责管理市政府各驻外机构（不含市政府驻北京联络处、驻成都办事处、驻新疆办事处，下同）。推动全市博览发展促进工作，参与拟订全市会展业发展规划和相关政策。</w:t>
      </w:r>
    </w:p>
    <w:p>
      <w:pPr>
        <w:pStyle w:val="7"/>
        <w:keepNext w:val="0"/>
        <w:keepLines w:val="0"/>
        <w:pageBreakBefore w:val="0"/>
        <w:widowControl w:val="0"/>
        <w:shd w:val="clear"/>
        <w:kinsoku/>
        <w:wordWrap/>
        <w:overflowPunct/>
        <w:topLinePunct w:val="0"/>
        <w:autoSpaceDE/>
        <w:autoSpaceDN/>
        <w:bidi w:val="0"/>
        <w:adjustRightInd w:val="0"/>
        <w:snapToGrid w:val="0"/>
        <w:spacing w:beforeLines="0" w:line="576" w:lineRule="exact"/>
        <w:ind w:left="0" w:leftChars="0" w:right="0" w:firstLine="640" w:firstLineChars="200"/>
        <w:jc w:val="both"/>
        <w:textAlignment w:val="auto"/>
        <w:outlineLvl w:val="9"/>
        <w:rPr>
          <w:rFonts w:hint="default" w:ascii="宋体" w:hAnsi="宋体" w:eastAsia="仿宋_GB2312" w:cs="Times New Roman"/>
          <w:bCs/>
          <w:color w:val="auto"/>
          <w:sz w:val="32"/>
          <w:szCs w:val="32"/>
          <w:highlight w:val="none"/>
        </w:rPr>
      </w:pPr>
      <w:r>
        <w:rPr>
          <w:rFonts w:hint="eastAsia" w:ascii="宋体" w:hAnsi="宋体" w:cs="Times New Roman"/>
          <w:bCs/>
          <w:color w:val="auto"/>
          <w:sz w:val="32"/>
          <w:szCs w:val="32"/>
          <w:highlight w:val="none"/>
          <w:lang w:eastAsia="zh-CN"/>
        </w:rPr>
        <w:t>（</w:t>
      </w:r>
      <w:r>
        <w:rPr>
          <w:rFonts w:hint="eastAsia" w:ascii="宋体" w:hAnsi="宋体" w:cs="Times New Roman"/>
          <w:bCs/>
          <w:color w:val="auto"/>
          <w:sz w:val="32"/>
          <w:szCs w:val="32"/>
          <w:highlight w:val="none"/>
          <w:lang w:val="en-US" w:eastAsia="zh-CN"/>
        </w:rPr>
        <w:t>7</w:t>
      </w:r>
      <w:r>
        <w:rPr>
          <w:rFonts w:hint="eastAsia" w:ascii="宋体" w:hAnsi="宋体" w:cs="Times New Roman"/>
          <w:bCs/>
          <w:color w:val="auto"/>
          <w:sz w:val="32"/>
          <w:szCs w:val="32"/>
          <w:highlight w:val="none"/>
          <w:lang w:eastAsia="zh-CN"/>
        </w:rPr>
        <w:t>）</w:t>
      </w:r>
      <w:r>
        <w:rPr>
          <w:rFonts w:hint="default" w:ascii="宋体" w:hAnsi="宋体" w:eastAsia="仿宋_GB2312" w:cs="Times New Roman"/>
          <w:bCs/>
          <w:color w:val="auto"/>
          <w:sz w:val="32"/>
          <w:szCs w:val="32"/>
          <w:highlight w:val="none"/>
        </w:rPr>
        <w:t>负责职责范围内的安全生产和职业健康、生态环境保护、审批服务便民化等工作。</w:t>
      </w:r>
    </w:p>
    <w:p>
      <w:pPr>
        <w:pStyle w:val="7"/>
        <w:keepNext w:val="0"/>
        <w:keepLines w:val="0"/>
        <w:pageBreakBefore w:val="0"/>
        <w:widowControl w:val="0"/>
        <w:shd w:val="clear"/>
        <w:kinsoku/>
        <w:wordWrap/>
        <w:overflowPunct/>
        <w:topLinePunct w:val="0"/>
        <w:autoSpaceDE/>
        <w:autoSpaceDN/>
        <w:bidi w:val="0"/>
        <w:adjustRightInd w:val="0"/>
        <w:snapToGrid w:val="0"/>
        <w:spacing w:beforeLines="0" w:line="576" w:lineRule="exact"/>
        <w:ind w:left="0" w:leftChars="0" w:right="0" w:firstLine="640" w:firstLineChars="200"/>
        <w:jc w:val="both"/>
        <w:textAlignment w:val="auto"/>
        <w:outlineLvl w:val="9"/>
        <w:rPr>
          <w:rFonts w:hint="default" w:ascii="宋体" w:hAnsi="宋体" w:eastAsia="仿宋_GB2312" w:cs="Times New Roman"/>
          <w:bCs/>
          <w:color w:val="auto"/>
          <w:sz w:val="32"/>
          <w:szCs w:val="32"/>
          <w:highlight w:val="none"/>
        </w:rPr>
      </w:pPr>
      <w:r>
        <w:rPr>
          <w:rFonts w:hint="eastAsia" w:ascii="宋体" w:hAnsi="宋体" w:cs="Times New Roman"/>
          <w:bCs/>
          <w:color w:val="auto"/>
          <w:sz w:val="32"/>
          <w:szCs w:val="32"/>
          <w:highlight w:val="none"/>
          <w:lang w:eastAsia="zh-CN"/>
        </w:rPr>
        <w:t>（</w:t>
      </w:r>
      <w:r>
        <w:rPr>
          <w:rFonts w:hint="eastAsia" w:ascii="宋体" w:hAnsi="宋体" w:cs="Times New Roman"/>
          <w:bCs/>
          <w:color w:val="auto"/>
          <w:sz w:val="32"/>
          <w:szCs w:val="32"/>
          <w:highlight w:val="none"/>
          <w:lang w:val="en-US" w:eastAsia="zh-CN"/>
        </w:rPr>
        <w:t>8</w:t>
      </w:r>
      <w:r>
        <w:rPr>
          <w:rFonts w:hint="eastAsia" w:ascii="宋体" w:hAnsi="宋体" w:cs="Times New Roman"/>
          <w:bCs/>
          <w:color w:val="auto"/>
          <w:sz w:val="32"/>
          <w:szCs w:val="32"/>
          <w:highlight w:val="none"/>
          <w:lang w:eastAsia="zh-CN"/>
        </w:rPr>
        <w:t>）</w:t>
      </w:r>
      <w:r>
        <w:rPr>
          <w:rFonts w:hint="default" w:ascii="宋体" w:hAnsi="宋体" w:eastAsia="仿宋_GB2312" w:cs="Times New Roman"/>
          <w:bCs/>
          <w:color w:val="auto"/>
          <w:sz w:val="32"/>
          <w:szCs w:val="32"/>
          <w:highlight w:val="none"/>
        </w:rPr>
        <w:t>完成市委、市政府交办的其他工作。</w:t>
      </w:r>
    </w:p>
    <w:p>
      <w:pPr>
        <w:pStyle w:val="7"/>
        <w:keepNext w:val="0"/>
        <w:keepLines w:val="0"/>
        <w:pageBreakBefore w:val="0"/>
        <w:widowControl w:val="0"/>
        <w:shd w:val="clear"/>
        <w:kinsoku/>
        <w:wordWrap/>
        <w:overflowPunct/>
        <w:topLinePunct w:val="0"/>
        <w:autoSpaceDE/>
        <w:autoSpaceDN/>
        <w:bidi w:val="0"/>
        <w:adjustRightInd w:val="0"/>
        <w:snapToGrid w:val="0"/>
        <w:spacing w:beforeLines="0" w:line="576" w:lineRule="exact"/>
        <w:ind w:left="0" w:leftChars="0" w:right="0" w:firstLine="640" w:firstLineChars="200"/>
        <w:jc w:val="both"/>
        <w:textAlignment w:val="auto"/>
        <w:outlineLvl w:val="9"/>
        <w:rPr>
          <w:rFonts w:hint="default" w:ascii="宋体" w:hAnsi="宋体" w:eastAsia="仿宋_GB2312" w:cs="Times New Roman"/>
          <w:bCs/>
          <w:color w:val="auto"/>
          <w:sz w:val="32"/>
          <w:szCs w:val="32"/>
          <w:highlight w:val="none"/>
        </w:rPr>
      </w:pPr>
      <w:r>
        <w:rPr>
          <w:rFonts w:hint="eastAsia" w:ascii="宋体" w:hAnsi="宋体" w:cs="Times New Roman"/>
          <w:bCs/>
          <w:color w:val="auto"/>
          <w:sz w:val="32"/>
          <w:szCs w:val="32"/>
          <w:highlight w:val="none"/>
          <w:lang w:eastAsia="zh-CN"/>
        </w:rPr>
        <w:t>（</w:t>
      </w:r>
      <w:r>
        <w:rPr>
          <w:rFonts w:hint="eastAsia" w:ascii="宋体" w:hAnsi="宋体" w:cs="Times New Roman"/>
          <w:bCs/>
          <w:color w:val="auto"/>
          <w:sz w:val="32"/>
          <w:szCs w:val="32"/>
          <w:highlight w:val="none"/>
          <w:lang w:val="en-US" w:eastAsia="zh-CN"/>
        </w:rPr>
        <w:t>9</w:t>
      </w:r>
      <w:r>
        <w:rPr>
          <w:rFonts w:hint="eastAsia" w:ascii="宋体" w:hAnsi="宋体" w:cs="Times New Roman"/>
          <w:bCs/>
          <w:color w:val="auto"/>
          <w:sz w:val="32"/>
          <w:szCs w:val="32"/>
          <w:highlight w:val="none"/>
          <w:lang w:eastAsia="zh-CN"/>
        </w:rPr>
        <w:t>）</w:t>
      </w:r>
      <w:r>
        <w:rPr>
          <w:rFonts w:hint="default" w:ascii="宋体" w:hAnsi="宋体" w:eastAsia="仿宋_GB2312" w:cs="Times New Roman"/>
          <w:bCs/>
          <w:color w:val="auto"/>
          <w:sz w:val="32"/>
          <w:szCs w:val="32"/>
          <w:highlight w:val="none"/>
        </w:rPr>
        <w:t>职能转变。建立健全体制机制，加强对全市经济合作的统筹，推进内资和外资、招商与博览有机融合发展。优化精准招商、精品招商、集群招商路径和方式，提升开放合作平台影响力，提高招商引资质量，发展壮大重点产业。深入实施外商投资管理体制改革，进一步改进外商投资企业投资管理，提高投资便利化水平。提升与发达地区经济合作层次，推进全市投资促进分工协作、错位发展。加强对重大引进项目的跟踪服务，完善市级重大引进项目激励机制。促进全市博览事业快速发展。</w:t>
      </w:r>
    </w:p>
    <w:p>
      <w:pPr>
        <w:keepNext w:val="0"/>
        <w:keepLines w:val="0"/>
        <w:pageBreakBefore w:val="0"/>
        <w:widowControl w:val="0"/>
        <w:shd w:val="clear"/>
        <w:kinsoku/>
        <w:wordWrap/>
        <w:overflowPunct/>
        <w:topLinePunct w:val="0"/>
        <w:autoSpaceDE/>
        <w:autoSpaceDN/>
        <w:bidi w:val="0"/>
        <w:adjustRightInd w:val="0"/>
        <w:snapToGrid w:val="0"/>
        <w:spacing w:line="576" w:lineRule="exact"/>
        <w:ind w:firstLine="640" w:firstLineChars="200"/>
        <w:contextualSpacing/>
        <w:jc w:val="both"/>
        <w:textAlignment w:val="auto"/>
        <w:outlineLvl w:val="9"/>
        <w:rPr>
          <w:rFonts w:hint="eastAsia" w:ascii="宋体" w:hAnsi="宋体" w:cs="宋体"/>
          <w:color w:val="auto"/>
          <w:kern w:val="0"/>
          <w:szCs w:val="32"/>
          <w:highlight w:val="none"/>
          <w:shd w:val="clear" w:color="auto" w:fill="FFFFFF"/>
          <w:lang w:val="zh-CN"/>
        </w:rPr>
      </w:pPr>
      <w:r>
        <w:rPr>
          <w:rFonts w:hint="eastAsia" w:ascii="宋体" w:hAnsi="宋体" w:eastAsia="仿宋_GB2312" w:cs="Times New Roman"/>
          <w:bCs/>
          <w:color w:val="auto"/>
          <w:kern w:val="0"/>
          <w:sz w:val="32"/>
          <w:szCs w:val="32"/>
          <w:highlight w:val="none"/>
          <w:lang w:val="en-US" w:eastAsia="zh-CN" w:bidi="ar-SA"/>
        </w:rPr>
        <w:t>2.</w:t>
      </w:r>
      <w:r>
        <w:rPr>
          <w:rFonts w:hint="eastAsia" w:ascii="宋体" w:hAnsi="宋体" w:eastAsia="仿宋_GB2312" w:cs="Times New Roman"/>
          <w:bCs/>
          <w:color w:val="auto"/>
          <w:kern w:val="0"/>
          <w:sz w:val="32"/>
          <w:szCs w:val="32"/>
          <w:highlight w:val="none"/>
          <w:lang w:val="zh-CN" w:eastAsia="zh-CN" w:bidi="ar-SA"/>
        </w:rPr>
        <w:t>人员概况</w:t>
      </w:r>
      <w:r>
        <w:rPr>
          <w:rFonts w:hint="eastAsia" w:ascii="宋体" w:hAnsi="宋体" w:cs="宋体"/>
          <w:color w:val="auto"/>
          <w:kern w:val="0"/>
          <w:szCs w:val="32"/>
          <w:highlight w:val="none"/>
          <w:shd w:val="clear" w:color="auto" w:fill="FFFFFF"/>
          <w:lang w:val="zh-CN"/>
        </w:rPr>
        <w:t>。</w:t>
      </w:r>
    </w:p>
    <w:p>
      <w:pPr>
        <w:pStyle w:val="38"/>
        <w:keepNext w:val="0"/>
        <w:keepLines w:val="0"/>
        <w:pageBreakBefore w:val="0"/>
        <w:widowControl w:val="0"/>
        <w:shd w:val="clear"/>
        <w:kinsoku/>
        <w:wordWrap/>
        <w:overflowPunct/>
        <w:topLinePunct w:val="0"/>
        <w:autoSpaceDE/>
        <w:autoSpaceDN/>
        <w:bidi w:val="0"/>
        <w:spacing w:line="576" w:lineRule="exact"/>
        <w:ind w:firstLine="640" w:firstLineChars="200"/>
        <w:jc w:val="both"/>
        <w:textAlignment w:val="auto"/>
        <w:outlineLvl w:val="9"/>
        <w:rPr>
          <w:rFonts w:hint="eastAsia" w:ascii="宋体" w:hAnsi="宋体" w:eastAsia="仿宋_GB2312" w:cs="Times New Roman"/>
          <w:bCs/>
          <w:color w:val="auto"/>
          <w:kern w:val="0"/>
          <w:sz w:val="32"/>
          <w:szCs w:val="32"/>
          <w:highlight w:val="none"/>
          <w:lang w:val="zh-CN" w:eastAsia="zh-CN" w:bidi="ar-SA"/>
        </w:rPr>
      </w:pPr>
      <w:r>
        <w:rPr>
          <w:rFonts w:hint="eastAsia" w:ascii="宋体" w:hAnsi="宋体" w:eastAsia="仿宋_GB2312" w:cs="Times New Roman"/>
          <w:bCs/>
          <w:color w:val="auto"/>
          <w:kern w:val="0"/>
          <w:sz w:val="32"/>
          <w:szCs w:val="32"/>
          <w:highlight w:val="none"/>
          <w:lang w:val="zh-CN" w:eastAsia="zh-CN" w:bidi="ar-SA"/>
        </w:rPr>
        <w:t>我局核定编制</w:t>
      </w:r>
      <w:r>
        <w:rPr>
          <w:rFonts w:hint="eastAsia" w:ascii="宋体" w:hAnsi="宋体" w:eastAsia="仿宋_GB2312" w:cs="Times New Roman"/>
          <w:bCs/>
          <w:color w:val="auto"/>
          <w:kern w:val="0"/>
          <w:sz w:val="32"/>
          <w:szCs w:val="32"/>
          <w:highlight w:val="none"/>
          <w:lang w:val="en-US" w:eastAsia="zh-CN" w:bidi="ar-SA"/>
        </w:rPr>
        <w:t>60名，其中行政编制27名（含机关工勤3名），事业编制33名（含3个分局3个编制），在职在编45人，其中行政编制21人（含机关工勤1名），事业编制24人。</w:t>
      </w:r>
    </w:p>
    <w:p>
      <w:pPr>
        <w:pStyle w:val="6"/>
        <w:keepNext w:val="0"/>
        <w:keepLines w:val="0"/>
        <w:pageBreakBefore w:val="0"/>
        <w:widowControl w:val="0"/>
        <w:numPr>
          <w:ilvl w:val="0"/>
          <w:numId w:val="1"/>
        </w:numPr>
        <w:shd w:val="clear"/>
        <w:kinsoku/>
        <w:wordWrap/>
        <w:overflowPunct/>
        <w:topLinePunct w:val="0"/>
        <w:autoSpaceDE/>
        <w:autoSpaceDN/>
        <w:bidi w:val="0"/>
        <w:adjustRightInd/>
        <w:snapToGrid/>
        <w:spacing w:beforeAutospacing="0" w:afterAutospacing="0" w:line="576" w:lineRule="exact"/>
        <w:ind w:left="0" w:leftChars="0" w:firstLine="640" w:firstLineChars="200"/>
        <w:jc w:val="both"/>
        <w:textAlignment w:val="auto"/>
        <w:outlineLvl w:val="9"/>
        <w:rPr>
          <w:rFonts w:hint="eastAsia" w:ascii="宋体" w:hAnsi="宋体" w:eastAsia="楷体_GB2312" w:cs="楷体_GB2312"/>
          <w:b w:val="0"/>
          <w:bCs w:val="0"/>
          <w:color w:val="auto"/>
          <w:kern w:val="0"/>
          <w:sz w:val="32"/>
          <w:szCs w:val="32"/>
          <w:highlight w:val="none"/>
          <w:shd w:val="clear" w:color="auto" w:fill="FFFFFF"/>
          <w:lang w:val="zh-CN"/>
        </w:rPr>
      </w:pPr>
      <w:r>
        <w:rPr>
          <w:rFonts w:hint="eastAsia" w:ascii="宋体" w:hAnsi="宋体" w:eastAsia="楷体_GB2312" w:cs="楷体_GB2312"/>
          <w:b w:val="0"/>
          <w:bCs w:val="0"/>
          <w:color w:val="auto"/>
          <w:kern w:val="0"/>
          <w:sz w:val="32"/>
          <w:szCs w:val="32"/>
          <w:highlight w:val="none"/>
          <w:shd w:val="clear" w:color="auto" w:fill="FFFFFF"/>
          <w:lang w:val="zh-CN"/>
        </w:rPr>
        <w:t>年度主要工作任务</w:t>
      </w:r>
    </w:p>
    <w:p>
      <w:pPr>
        <w:pStyle w:val="6"/>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Autospacing="0" w:line="576" w:lineRule="exact"/>
        <w:ind w:firstLine="640" w:firstLineChars="200"/>
        <w:jc w:val="both"/>
        <w:textAlignment w:val="auto"/>
        <w:outlineLvl w:val="9"/>
        <w:rPr>
          <w:rFonts w:hint="eastAsia" w:ascii="宋体" w:hAnsi="宋体" w:eastAsia="仿宋_GB2312" w:cs="Times New Roman"/>
          <w:bCs/>
          <w:color w:val="auto"/>
          <w:kern w:val="0"/>
          <w:sz w:val="32"/>
          <w:szCs w:val="32"/>
          <w:highlight w:val="none"/>
          <w:lang w:val="en-US" w:eastAsia="zh-CN" w:bidi="ar-SA"/>
        </w:rPr>
      </w:pPr>
      <w:r>
        <w:rPr>
          <w:rFonts w:hint="eastAsia" w:ascii="宋体" w:hAnsi="宋体" w:eastAsia="仿宋_GB2312" w:cs="Times New Roman"/>
          <w:bCs/>
          <w:color w:val="auto"/>
          <w:kern w:val="0"/>
          <w:sz w:val="32"/>
          <w:szCs w:val="32"/>
          <w:highlight w:val="none"/>
          <w:lang w:val="en-US" w:eastAsia="zh-CN" w:bidi="ar-SA"/>
        </w:rPr>
        <w:t>2022年度，我局坚持以习近平新时代中国特色社会主义思想和习近平总书记对四川工作重要指示精神为指导，全面贯彻党的教育方针，进一步切实加强和改进党的思想、组织、作风、制度建设和反腐倡廉工作，为不断深化我单位各方面的改革、全面为全局招商引资工作提供坚实的政治思想基础。</w:t>
      </w:r>
    </w:p>
    <w:p>
      <w:pPr>
        <w:pStyle w:val="6"/>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Autospacing="0" w:line="576" w:lineRule="exact"/>
        <w:ind w:firstLine="640" w:firstLineChars="200"/>
        <w:jc w:val="both"/>
        <w:textAlignment w:val="auto"/>
        <w:outlineLvl w:val="9"/>
        <w:rPr>
          <w:rFonts w:hint="eastAsia" w:ascii="宋体" w:hAnsi="宋体" w:eastAsia="仿宋_GB2312" w:cs="Times New Roman"/>
          <w:bCs/>
          <w:color w:val="auto"/>
          <w:kern w:val="0"/>
          <w:sz w:val="32"/>
          <w:szCs w:val="32"/>
          <w:highlight w:val="none"/>
          <w:lang w:val="zh-CN" w:eastAsia="zh-CN" w:bidi="ar-SA"/>
        </w:rPr>
      </w:pPr>
      <w:r>
        <w:rPr>
          <w:rFonts w:hint="eastAsia" w:ascii="宋体" w:hAnsi="宋体" w:eastAsia="仿宋_GB2312" w:cs="Times New Roman"/>
          <w:bCs/>
          <w:color w:val="auto"/>
          <w:kern w:val="0"/>
          <w:sz w:val="32"/>
          <w:szCs w:val="32"/>
          <w:highlight w:val="none"/>
          <w:lang w:val="en-US" w:eastAsia="zh-CN" w:bidi="ar-SA"/>
        </w:rPr>
        <w:t>认真贯彻落实市委市政府关于全年经济合作和外事工作的统筹安排，着力创新招商引资工作方式与工作机制，以引进大项目、好项目为目标，切实提高我市的经济社会发展水平，确保全面完成我局2022年省下目标任务以及市下目标任务。</w:t>
      </w:r>
    </w:p>
    <w:p>
      <w:pPr>
        <w:pStyle w:val="6"/>
        <w:keepNext w:val="0"/>
        <w:keepLines w:val="0"/>
        <w:pageBreakBefore w:val="0"/>
        <w:numPr>
          <w:ilvl w:val="0"/>
          <w:numId w:val="0"/>
        </w:numPr>
        <w:shd w:val="clear"/>
        <w:kinsoku/>
        <w:wordWrap/>
        <w:overflowPunct/>
        <w:topLinePunct w:val="0"/>
        <w:autoSpaceDE/>
        <w:autoSpaceDN/>
        <w:bidi w:val="0"/>
        <w:adjustRightInd/>
        <w:snapToGrid/>
        <w:spacing w:beforeAutospacing="0" w:afterAutospacing="0" w:line="576" w:lineRule="exact"/>
        <w:ind w:firstLine="640" w:firstLineChars="200"/>
        <w:jc w:val="both"/>
        <w:textAlignment w:val="auto"/>
        <w:outlineLvl w:val="9"/>
        <w:rPr>
          <w:rFonts w:hint="eastAsia" w:ascii="宋体" w:hAnsi="宋体" w:eastAsia="楷体_GB2312" w:cs="楷体_GB2312"/>
          <w:b w:val="0"/>
          <w:bCs w:val="0"/>
          <w:color w:val="auto"/>
          <w:kern w:val="0"/>
          <w:szCs w:val="32"/>
          <w:highlight w:val="none"/>
          <w:shd w:val="clear" w:color="auto" w:fill="FFFFFF"/>
          <w:lang w:val="zh-CN"/>
        </w:rPr>
      </w:pPr>
      <w:r>
        <w:rPr>
          <w:rFonts w:hint="eastAsia" w:ascii="宋体" w:hAnsi="宋体" w:eastAsia="楷体_GB2312" w:cs="楷体_GB2312"/>
          <w:b w:val="0"/>
          <w:bCs w:val="0"/>
          <w:color w:val="auto"/>
          <w:kern w:val="0"/>
          <w:sz w:val="32"/>
          <w:szCs w:val="32"/>
          <w:highlight w:val="none"/>
          <w:shd w:val="clear" w:color="auto" w:fill="FFFFFF"/>
          <w:lang w:val="zh-CN"/>
        </w:rPr>
        <w:t>（四）部门整体支出绩效目标。</w:t>
      </w:r>
      <w:r>
        <w:rPr>
          <w:rFonts w:hint="eastAsia" w:ascii="宋体" w:hAnsi="宋体" w:eastAsia="仿宋_GB2312" w:cs="仿宋_GB2312"/>
          <w:color w:val="auto"/>
          <w:sz w:val="32"/>
          <w:szCs w:val="32"/>
          <w:highlight w:val="none"/>
          <w:lang w:val="zh-CN" w:eastAsia="zh-CN"/>
        </w:rPr>
        <w:t>引进到位国</w:t>
      </w:r>
      <w:r>
        <w:rPr>
          <w:rFonts w:hint="eastAsia" w:ascii="宋体" w:hAnsi="宋体" w:eastAsia="仿宋_GB2312" w:cs="宋体"/>
          <w:color w:val="auto"/>
          <w:kern w:val="0"/>
          <w:sz w:val="32"/>
          <w:szCs w:val="32"/>
          <w:highlight w:val="none"/>
          <w:shd w:val="clear" w:color="auto" w:fill="FFFFFF"/>
          <w:lang w:val="zh-CN" w:eastAsia="zh-CN" w:bidi="ar-SA"/>
        </w:rPr>
        <w:t>内市外资金850亿元、同比增长25%；牵头做好中外知名企业四川行等省市重大投资促进平台活动，签约项目30个，签约资金150亿元；积极融入成渝地区双城经济圈建设，落实与成都天府新区、重庆渝北区和合川区签订的协同招商机制，签约成渝地区项目30个、签约资金100亿元；新签约投资额亿元以上项目100个，其中新签约50亿元及以上项目1个；新开工亿元以上项目100个；省级重大平台活动签约项目履约率90%、开工率80%、资金到位率30%。</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二、部门资金收支情况</w:t>
      </w:r>
    </w:p>
    <w:p>
      <w:pPr>
        <w:keepNext w:val="0"/>
        <w:keepLines w:val="0"/>
        <w:pageBreakBefore w:val="0"/>
        <w:widowControl w:val="0"/>
        <w:shd w:val="clear"/>
        <w:kinsoku/>
        <w:wordWrap/>
        <w:overflowPunct/>
        <w:topLinePunct w:val="0"/>
        <w:autoSpaceDE/>
        <w:autoSpaceDN/>
        <w:bidi w:val="0"/>
        <w:adjustRightInd w:val="0"/>
        <w:snapToGrid w:val="0"/>
        <w:spacing w:line="576" w:lineRule="exact"/>
        <w:ind w:firstLine="640" w:firstLineChars="200"/>
        <w:contextualSpacing/>
        <w:jc w:val="both"/>
        <w:textAlignment w:val="auto"/>
        <w:outlineLvl w:val="9"/>
        <w:rPr>
          <w:rFonts w:hint="eastAsia" w:ascii="宋体" w:hAnsi="宋体" w:eastAsia="楷体_GB2312" w:cs="楷体_GB2312"/>
          <w:b w:val="0"/>
          <w:bCs w:val="0"/>
          <w:color w:val="auto"/>
          <w:kern w:val="0"/>
          <w:sz w:val="32"/>
          <w:szCs w:val="32"/>
          <w:highlight w:val="none"/>
          <w:shd w:val="clear" w:color="auto" w:fill="FFFFFF"/>
          <w:lang w:val="zh-CN"/>
        </w:rPr>
      </w:pPr>
      <w:r>
        <w:rPr>
          <w:rFonts w:hint="eastAsia" w:ascii="宋体" w:hAnsi="宋体" w:eastAsia="楷体_GB2312" w:cs="楷体_GB2312"/>
          <w:b w:val="0"/>
          <w:bCs w:val="0"/>
          <w:color w:val="auto"/>
          <w:kern w:val="0"/>
          <w:sz w:val="32"/>
          <w:szCs w:val="32"/>
          <w:highlight w:val="none"/>
          <w:shd w:val="clear" w:color="auto" w:fill="FFFFFF"/>
          <w:lang w:val="zh-CN"/>
        </w:rPr>
        <w:t>（一）部门总体收支情况</w:t>
      </w:r>
    </w:p>
    <w:p>
      <w:pPr>
        <w:keepNext w:val="0"/>
        <w:keepLines w:val="0"/>
        <w:pageBreakBefore w:val="0"/>
        <w:widowControl w:val="0"/>
        <w:shd w:val="clear"/>
        <w:kinsoku/>
        <w:wordWrap/>
        <w:overflowPunct/>
        <w:topLinePunct w:val="0"/>
        <w:autoSpaceDE/>
        <w:autoSpaceDN/>
        <w:bidi w:val="0"/>
        <w:adjustRightInd w:val="0"/>
        <w:snapToGrid w:val="0"/>
        <w:spacing w:line="576" w:lineRule="exact"/>
        <w:ind w:firstLine="640" w:firstLineChars="200"/>
        <w:contextualSpacing/>
        <w:jc w:val="both"/>
        <w:textAlignment w:val="auto"/>
        <w:outlineLvl w:val="9"/>
        <w:rPr>
          <w:rFonts w:hint="eastAsia" w:ascii="宋体" w:hAnsi="宋体" w:eastAsia="仿宋_GB2312" w:cs="宋体"/>
          <w:color w:val="auto"/>
          <w:kern w:val="0"/>
          <w:sz w:val="32"/>
          <w:szCs w:val="32"/>
          <w:highlight w:val="none"/>
          <w:shd w:val="clear" w:color="auto" w:fill="FFFFFF"/>
          <w:lang w:val="en-US" w:eastAsia="zh-CN" w:bidi="ar-SA"/>
        </w:rPr>
      </w:pPr>
      <w:r>
        <w:rPr>
          <w:rFonts w:hint="eastAsia" w:ascii="宋体" w:hAnsi="宋体" w:eastAsia="仿宋_GB2312" w:cs="宋体"/>
          <w:color w:val="auto"/>
          <w:kern w:val="0"/>
          <w:sz w:val="32"/>
          <w:szCs w:val="32"/>
          <w:highlight w:val="none"/>
          <w:shd w:val="clear" w:color="auto" w:fill="FFFFFF"/>
          <w:lang w:val="en-US" w:eastAsia="zh-CN" w:bidi="ar-SA"/>
        </w:rPr>
        <w:t>1.部门总体收入情况。2022年我单位收入合计1588.71万元，其中一般公共预算财政拨款1565.01万元，年初结转结余23.7万元。</w:t>
      </w:r>
    </w:p>
    <w:p>
      <w:pPr>
        <w:keepNext w:val="0"/>
        <w:keepLines w:val="0"/>
        <w:pageBreakBefore w:val="0"/>
        <w:widowControl w:val="0"/>
        <w:shd w:val="clear"/>
        <w:kinsoku/>
        <w:wordWrap/>
        <w:overflowPunct/>
        <w:topLinePunct w:val="0"/>
        <w:autoSpaceDE/>
        <w:autoSpaceDN/>
        <w:bidi w:val="0"/>
        <w:adjustRightInd w:val="0"/>
        <w:snapToGrid w:val="0"/>
        <w:spacing w:line="576" w:lineRule="exact"/>
        <w:ind w:firstLine="640" w:firstLineChars="200"/>
        <w:contextualSpacing/>
        <w:jc w:val="both"/>
        <w:textAlignment w:val="auto"/>
        <w:outlineLvl w:val="9"/>
        <w:rPr>
          <w:rFonts w:hint="default" w:ascii="宋体" w:hAnsi="宋体" w:eastAsia="仿宋_GB2312" w:cs="宋体"/>
          <w:color w:val="auto"/>
          <w:kern w:val="0"/>
          <w:sz w:val="32"/>
          <w:szCs w:val="32"/>
          <w:highlight w:val="none"/>
          <w:shd w:val="clear" w:color="auto" w:fill="FFFFFF"/>
          <w:lang w:val="en-US" w:eastAsia="zh-CN" w:bidi="ar-SA"/>
        </w:rPr>
      </w:pPr>
      <w:r>
        <w:rPr>
          <w:rFonts w:hint="eastAsia" w:ascii="宋体" w:hAnsi="宋体" w:eastAsia="仿宋_GB2312" w:cs="宋体"/>
          <w:color w:val="auto"/>
          <w:kern w:val="0"/>
          <w:sz w:val="32"/>
          <w:szCs w:val="32"/>
          <w:highlight w:val="none"/>
          <w:shd w:val="clear" w:color="auto" w:fill="FFFFFF"/>
          <w:lang w:val="en-US" w:eastAsia="zh-CN" w:bidi="ar-SA"/>
        </w:rPr>
        <w:t xml:space="preserve">2.部门总体支出情况。2022年我单位支出合计1588.71万元，其中基本支出977.81万元，项目支出548.98万元，年末结转结余61.92万元。   </w:t>
      </w:r>
    </w:p>
    <w:p>
      <w:pPr>
        <w:keepNext w:val="0"/>
        <w:keepLines w:val="0"/>
        <w:pageBreakBefore w:val="0"/>
        <w:widowControl w:val="0"/>
        <w:shd w:val="clear"/>
        <w:kinsoku/>
        <w:wordWrap/>
        <w:overflowPunct/>
        <w:topLinePunct w:val="0"/>
        <w:autoSpaceDE/>
        <w:autoSpaceDN/>
        <w:bidi w:val="0"/>
        <w:adjustRightInd w:val="0"/>
        <w:snapToGrid w:val="0"/>
        <w:spacing w:line="576" w:lineRule="exact"/>
        <w:ind w:firstLine="640" w:firstLineChars="200"/>
        <w:contextualSpacing/>
        <w:jc w:val="both"/>
        <w:textAlignment w:val="auto"/>
        <w:outlineLvl w:val="9"/>
        <w:rPr>
          <w:rFonts w:hint="default" w:ascii="宋体" w:hAnsi="宋体" w:eastAsia="仿宋_GB2312" w:cs="宋体"/>
          <w:color w:val="auto"/>
          <w:kern w:val="0"/>
          <w:sz w:val="32"/>
          <w:szCs w:val="32"/>
          <w:highlight w:val="none"/>
          <w:shd w:val="clear" w:color="auto" w:fill="FFFFFF"/>
          <w:lang w:val="en-US" w:eastAsia="zh-CN" w:bidi="ar-SA"/>
        </w:rPr>
      </w:pPr>
      <w:r>
        <w:rPr>
          <w:rFonts w:hint="eastAsia" w:ascii="宋体" w:hAnsi="宋体" w:eastAsia="仿宋_GB2312" w:cs="宋体"/>
          <w:color w:val="auto"/>
          <w:kern w:val="0"/>
          <w:sz w:val="32"/>
          <w:szCs w:val="32"/>
          <w:highlight w:val="none"/>
          <w:shd w:val="clear" w:color="auto" w:fill="FFFFFF"/>
          <w:lang w:val="en-US" w:eastAsia="zh-CN" w:bidi="ar-SA"/>
        </w:rPr>
        <w:t>3.部门总体结转结余情况。2022年末我单位结转结余资金合计61.92万元，其中招商引资项目资金结转结余39.17万元，行政事业单位养老保险缴费结转结余22.75万元。</w:t>
      </w:r>
    </w:p>
    <w:p>
      <w:pPr>
        <w:keepNext w:val="0"/>
        <w:keepLines w:val="0"/>
        <w:pageBreakBefore w:val="0"/>
        <w:widowControl w:val="0"/>
        <w:shd w:val="clear"/>
        <w:kinsoku/>
        <w:wordWrap/>
        <w:overflowPunct/>
        <w:topLinePunct w:val="0"/>
        <w:autoSpaceDE/>
        <w:autoSpaceDN/>
        <w:bidi w:val="0"/>
        <w:adjustRightInd w:val="0"/>
        <w:snapToGrid w:val="0"/>
        <w:spacing w:line="576" w:lineRule="exact"/>
        <w:ind w:firstLine="640" w:firstLineChars="200"/>
        <w:contextualSpacing/>
        <w:jc w:val="both"/>
        <w:textAlignment w:val="auto"/>
        <w:outlineLvl w:val="9"/>
        <w:rPr>
          <w:rFonts w:hint="eastAsia" w:ascii="宋体" w:hAnsi="宋体" w:eastAsia="楷体_GB2312" w:cs="楷体_GB2312"/>
          <w:b w:val="0"/>
          <w:bCs w:val="0"/>
          <w:color w:val="auto"/>
          <w:kern w:val="0"/>
          <w:sz w:val="32"/>
          <w:szCs w:val="32"/>
          <w:highlight w:val="none"/>
          <w:shd w:val="clear" w:color="auto" w:fill="FFFFFF"/>
          <w:lang w:val="zh-CN"/>
        </w:rPr>
      </w:pPr>
      <w:r>
        <w:rPr>
          <w:rFonts w:hint="eastAsia" w:ascii="宋体" w:hAnsi="宋体" w:eastAsia="楷体_GB2312" w:cs="楷体_GB2312"/>
          <w:b w:val="0"/>
          <w:bCs w:val="0"/>
          <w:color w:val="auto"/>
          <w:kern w:val="0"/>
          <w:sz w:val="32"/>
          <w:szCs w:val="32"/>
          <w:highlight w:val="none"/>
          <w:shd w:val="clear" w:color="auto" w:fill="FFFFFF"/>
          <w:lang w:val="zh-CN"/>
        </w:rPr>
        <w:t>（二）部门财政拨款收支情况</w:t>
      </w:r>
    </w:p>
    <w:p>
      <w:pPr>
        <w:keepNext w:val="0"/>
        <w:keepLines w:val="0"/>
        <w:pageBreakBefore w:val="0"/>
        <w:widowControl w:val="0"/>
        <w:shd w:val="clear"/>
        <w:kinsoku/>
        <w:wordWrap/>
        <w:overflowPunct/>
        <w:topLinePunct w:val="0"/>
        <w:autoSpaceDE/>
        <w:autoSpaceDN/>
        <w:bidi w:val="0"/>
        <w:adjustRightInd w:val="0"/>
        <w:snapToGrid w:val="0"/>
        <w:spacing w:line="576" w:lineRule="exact"/>
        <w:ind w:firstLine="640" w:firstLineChars="200"/>
        <w:contextualSpacing/>
        <w:jc w:val="both"/>
        <w:textAlignment w:val="auto"/>
        <w:outlineLvl w:val="9"/>
        <w:rPr>
          <w:rFonts w:hint="default" w:ascii="宋体" w:hAnsi="宋体" w:eastAsia="仿宋_GB2312" w:cs="宋体"/>
          <w:color w:val="auto"/>
          <w:kern w:val="0"/>
          <w:sz w:val="32"/>
          <w:szCs w:val="32"/>
          <w:highlight w:val="none"/>
          <w:shd w:val="clear" w:color="auto" w:fill="FFFFFF"/>
          <w:lang w:val="en-US" w:eastAsia="zh-CN" w:bidi="ar-SA"/>
        </w:rPr>
      </w:pPr>
      <w:r>
        <w:rPr>
          <w:rFonts w:hint="eastAsia" w:ascii="宋体" w:hAnsi="宋体" w:eastAsia="仿宋_GB2312" w:cs="宋体"/>
          <w:color w:val="auto"/>
          <w:kern w:val="0"/>
          <w:sz w:val="32"/>
          <w:szCs w:val="32"/>
          <w:highlight w:val="none"/>
          <w:shd w:val="clear" w:color="auto" w:fill="FFFFFF"/>
          <w:lang w:val="en-US" w:eastAsia="zh-CN" w:bidi="ar-SA"/>
        </w:rPr>
        <w:t>1.部门财政拨款收入情况。2022年我单位财政拨款收入合计1588.71万元，其中一般公共预算财政拨款1565.01万元，年初结转结余23.7万元。</w:t>
      </w:r>
    </w:p>
    <w:p>
      <w:pPr>
        <w:keepNext w:val="0"/>
        <w:keepLines w:val="0"/>
        <w:pageBreakBefore w:val="0"/>
        <w:widowControl w:val="0"/>
        <w:shd w:val="clear"/>
        <w:kinsoku/>
        <w:wordWrap/>
        <w:overflowPunct/>
        <w:topLinePunct w:val="0"/>
        <w:autoSpaceDE/>
        <w:autoSpaceDN/>
        <w:bidi w:val="0"/>
        <w:adjustRightInd w:val="0"/>
        <w:snapToGrid w:val="0"/>
        <w:spacing w:line="576" w:lineRule="exact"/>
        <w:ind w:firstLine="640" w:firstLineChars="200"/>
        <w:contextualSpacing/>
        <w:jc w:val="both"/>
        <w:textAlignment w:val="auto"/>
        <w:outlineLvl w:val="9"/>
        <w:rPr>
          <w:rFonts w:hint="default" w:ascii="宋体" w:hAnsi="宋体" w:eastAsia="仿宋_GB2312" w:cs="宋体"/>
          <w:color w:val="auto"/>
          <w:kern w:val="0"/>
          <w:sz w:val="32"/>
          <w:szCs w:val="32"/>
          <w:highlight w:val="none"/>
          <w:shd w:val="clear" w:color="auto" w:fill="FFFFFF"/>
          <w:lang w:val="en-US" w:eastAsia="zh-CN" w:bidi="ar-SA"/>
        </w:rPr>
      </w:pPr>
      <w:r>
        <w:rPr>
          <w:rFonts w:hint="eastAsia" w:ascii="宋体" w:hAnsi="宋体" w:eastAsia="仿宋_GB2312" w:cs="宋体"/>
          <w:color w:val="auto"/>
          <w:kern w:val="0"/>
          <w:sz w:val="32"/>
          <w:szCs w:val="32"/>
          <w:highlight w:val="none"/>
          <w:shd w:val="clear" w:color="auto" w:fill="FFFFFF"/>
          <w:lang w:val="en-US" w:eastAsia="zh-CN" w:bidi="ar-SA"/>
        </w:rPr>
        <w:t>2.部门财政拨款支出情况。2022年我单位财政拨款支出合计1588.71万元，其中基本支出977.81万元，项目支出548.98万元，年末结转结余61.92万元。</w:t>
      </w:r>
    </w:p>
    <w:p>
      <w:pPr>
        <w:keepNext w:val="0"/>
        <w:keepLines w:val="0"/>
        <w:pageBreakBefore w:val="0"/>
        <w:widowControl w:val="0"/>
        <w:shd w:val="clear"/>
        <w:kinsoku/>
        <w:wordWrap/>
        <w:overflowPunct/>
        <w:topLinePunct w:val="0"/>
        <w:autoSpaceDE/>
        <w:autoSpaceDN/>
        <w:bidi w:val="0"/>
        <w:adjustRightInd w:val="0"/>
        <w:snapToGrid w:val="0"/>
        <w:spacing w:line="576" w:lineRule="exact"/>
        <w:ind w:firstLine="640" w:firstLineChars="200"/>
        <w:contextualSpacing/>
        <w:jc w:val="both"/>
        <w:textAlignment w:val="auto"/>
        <w:outlineLvl w:val="9"/>
        <w:rPr>
          <w:rFonts w:hint="default" w:ascii="宋体" w:hAnsi="宋体" w:eastAsia="仿宋_GB2312" w:cs="宋体"/>
          <w:color w:val="auto"/>
          <w:kern w:val="0"/>
          <w:sz w:val="32"/>
          <w:szCs w:val="32"/>
          <w:highlight w:val="none"/>
          <w:shd w:val="clear" w:color="auto" w:fill="FFFFFF"/>
          <w:lang w:val="en-US" w:eastAsia="zh-CN" w:bidi="ar-SA"/>
        </w:rPr>
      </w:pPr>
      <w:r>
        <w:rPr>
          <w:rFonts w:hint="eastAsia" w:ascii="宋体" w:hAnsi="宋体" w:eastAsia="仿宋_GB2312" w:cs="宋体"/>
          <w:color w:val="auto"/>
          <w:kern w:val="0"/>
          <w:sz w:val="32"/>
          <w:szCs w:val="32"/>
          <w:highlight w:val="none"/>
          <w:shd w:val="clear" w:color="auto" w:fill="FFFFFF"/>
          <w:lang w:val="en-US" w:eastAsia="zh-CN" w:bidi="ar-SA"/>
        </w:rPr>
        <w:t>3.部门财政拨款结转结余情况。2022年我单位财政拨款结转结余资金61.92万元，其中招商引资项目资金结转结余39.71万元，行政事业单位养老保险缴费结转结余22.75万元。</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三、部门整体绩效分析</w:t>
      </w:r>
    </w:p>
    <w:p>
      <w:pPr>
        <w:keepNext w:val="0"/>
        <w:keepLines w:val="0"/>
        <w:pageBreakBefore w:val="0"/>
        <w:widowControl w:val="0"/>
        <w:shd w:val="clear"/>
        <w:kinsoku/>
        <w:wordWrap/>
        <w:overflowPunct/>
        <w:topLinePunct w:val="0"/>
        <w:autoSpaceDE/>
        <w:autoSpaceDN/>
        <w:bidi w:val="0"/>
        <w:adjustRightInd w:val="0"/>
        <w:snapToGrid w:val="0"/>
        <w:spacing w:line="576" w:lineRule="exact"/>
        <w:ind w:firstLine="640" w:firstLineChars="200"/>
        <w:contextualSpacing/>
        <w:jc w:val="both"/>
        <w:textAlignment w:val="auto"/>
        <w:outlineLvl w:val="9"/>
        <w:rPr>
          <w:rFonts w:hint="eastAsia" w:ascii="楷体_GB2312" w:hAnsi="楷体_GB2312" w:eastAsia="楷体_GB2312" w:cs="楷体_GB2312"/>
          <w:color w:val="auto"/>
          <w:kern w:val="0"/>
          <w:sz w:val="32"/>
          <w:szCs w:val="32"/>
          <w:highlight w:val="none"/>
          <w:shd w:val="clear" w:color="auto" w:fill="FFFFFF"/>
          <w:lang w:val="zh-CN" w:eastAsia="zh-CN" w:bidi="ar-SA"/>
        </w:rPr>
      </w:pPr>
      <w:r>
        <w:rPr>
          <w:rFonts w:hint="eastAsia" w:ascii="楷体_GB2312" w:hAnsi="楷体_GB2312" w:eastAsia="楷体_GB2312" w:cs="楷体_GB2312"/>
          <w:color w:val="auto"/>
          <w:kern w:val="0"/>
          <w:sz w:val="32"/>
          <w:szCs w:val="32"/>
          <w:highlight w:val="none"/>
          <w:shd w:val="clear" w:color="auto" w:fill="FFFFFF"/>
          <w:lang w:val="zh-CN" w:eastAsia="zh-CN" w:bidi="ar-SA"/>
        </w:rPr>
        <w:t>（一）部门预算项目绩效分析</w:t>
      </w:r>
    </w:p>
    <w:p>
      <w:pPr>
        <w:keepNext w:val="0"/>
        <w:keepLines w:val="0"/>
        <w:pageBreakBefore w:val="0"/>
        <w:widowControl w:val="0"/>
        <w:shd w:val="clear"/>
        <w:kinsoku/>
        <w:wordWrap/>
        <w:overflowPunct/>
        <w:topLinePunct w:val="0"/>
        <w:autoSpaceDE/>
        <w:autoSpaceDN/>
        <w:bidi w:val="0"/>
        <w:adjustRightInd w:val="0"/>
        <w:snapToGrid w:val="0"/>
        <w:spacing w:line="576" w:lineRule="exact"/>
        <w:ind w:firstLine="640" w:firstLineChars="200"/>
        <w:contextualSpacing/>
        <w:jc w:val="both"/>
        <w:textAlignment w:val="auto"/>
        <w:outlineLvl w:val="9"/>
        <w:rPr>
          <w:rFonts w:hint="eastAsia" w:ascii="宋体" w:hAnsi="宋体" w:eastAsia="仿宋_GB2312" w:cs="宋体"/>
          <w:color w:val="auto"/>
          <w:kern w:val="0"/>
          <w:sz w:val="32"/>
          <w:szCs w:val="32"/>
          <w:highlight w:val="none"/>
          <w:shd w:val="clear" w:color="auto" w:fill="FFFFFF"/>
          <w:lang w:val="en-US" w:eastAsia="zh-CN" w:bidi="ar-SA"/>
        </w:rPr>
      </w:pPr>
      <w:r>
        <w:rPr>
          <w:rFonts w:hint="eastAsia" w:ascii="宋体" w:hAnsi="宋体" w:eastAsia="仿宋_GB2312" w:cs="宋体"/>
          <w:color w:val="auto"/>
          <w:kern w:val="0"/>
          <w:sz w:val="32"/>
          <w:szCs w:val="32"/>
          <w:highlight w:val="none"/>
          <w:shd w:val="clear" w:color="auto" w:fill="FFFFFF"/>
          <w:lang w:val="en-US" w:eastAsia="zh-CN" w:bidi="ar-SA"/>
        </w:rPr>
        <w:t>1.人员类项目绩效分析</w:t>
      </w:r>
    </w:p>
    <w:p>
      <w:pPr>
        <w:keepNext w:val="0"/>
        <w:keepLines w:val="0"/>
        <w:pageBreakBefore w:val="0"/>
        <w:widowControl w:val="0"/>
        <w:shd w:val="clear"/>
        <w:kinsoku/>
        <w:wordWrap/>
        <w:overflowPunct/>
        <w:topLinePunct w:val="0"/>
        <w:autoSpaceDE/>
        <w:autoSpaceDN/>
        <w:bidi w:val="0"/>
        <w:adjustRightInd w:val="0"/>
        <w:snapToGrid w:val="0"/>
        <w:spacing w:line="576" w:lineRule="exact"/>
        <w:ind w:firstLine="640" w:firstLineChars="200"/>
        <w:contextualSpacing/>
        <w:jc w:val="both"/>
        <w:textAlignment w:val="auto"/>
        <w:outlineLvl w:val="9"/>
        <w:rPr>
          <w:rFonts w:hint="eastAsia" w:ascii="宋体" w:hAnsi="宋体" w:eastAsia="仿宋_GB2312" w:cs="宋体"/>
          <w:color w:val="auto"/>
          <w:kern w:val="0"/>
          <w:sz w:val="32"/>
          <w:szCs w:val="32"/>
          <w:highlight w:val="none"/>
          <w:shd w:val="clear" w:color="auto" w:fill="FFFFFF"/>
          <w:lang w:val="en-US" w:eastAsia="zh-CN" w:bidi="ar-SA"/>
        </w:rPr>
      </w:pPr>
      <w:r>
        <w:rPr>
          <w:rFonts w:hint="eastAsia" w:ascii="宋体" w:hAnsi="宋体" w:eastAsia="仿宋_GB2312" w:cs="宋体"/>
          <w:color w:val="auto"/>
          <w:kern w:val="0"/>
          <w:sz w:val="32"/>
          <w:szCs w:val="32"/>
          <w:highlight w:val="none"/>
          <w:shd w:val="clear" w:color="auto" w:fill="FFFFFF"/>
          <w:lang w:val="en-US" w:eastAsia="zh-CN" w:bidi="ar-SA"/>
        </w:rPr>
        <w:t>2022年我单位人员类拨款567.88万元，主要用于工资福利支出、社会保障缴费、社会福利与救助、离退休费支出。保障全局职工工资、离退休职工生活补助等及时发放，社会保险、公积金等应交尽交，严格按照财政及主管部门要求的时间节点完成工作任务，资金支付率100%。无违规使用资金的情况。</w:t>
      </w:r>
    </w:p>
    <w:p>
      <w:pPr>
        <w:keepNext w:val="0"/>
        <w:keepLines w:val="0"/>
        <w:pageBreakBefore w:val="0"/>
        <w:widowControl w:val="0"/>
        <w:numPr>
          <w:numId w:val="0"/>
        </w:numPr>
        <w:shd w:val="clear"/>
        <w:kinsoku/>
        <w:wordWrap/>
        <w:overflowPunct/>
        <w:topLinePunct w:val="0"/>
        <w:autoSpaceDE/>
        <w:autoSpaceDN/>
        <w:bidi w:val="0"/>
        <w:adjustRightInd w:val="0"/>
        <w:snapToGrid w:val="0"/>
        <w:spacing w:line="576" w:lineRule="exact"/>
        <w:ind w:firstLine="640" w:firstLineChars="200"/>
        <w:contextualSpacing/>
        <w:jc w:val="both"/>
        <w:textAlignment w:val="auto"/>
        <w:outlineLvl w:val="9"/>
        <w:rPr>
          <w:rFonts w:hint="eastAsia" w:ascii="宋体" w:hAnsi="宋体" w:eastAsia="仿宋_GB2312" w:cs="宋体"/>
          <w:color w:val="auto"/>
          <w:kern w:val="0"/>
          <w:sz w:val="32"/>
          <w:szCs w:val="32"/>
          <w:highlight w:val="none"/>
          <w:shd w:val="clear" w:color="auto" w:fill="FFFFFF"/>
          <w:lang w:val="en-US" w:eastAsia="zh-CN" w:bidi="ar-SA"/>
        </w:rPr>
      </w:pPr>
      <w:r>
        <w:rPr>
          <w:rFonts w:hint="eastAsia" w:ascii="宋体" w:hAnsi="宋体" w:eastAsia="仿宋_GB2312" w:cs="宋体"/>
          <w:color w:val="auto"/>
          <w:kern w:val="0"/>
          <w:sz w:val="32"/>
          <w:szCs w:val="32"/>
          <w:highlight w:val="none"/>
          <w:shd w:val="clear" w:color="auto" w:fill="FFFFFF"/>
          <w:lang w:val="en-US" w:eastAsia="zh-CN" w:bidi="ar-SA"/>
        </w:rPr>
        <w:t>2.运转类项目绩效分析</w:t>
      </w:r>
    </w:p>
    <w:p>
      <w:pPr>
        <w:pStyle w:val="6"/>
        <w:keepNext w:val="0"/>
        <w:keepLines w:val="0"/>
        <w:pageBreakBefore w:val="0"/>
        <w:widowControl w:val="0"/>
        <w:numPr>
          <w:ilvl w:val="0"/>
          <w:numId w:val="0"/>
        </w:numPr>
        <w:shd w:val="clear"/>
        <w:kinsoku/>
        <w:wordWrap/>
        <w:overflowPunct/>
        <w:topLinePunct w:val="0"/>
        <w:autoSpaceDE/>
        <w:autoSpaceDN/>
        <w:bidi w:val="0"/>
        <w:spacing w:line="576" w:lineRule="exact"/>
        <w:ind w:firstLine="640" w:firstLineChars="200"/>
        <w:jc w:val="both"/>
        <w:textAlignment w:val="auto"/>
        <w:outlineLvl w:val="9"/>
        <w:rPr>
          <w:rFonts w:hint="default" w:ascii="宋体" w:hAnsi="宋体" w:eastAsia="仿宋_GB2312" w:cs="宋体"/>
          <w:b w:val="0"/>
          <w:bCs w:val="0"/>
          <w:color w:val="auto"/>
          <w:kern w:val="0"/>
          <w:sz w:val="32"/>
          <w:szCs w:val="32"/>
          <w:highlight w:val="none"/>
          <w:shd w:val="clear" w:color="auto" w:fill="FFFFFF"/>
          <w:lang w:val="en-US" w:eastAsia="zh-CN" w:bidi="ar-SA"/>
        </w:rPr>
      </w:pPr>
      <w:r>
        <w:rPr>
          <w:rFonts w:hint="eastAsia" w:ascii="宋体" w:hAnsi="宋体" w:eastAsia="仿宋_GB2312" w:cs="宋体"/>
          <w:color w:val="auto"/>
          <w:kern w:val="0"/>
          <w:sz w:val="32"/>
          <w:szCs w:val="32"/>
          <w:highlight w:val="none"/>
          <w:shd w:val="clear" w:color="auto" w:fill="FFFFFF"/>
          <w:lang w:val="en-US" w:eastAsia="zh-CN" w:bidi="ar-SA"/>
        </w:rPr>
        <w:t>2022年运转类拨款119.16万元，主要用于办公费、水电费、物业管理费、退休人员活动经费、福利费、工会经费等商品服务支出。维持单位正常运转，为全局经济合作和外事工作提供坚实的保障。</w:t>
      </w:r>
    </w:p>
    <w:p>
      <w:pPr>
        <w:keepNext w:val="0"/>
        <w:keepLines w:val="0"/>
        <w:pageBreakBefore w:val="0"/>
        <w:widowControl w:val="0"/>
        <w:numPr>
          <w:numId w:val="0"/>
        </w:numPr>
        <w:shd w:val="clear"/>
        <w:kinsoku/>
        <w:wordWrap/>
        <w:overflowPunct/>
        <w:topLinePunct w:val="0"/>
        <w:autoSpaceDE/>
        <w:autoSpaceDN/>
        <w:bidi w:val="0"/>
        <w:adjustRightInd w:val="0"/>
        <w:snapToGrid w:val="0"/>
        <w:spacing w:line="576" w:lineRule="exact"/>
        <w:ind w:firstLine="640" w:firstLineChars="200"/>
        <w:contextualSpacing/>
        <w:jc w:val="both"/>
        <w:textAlignment w:val="auto"/>
        <w:outlineLvl w:val="9"/>
        <w:rPr>
          <w:rFonts w:hint="default" w:ascii="宋体" w:hAnsi="宋体" w:eastAsia="仿宋_GB2312" w:cs="宋体"/>
          <w:color w:val="auto"/>
          <w:kern w:val="0"/>
          <w:sz w:val="32"/>
          <w:szCs w:val="32"/>
          <w:highlight w:val="none"/>
          <w:shd w:val="clear" w:color="auto" w:fill="FFFFFF"/>
          <w:lang w:val="en-US" w:eastAsia="zh-CN" w:bidi="ar-SA"/>
        </w:rPr>
      </w:pPr>
      <w:r>
        <w:rPr>
          <w:rFonts w:hint="eastAsia" w:ascii="宋体" w:hAnsi="宋体" w:eastAsia="仿宋_GB2312" w:cs="宋体"/>
          <w:color w:val="auto"/>
          <w:kern w:val="0"/>
          <w:sz w:val="32"/>
          <w:szCs w:val="32"/>
          <w:highlight w:val="none"/>
          <w:shd w:val="clear" w:color="auto" w:fill="FFFFFF"/>
          <w:lang w:val="en-US" w:eastAsia="zh-CN" w:bidi="ar-SA"/>
        </w:rPr>
        <w:t>3.特定目标类项目绩效分析</w:t>
      </w:r>
    </w:p>
    <w:p>
      <w:pPr>
        <w:keepNext w:val="0"/>
        <w:keepLines w:val="0"/>
        <w:pageBreakBefore w:val="0"/>
        <w:widowControl w:val="0"/>
        <w:shd w:val="clear"/>
        <w:kinsoku/>
        <w:wordWrap/>
        <w:overflowPunct/>
        <w:topLinePunct w:val="0"/>
        <w:autoSpaceDE/>
        <w:autoSpaceDN/>
        <w:bidi w:val="0"/>
        <w:adjustRightInd w:val="0"/>
        <w:snapToGrid w:val="0"/>
        <w:spacing w:line="576" w:lineRule="exact"/>
        <w:ind w:firstLine="640" w:firstLineChars="200"/>
        <w:contextualSpacing/>
        <w:jc w:val="both"/>
        <w:textAlignment w:val="auto"/>
        <w:outlineLvl w:val="9"/>
        <w:rPr>
          <w:rFonts w:hint="eastAsia" w:ascii="宋体" w:hAnsi="宋体" w:eastAsia="仿宋_GB2312" w:cs="宋体"/>
          <w:color w:val="auto"/>
          <w:kern w:val="0"/>
          <w:sz w:val="32"/>
          <w:szCs w:val="32"/>
          <w:highlight w:val="none"/>
          <w:shd w:val="clear" w:color="auto" w:fill="FFFFFF"/>
          <w:lang w:val="en-US" w:eastAsia="zh-CN" w:bidi="ar-SA"/>
        </w:rPr>
      </w:pPr>
      <w:r>
        <w:rPr>
          <w:rFonts w:hint="eastAsia" w:ascii="宋体" w:hAnsi="宋体" w:eastAsia="仿宋_GB2312" w:cs="宋体"/>
          <w:color w:val="auto"/>
          <w:kern w:val="0"/>
          <w:sz w:val="32"/>
          <w:szCs w:val="32"/>
          <w:highlight w:val="none"/>
          <w:shd w:val="clear" w:color="auto" w:fill="FFFFFF"/>
          <w:lang w:val="en-US" w:eastAsia="zh-CN" w:bidi="ar-SA"/>
        </w:rPr>
        <w:t>按照2022年部门预算编制要求，结合我局</w:t>
      </w:r>
      <w:r>
        <w:rPr>
          <w:rFonts w:hint="default" w:ascii="宋体" w:hAnsi="宋体" w:eastAsia="仿宋_GB2312" w:cs="宋体"/>
          <w:color w:val="auto"/>
          <w:kern w:val="0"/>
          <w:sz w:val="32"/>
          <w:szCs w:val="32"/>
          <w:highlight w:val="none"/>
          <w:shd w:val="clear" w:color="auto" w:fill="FFFFFF"/>
          <w:lang w:val="en-US" w:eastAsia="zh-CN" w:bidi="ar-SA"/>
        </w:rPr>
        <w:t>年度工作计划，认真编</w:t>
      </w:r>
      <w:r>
        <w:rPr>
          <w:rFonts w:hint="eastAsia" w:ascii="宋体" w:hAnsi="宋体" w:eastAsia="仿宋_GB2312" w:cs="宋体"/>
          <w:color w:val="auto"/>
          <w:kern w:val="0"/>
          <w:sz w:val="32"/>
          <w:szCs w:val="32"/>
          <w:highlight w:val="none"/>
          <w:shd w:val="clear" w:color="auto" w:fill="FFFFFF"/>
          <w:lang w:val="en-US" w:eastAsia="zh-CN" w:bidi="ar-SA"/>
        </w:rPr>
        <w:t>制</w:t>
      </w:r>
      <w:r>
        <w:rPr>
          <w:rFonts w:hint="default" w:ascii="宋体" w:hAnsi="宋体" w:eastAsia="仿宋_GB2312" w:cs="宋体"/>
          <w:color w:val="auto"/>
          <w:kern w:val="0"/>
          <w:sz w:val="32"/>
          <w:szCs w:val="32"/>
          <w:highlight w:val="none"/>
          <w:shd w:val="clear" w:color="auto" w:fill="FFFFFF"/>
          <w:lang w:val="en-US" w:eastAsia="zh-CN" w:bidi="ar-SA"/>
        </w:rPr>
        <w:t>我</w:t>
      </w:r>
      <w:r>
        <w:rPr>
          <w:rFonts w:hint="eastAsia" w:ascii="宋体" w:hAnsi="宋体" w:eastAsia="仿宋_GB2312" w:cs="宋体"/>
          <w:color w:val="auto"/>
          <w:kern w:val="0"/>
          <w:sz w:val="32"/>
          <w:szCs w:val="32"/>
          <w:highlight w:val="none"/>
          <w:shd w:val="clear" w:color="auto" w:fill="FFFFFF"/>
          <w:lang w:val="en-US" w:eastAsia="zh-CN" w:bidi="ar-SA"/>
        </w:rPr>
        <w:t>局</w:t>
      </w:r>
      <w:r>
        <w:rPr>
          <w:rFonts w:hint="default" w:ascii="宋体" w:hAnsi="宋体" w:eastAsia="仿宋_GB2312" w:cs="宋体"/>
          <w:color w:val="auto"/>
          <w:kern w:val="0"/>
          <w:sz w:val="32"/>
          <w:szCs w:val="32"/>
          <w:highlight w:val="none"/>
          <w:shd w:val="clear" w:color="auto" w:fill="FFFFFF"/>
          <w:lang w:val="en-US" w:eastAsia="zh-CN" w:bidi="ar-SA"/>
        </w:rPr>
        <w:t>部门预算项目</w:t>
      </w:r>
      <w:r>
        <w:rPr>
          <w:rFonts w:hint="eastAsia" w:ascii="宋体" w:hAnsi="宋体" w:eastAsia="仿宋_GB2312" w:cs="宋体"/>
          <w:color w:val="auto"/>
          <w:kern w:val="0"/>
          <w:sz w:val="32"/>
          <w:szCs w:val="32"/>
          <w:highlight w:val="none"/>
          <w:shd w:val="clear" w:color="auto" w:fill="FFFFFF"/>
          <w:lang w:val="en-US" w:eastAsia="zh-CN" w:bidi="ar-SA"/>
        </w:rPr>
        <w:t>。</w:t>
      </w:r>
      <w:r>
        <w:rPr>
          <w:rFonts w:hint="default" w:ascii="宋体" w:hAnsi="宋体" w:eastAsia="仿宋_GB2312" w:cs="宋体"/>
          <w:color w:val="auto"/>
          <w:kern w:val="0"/>
          <w:sz w:val="32"/>
          <w:szCs w:val="32"/>
          <w:highlight w:val="none"/>
          <w:shd w:val="clear" w:color="auto" w:fill="FFFFFF"/>
          <w:lang w:val="en-US" w:eastAsia="zh-CN" w:bidi="ar-SA"/>
        </w:rPr>
        <w:t>其中对“</w:t>
      </w:r>
      <w:r>
        <w:rPr>
          <w:rFonts w:hint="eastAsia" w:ascii="宋体" w:hAnsi="宋体" w:eastAsia="仿宋_GB2312" w:cs="宋体"/>
          <w:color w:val="auto"/>
          <w:kern w:val="0"/>
          <w:sz w:val="32"/>
          <w:szCs w:val="32"/>
          <w:highlight w:val="none"/>
          <w:shd w:val="clear" w:color="auto" w:fill="FFFFFF"/>
          <w:lang w:val="en-US" w:eastAsia="zh-CN" w:bidi="ar-SA"/>
        </w:rPr>
        <w:t>驻外分局工作经费及房租”、</w:t>
      </w:r>
      <w:r>
        <w:rPr>
          <w:rFonts w:hint="default" w:ascii="宋体" w:hAnsi="宋体" w:eastAsia="仿宋_GB2312" w:cs="宋体"/>
          <w:color w:val="auto"/>
          <w:kern w:val="0"/>
          <w:sz w:val="32"/>
          <w:szCs w:val="32"/>
          <w:highlight w:val="none"/>
          <w:shd w:val="clear" w:color="auto" w:fill="FFFFFF"/>
          <w:lang w:val="en-US" w:eastAsia="zh-CN" w:bidi="ar-SA"/>
        </w:rPr>
        <w:t>“</w:t>
      </w:r>
      <w:r>
        <w:rPr>
          <w:rFonts w:hint="eastAsia" w:ascii="宋体" w:hAnsi="宋体" w:eastAsia="仿宋_GB2312" w:cs="宋体"/>
          <w:color w:val="auto"/>
          <w:kern w:val="0"/>
          <w:sz w:val="32"/>
          <w:szCs w:val="32"/>
          <w:highlight w:val="none"/>
          <w:shd w:val="clear" w:color="auto" w:fill="FFFFFF"/>
          <w:lang w:val="en-US" w:eastAsia="zh-CN" w:bidi="ar-SA"/>
        </w:rPr>
        <w:t>乡村振兴</w:t>
      </w:r>
      <w:r>
        <w:rPr>
          <w:rFonts w:hint="default" w:ascii="宋体" w:hAnsi="宋体" w:eastAsia="仿宋_GB2312" w:cs="宋体"/>
          <w:color w:val="auto"/>
          <w:kern w:val="0"/>
          <w:sz w:val="32"/>
          <w:szCs w:val="32"/>
          <w:highlight w:val="none"/>
          <w:shd w:val="clear" w:color="auto" w:fill="FFFFFF"/>
          <w:lang w:val="en-US" w:eastAsia="zh-CN" w:bidi="ar-SA"/>
        </w:rPr>
        <w:t>”、“</w:t>
      </w:r>
      <w:r>
        <w:rPr>
          <w:rFonts w:hint="eastAsia" w:ascii="宋体" w:hAnsi="宋体" w:eastAsia="仿宋_GB2312" w:cs="宋体"/>
          <w:color w:val="auto"/>
          <w:kern w:val="0"/>
          <w:sz w:val="32"/>
          <w:szCs w:val="32"/>
          <w:highlight w:val="none"/>
          <w:shd w:val="clear" w:color="auto" w:fill="FFFFFF"/>
          <w:lang w:val="en-US" w:eastAsia="zh-CN" w:bidi="ar-SA"/>
        </w:rPr>
        <w:t>招商引资</w:t>
      </w:r>
      <w:r>
        <w:rPr>
          <w:rFonts w:hint="default" w:ascii="宋体" w:hAnsi="宋体" w:eastAsia="仿宋_GB2312" w:cs="宋体"/>
          <w:color w:val="auto"/>
          <w:kern w:val="0"/>
          <w:sz w:val="32"/>
          <w:szCs w:val="32"/>
          <w:highlight w:val="none"/>
          <w:shd w:val="clear" w:color="auto" w:fill="FFFFFF"/>
          <w:lang w:val="en-US" w:eastAsia="zh-CN" w:bidi="ar-SA"/>
        </w:rPr>
        <w:t>”</w:t>
      </w:r>
      <w:r>
        <w:rPr>
          <w:rFonts w:hint="eastAsia" w:ascii="宋体" w:hAnsi="宋体" w:eastAsia="仿宋_GB2312" w:cs="宋体"/>
          <w:color w:val="auto"/>
          <w:kern w:val="0"/>
          <w:sz w:val="32"/>
          <w:szCs w:val="32"/>
          <w:highlight w:val="none"/>
          <w:shd w:val="clear" w:color="auto" w:fill="FFFFFF"/>
          <w:lang w:val="en-US" w:eastAsia="zh-CN" w:bidi="ar-SA"/>
        </w:rPr>
        <w:t>3个</w:t>
      </w:r>
      <w:r>
        <w:rPr>
          <w:rFonts w:hint="default" w:ascii="宋体" w:hAnsi="宋体" w:eastAsia="仿宋_GB2312" w:cs="宋体"/>
          <w:color w:val="auto"/>
          <w:kern w:val="0"/>
          <w:sz w:val="32"/>
          <w:szCs w:val="32"/>
          <w:highlight w:val="none"/>
          <w:shd w:val="clear" w:color="auto" w:fill="FFFFFF"/>
          <w:lang w:val="en-US" w:eastAsia="zh-CN" w:bidi="ar-SA"/>
        </w:rPr>
        <w:t>项目，同步编制了绩效目标，细化量化数量指标、成本指标、效益指标等，详细反映了相应项目工作任务达成的效果</w:t>
      </w:r>
      <w:r>
        <w:rPr>
          <w:rFonts w:hint="eastAsia" w:ascii="宋体" w:hAnsi="宋体" w:eastAsia="仿宋_GB2312" w:cs="宋体"/>
          <w:color w:val="auto"/>
          <w:kern w:val="0"/>
          <w:sz w:val="32"/>
          <w:szCs w:val="32"/>
          <w:highlight w:val="none"/>
          <w:shd w:val="clear" w:color="auto" w:fill="FFFFFF"/>
          <w:lang w:val="en-US" w:eastAsia="zh-CN" w:bidi="ar-SA"/>
        </w:rPr>
        <w:t>。</w:t>
      </w:r>
    </w:p>
    <w:p>
      <w:pPr>
        <w:keepNext w:val="0"/>
        <w:keepLines w:val="0"/>
        <w:pageBreakBefore w:val="0"/>
        <w:widowControl w:val="0"/>
        <w:shd w:val="clear"/>
        <w:kinsoku/>
        <w:wordWrap/>
        <w:overflowPunct/>
        <w:topLinePunct w:val="0"/>
        <w:autoSpaceDE/>
        <w:autoSpaceDN/>
        <w:bidi w:val="0"/>
        <w:adjustRightInd w:val="0"/>
        <w:snapToGrid w:val="0"/>
        <w:spacing w:line="576" w:lineRule="exact"/>
        <w:ind w:firstLine="640" w:firstLineChars="200"/>
        <w:contextualSpacing/>
        <w:jc w:val="both"/>
        <w:textAlignment w:val="auto"/>
        <w:outlineLvl w:val="9"/>
        <w:rPr>
          <w:rFonts w:hint="eastAsia" w:ascii="楷体_GB2312" w:hAnsi="楷体_GB2312" w:eastAsia="楷体_GB2312" w:cs="楷体_GB2312"/>
          <w:color w:val="auto"/>
          <w:kern w:val="0"/>
          <w:sz w:val="32"/>
          <w:szCs w:val="32"/>
          <w:highlight w:val="none"/>
          <w:shd w:val="clear" w:color="auto" w:fill="FFFFFF"/>
          <w:lang w:val="zh-CN" w:eastAsia="zh-CN" w:bidi="ar-SA"/>
        </w:rPr>
      </w:pPr>
      <w:r>
        <w:rPr>
          <w:rFonts w:hint="eastAsia" w:ascii="楷体_GB2312" w:hAnsi="楷体_GB2312" w:eastAsia="楷体_GB2312" w:cs="楷体_GB2312"/>
          <w:color w:val="auto"/>
          <w:kern w:val="0"/>
          <w:sz w:val="32"/>
          <w:szCs w:val="32"/>
          <w:highlight w:val="none"/>
          <w:shd w:val="clear" w:color="auto" w:fill="FFFFFF"/>
          <w:lang w:val="zh-CN" w:eastAsia="zh-CN" w:bidi="ar-SA"/>
        </w:rPr>
        <w:t>（二）部门整体履职绩效分析</w:t>
      </w:r>
    </w:p>
    <w:p>
      <w:pPr>
        <w:keepNext w:val="0"/>
        <w:keepLines w:val="0"/>
        <w:pageBreakBefore w:val="0"/>
        <w:widowControl w:val="0"/>
        <w:shd w:val="clear"/>
        <w:kinsoku/>
        <w:wordWrap/>
        <w:overflowPunct/>
        <w:topLinePunct w:val="0"/>
        <w:autoSpaceDE/>
        <w:autoSpaceDN/>
        <w:bidi w:val="0"/>
        <w:adjustRightInd w:val="0"/>
        <w:snapToGrid w:val="0"/>
        <w:spacing w:line="576" w:lineRule="exact"/>
        <w:ind w:firstLine="640" w:firstLineChars="200"/>
        <w:contextualSpacing/>
        <w:jc w:val="both"/>
        <w:textAlignment w:val="auto"/>
        <w:outlineLvl w:val="9"/>
        <w:rPr>
          <w:rFonts w:hint="eastAsia" w:ascii="宋体" w:hAnsi="宋体" w:eastAsia="仿宋_GB2312" w:cs="宋体"/>
          <w:color w:val="auto"/>
          <w:kern w:val="0"/>
          <w:sz w:val="32"/>
          <w:szCs w:val="32"/>
          <w:highlight w:val="none"/>
          <w:shd w:val="clear" w:color="auto" w:fill="FFFFFF"/>
          <w:lang w:val="zh-CN" w:eastAsia="zh-CN" w:bidi="ar-SA"/>
        </w:rPr>
      </w:pPr>
      <w:r>
        <w:rPr>
          <w:rFonts w:hint="eastAsia" w:ascii="宋体" w:hAnsi="宋体" w:eastAsia="仿宋_GB2312" w:cs="宋体"/>
          <w:color w:val="auto"/>
          <w:kern w:val="0"/>
          <w:sz w:val="32"/>
          <w:szCs w:val="32"/>
          <w:highlight w:val="none"/>
          <w:shd w:val="clear" w:color="auto" w:fill="FFFFFF"/>
          <w:lang w:val="zh-CN" w:eastAsia="zh-CN" w:bidi="ar-SA"/>
        </w:rPr>
        <w:t>1</w:t>
      </w:r>
      <w:r>
        <w:rPr>
          <w:rFonts w:hint="eastAsia" w:ascii="宋体" w:hAnsi="宋体" w:eastAsia="仿宋_GB2312" w:cs="宋体"/>
          <w:color w:val="auto"/>
          <w:kern w:val="0"/>
          <w:sz w:val="32"/>
          <w:szCs w:val="32"/>
          <w:highlight w:val="none"/>
          <w:shd w:val="clear" w:color="auto" w:fill="FFFFFF"/>
          <w:lang w:val="en-US" w:eastAsia="zh-CN" w:bidi="ar-SA"/>
        </w:rPr>
        <w:t>.</w:t>
      </w:r>
      <w:r>
        <w:rPr>
          <w:rFonts w:hint="eastAsia" w:ascii="宋体" w:hAnsi="宋体" w:eastAsia="仿宋_GB2312" w:cs="宋体"/>
          <w:color w:val="auto"/>
          <w:kern w:val="0"/>
          <w:sz w:val="32"/>
          <w:szCs w:val="32"/>
          <w:highlight w:val="none"/>
          <w:shd w:val="clear" w:color="auto" w:fill="FFFFFF"/>
          <w:lang w:val="zh-CN" w:eastAsia="zh-CN" w:bidi="ar-SA"/>
        </w:rPr>
        <w:t>预算编审管理情况分析</w:t>
      </w:r>
    </w:p>
    <w:p>
      <w:pPr>
        <w:pStyle w:val="6"/>
        <w:keepNext w:val="0"/>
        <w:keepLines w:val="0"/>
        <w:pageBreakBefore w:val="0"/>
        <w:widowControl/>
        <w:shd w:val="clear"/>
        <w:kinsoku/>
        <w:wordWrap/>
        <w:overflowPunct/>
        <w:topLinePunct w:val="0"/>
        <w:autoSpaceDE/>
        <w:autoSpaceDN/>
        <w:bidi w:val="0"/>
        <w:adjustRightInd/>
        <w:snapToGrid/>
        <w:spacing w:line="576" w:lineRule="exact"/>
        <w:ind w:firstLine="573"/>
        <w:jc w:val="both"/>
        <w:textAlignment w:val="auto"/>
        <w:outlineLvl w:val="9"/>
        <w:rPr>
          <w:rFonts w:hint="eastAsia" w:ascii="宋体" w:hAnsi="宋体" w:eastAsia="仿宋_GB2312" w:cs="宋体"/>
          <w:b w:val="0"/>
          <w:bCs w:val="0"/>
          <w:color w:val="auto"/>
          <w:kern w:val="0"/>
          <w:sz w:val="32"/>
          <w:szCs w:val="32"/>
          <w:highlight w:val="none"/>
          <w:shd w:val="clear" w:color="auto" w:fill="FFFFFF"/>
          <w:lang w:val="zh-CN" w:eastAsia="zh-CN" w:bidi="ar-SA"/>
        </w:rPr>
      </w:pPr>
      <w:r>
        <w:rPr>
          <w:rFonts w:hint="eastAsia" w:ascii="宋体" w:hAnsi="宋体" w:eastAsia="仿宋_GB2312" w:cs="宋体"/>
          <w:b w:val="0"/>
          <w:bCs w:val="0"/>
          <w:color w:val="auto"/>
          <w:kern w:val="0"/>
          <w:sz w:val="32"/>
          <w:szCs w:val="32"/>
          <w:highlight w:val="none"/>
          <w:shd w:val="clear" w:color="auto" w:fill="FFFFFF"/>
          <w:lang w:val="zh-CN" w:eastAsia="zh-CN" w:bidi="ar-SA"/>
        </w:rPr>
        <w:t>我</w:t>
      </w:r>
      <w:r>
        <w:rPr>
          <w:rFonts w:hint="eastAsia" w:ascii="宋体" w:hAnsi="宋体" w:cs="宋体"/>
          <w:b w:val="0"/>
          <w:bCs w:val="0"/>
          <w:color w:val="auto"/>
          <w:kern w:val="0"/>
          <w:sz w:val="32"/>
          <w:szCs w:val="32"/>
          <w:highlight w:val="none"/>
          <w:shd w:val="clear" w:color="auto" w:fill="FFFFFF"/>
          <w:lang w:val="zh-CN" w:eastAsia="zh-CN" w:bidi="ar-SA"/>
        </w:rPr>
        <w:t>局</w:t>
      </w:r>
      <w:r>
        <w:rPr>
          <w:rFonts w:hint="eastAsia" w:ascii="宋体" w:hAnsi="宋体" w:eastAsia="仿宋_GB2312" w:cs="宋体"/>
          <w:b w:val="0"/>
          <w:bCs w:val="0"/>
          <w:color w:val="auto"/>
          <w:kern w:val="0"/>
          <w:sz w:val="32"/>
          <w:szCs w:val="32"/>
          <w:highlight w:val="none"/>
          <w:shd w:val="clear" w:color="auto" w:fill="FFFFFF"/>
          <w:lang w:val="zh-CN" w:eastAsia="zh-CN" w:bidi="ar-SA"/>
        </w:rPr>
        <w:t>严格按照《中华人民共和国预算法》等财政预算管理办法编制部门预算，各项收入应编尽编，全口径纳入预算管理，编制完整无漏项。基本支出严格按照实际人员编制编报，无虚报、冒领人员经费、公用经费现象；项目支出按照上级和市委、市政府下达的工作目标任务，并结合我</w:t>
      </w:r>
      <w:r>
        <w:rPr>
          <w:rFonts w:hint="eastAsia" w:ascii="宋体" w:hAnsi="宋体" w:cs="宋体"/>
          <w:b w:val="0"/>
          <w:bCs w:val="0"/>
          <w:color w:val="auto"/>
          <w:kern w:val="0"/>
          <w:sz w:val="32"/>
          <w:szCs w:val="32"/>
          <w:highlight w:val="none"/>
          <w:shd w:val="clear" w:color="auto" w:fill="FFFFFF"/>
          <w:lang w:val="zh-CN" w:eastAsia="zh-CN" w:bidi="ar-SA"/>
        </w:rPr>
        <w:t>单位</w:t>
      </w:r>
      <w:r>
        <w:rPr>
          <w:rFonts w:hint="eastAsia" w:ascii="宋体" w:hAnsi="宋体" w:eastAsia="仿宋_GB2312" w:cs="宋体"/>
          <w:b w:val="0"/>
          <w:bCs w:val="0"/>
          <w:color w:val="auto"/>
          <w:kern w:val="0"/>
          <w:sz w:val="32"/>
          <w:szCs w:val="32"/>
          <w:highlight w:val="none"/>
          <w:shd w:val="clear" w:color="auto" w:fill="FFFFFF"/>
          <w:lang w:val="zh-CN" w:eastAsia="zh-CN" w:bidi="ar-SA"/>
        </w:rPr>
        <w:t>职能职责进行编制，做到资料完整、依据充分。部门预算编列预算科目合理，但预算支出明细科目编制不够</w:t>
      </w:r>
      <w:r>
        <w:rPr>
          <w:rFonts w:hint="eastAsia" w:ascii="宋体" w:hAnsi="宋体" w:cs="宋体"/>
          <w:b w:val="0"/>
          <w:bCs w:val="0"/>
          <w:color w:val="auto"/>
          <w:kern w:val="0"/>
          <w:sz w:val="32"/>
          <w:szCs w:val="32"/>
          <w:highlight w:val="none"/>
          <w:shd w:val="clear" w:color="auto" w:fill="FFFFFF"/>
          <w:lang w:val="en-US" w:eastAsia="zh-CN" w:bidi="ar-SA"/>
        </w:rPr>
        <w:t>精准</w:t>
      </w:r>
      <w:r>
        <w:rPr>
          <w:rFonts w:hint="eastAsia" w:ascii="宋体" w:hAnsi="宋体" w:eastAsia="仿宋_GB2312" w:cs="宋体"/>
          <w:b w:val="0"/>
          <w:bCs w:val="0"/>
          <w:color w:val="auto"/>
          <w:kern w:val="0"/>
          <w:sz w:val="32"/>
          <w:szCs w:val="32"/>
          <w:highlight w:val="none"/>
          <w:shd w:val="clear" w:color="auto" w:fill="FFFFFF"/>
          <w:lang w:val="zh-CN" w:eastAsia="zh-CN" w:bidi="ar-SA"/>
        </w:rPr>
        <w:t>，预算实际使用过程中容易产生偏差，无法准确预计全年经济活动。</w:t>
      </w:r>
    </w:p>
    <w:p>
      <w:pPr>
        <w:keepNext w:val="0"/>
        <w:keepLines w:val="0"/>
        <w:pageBreakBefore w:val="0"/>
        <w:widowControl w:val="0"/>
        <w:shd w:val="clear"/>
        <w:kinsoku/>
        <w:wordWrap/>
        <w:overflowPunct/>
        <w:topLinePunct w:val="0"/>
        <w:autoSpaceDE/>
        <w:autoSpaceDN/>
        <w:bidi w:val="0"/>
        <w:adjustRightInd w:val="0"/>
        <w:snapToGrid w:val="0"/>
        <w:spacing w:line="576" w:lineRule="exact"/>
        <w:ind w:firstLine="640" w:firstLineChars="200"/>
        <w:contextualSpacing/>
        <w:jc w:val="both"/>
        <w:textAlignment w:val="auto"/>
        <w:outlineLvl w:val="9"/>
        <w:rPr>
          <w:rFonts w:hint="eastAsia" w:ascii="宋体" w:hAnsi="宋体" w:eastAsia="仿宋_GB2312" w:cs="宋体"/>
          <w:color w:val="auto"/>
          <w:kern w:val="0"/>
          <w:sz w:val="32"/>
          <w:szCs w:val="32"/>
          <w:highlight w:val="none"/>
          <w:shd w:val="clear" w:color="auto" w:fill="FFFFFF"/>
          <w:lang w:val="en-US" w:eastAsia="zh-CN" w:bidi="ar-SA"/>
        </w:rPr>
      </w:pPr>
      <w:r>
        <w:rPr>
          <w:rFonts w:hint="eastAsia" w:ascii="宋体" w:hAnsi="宋体" w:eastAsia="仿宋_GB2312" w:cs="宋体"/>
          <w:color w:val="auto"/>
          <w:kern w:val="0"/>
          <w:sz w:val="32"/>
          <w:szCs w:val="32"/>
          <w:highlight w:val="none"/>
          <w:shd w:val="clear" w:color="auto" w:fill="FFFFFF"/>
          <w:lang w:val="en-US" w:eastAsia="zh-CN" w:bidi="ar-SA"/>
        </w:rPr>
        <w:t>2.2022年</w:t>
      </w:r>
      <w:r>
        <w:rPr>
          <w:rFonts w:hint="eastAsia" w:ascii="宋体" w:hAnsi="宋体" w:eastAsia="仿宋_GB2312" w:cs="宋体"/>
          <w:color w:val="auto"/>
          <w:kern w:val="0"/>
          <w:sz w:val="32"/>
          <w:szCs w:val="32"/>
          <w:highlight w:val="none"/>
          <w:shd w:val="clear" w:color="auto" w:fill="FFFFFF"/>
          <w:lang w:val="zh-CN" w:eastAsia="zh-CN" w:bidi="ar-SA"/>
        </w:rPr>
        <w:t>年初预算</w:t>
      </w:r>
      <w:r>
        <w:rPr>
          <w:rFonts w:hint="eastAsia" w:ascii="宋体" w:hAnsi="宋体" w:eastAsia="仿宋_GB2312" w:cs="宋体"/>
          <w:color w:val="auto"/>
          <w:kern w:val="0"/>
          <w:sz w:val="32"/>
          <w:szCs w:val="32"/>
          <w:highlight w:val="none"/>
          <w:shd w:val="clear" w:color="auto" w:fill="FFFFFF"/>
          <w:lang w:val="en-US" w:eastAsia="zh-CN" w:bidi="ar-SA"/>
        </w:rPr>
        <w:t>1066.13万元</w:t>
      </w:r>
      <w:r>
        <w:rPr>
          <w:rFonts w:hint="eastAsia" w:ascii="宋体" w:hAnsi="宋体" w:eastAsia="仿宋_GB2312" w:cs="宋体"/>
          <w:color w:val="auto"/>
          <w:kern w:val="0"/>
          <w:sz w:val="32"/>
          <w:szCs w:val="32"/>
          <w:highlight w:val="none"/>
          <w:shd w:val="clear" w:color="auto" w:fill="FFFFFF"/>
          <w:lang w:val="zh-CN" w:eastAsia="zh-CN" w:bidi="ar-SA"/>
        </w:rPr>
        <w:t>，</w:t>
      </w:r>
      <w:r>
        <w:rPr>
          <w:rFonts w:hint="eastAsia" w:ascii="宋体" w:hAnsi="宋体" w:eastAsia="仿宋_GB2312" w:cs="宋体"/>
          <w:color w:val="auto"/>
          <w:kern w:val="0"/>
          <w:sz w:val="32"/>
          <w:szCs w:val="32"/>
          <w:highlight w:val="none"/>
          <w:shd w:val="clear" w:color="auto" w:fill="FFFFFF"/>
          <w:lang w:val="en-US" w:eastAsia="zh-CN" w:bidi="ar-SA"/>
        </w:rPr>
        <w:t>年中追加预算693.37万元，全年预算共计1759.5万元，全年实际执行金额1588.71万元，全年预算执行率90.29%，主要原因为2022年期间疫情影响，外出招商活动较少，招商项目资金支付结余较大，导致预算执行率较低。</w:t>
      </w:r>
    </w:p>
    <w:p>
      <w:pPr>
        <w:keepNext w:val="0"/>
        <w:keepLines w:val="0"/>
        <w:pageBreakBefore w:val="0"/>
        <w:widowControl w:val="0"/>
        <w:shd w:val="clear"/>
        <w:kinsoku/>
        <w:wordWrap/>
        <w:overflowPunct/>
        <w:topLinePunct w:val="0"/>
        <w:autoSpaceDE/>
        <w:autoSpaceDN/>
        <w:bidi w:val="0"/>
        <w:adjustRightInd w:val="0"/>
        <w:snapToGrid w:val="0"/>
        <w:spacing w:line="576" w:lineRule="exact"/>
        <w:ind w:firstLine="640" w:firstLineChars="200"/>
        <w:contextualSpacing/>
        <w:jc w:val="both"/>
        <w:textAlignment w:val="auto"/>
        <w:outlineLvl w:val="9"/>
        <w:rPr>
          <w:rFonts w:hint="eastAsia" w:ascii="宋体" w:hAnsi="宋体" w:eastAsia="仿宋_GB2312" w:cs="宋体"/>
          <w:color w:val="auto"/>
          <w:kern w:val="0"/>
          <w:sz w:val="32"/>
          <w:szCs w:val="32"/>
          <w:highlight w:val="none"/>
          <w:shd w:val="clear" w:color="auto" w:fill="FFFFFF"/>
          <w:lang w:val="en-US" w:eastAsia="zh-CN" w:bidi="ar-SA"/>
        </w:rPr>
      </w:pPr>
      <w:r>
        <w:rPr>
          <w:rFonts w:hint="eastAsia" w:ascii="宋体" w:hAnsi="宋体" w:eastAsia="仿宋_GB2312" w:cs="宋体"/>
          <w:color w:val="auto"/>
          <w:kern w:val="0"/>
          <w:sz w:val="32"/>
          <w:szCs w:val="32"/>
          <w:highlight w:val="none"/>
          <w:shd w:val="clear" w:color="auto" w:fill="FFFFFF"/>
          <w:lang w:val="en-US" w:eastAsia="zh-CN" w:bidi="ar-SA"/>
        </w:rPr>
        <w:t>3.预决算信息公开性</w:t>
      </w:r>
    </w:p>
    <w:p>
      <w:pPr>
        <w:keepNext w:val="0"/>
        <w:keepLines w:val="0"/>
        <w:pageBreakBefore w:val="0"/>
        <w:numPr>
          <w:ilvl w:val="0"/>
          <w:numId w:val="0"/>
        </w:numPr>
        <w:shd w:val="clear"/>
        <w:kinsoku/>
        <w:wordWrap/>
        <w:overflowPunct/>
        <w:topLinePunct w:val="0"/>
        <w:autoSpaceDE/>
        <w:autoSpaceDN/>
        <w:bidi w:val="0"/>
        <w:spacing w:line="576" w:lineRule="exact"/>
        <w:ind w:firstLine="640" w:firstLineChars="200"/>
        <w:jc w:val="both"/>
        <w:textAlignment w:val="auto"/>
        <w:outlineLvl w:val="9"/>
        <w:rPr>
          <w:rFonts w:hint="eastAsia" w:ascii="宋体" w:hAnsi="宋体" w:cs="宋体"/>
          <w:b w:val="0"/>
          <w:bCs w:val="0"/>
          <w:color w:val="auto"/>
          <w:kern w:val="0"/>
          <w:sz w:val="32"/>
          <w:szCs w:val="32"/>
          <w:highlight w:val="none"/>
          <w:shd w:val="clear" w:color="auto" w:fill="FFFFFF"/>
          <w:lang w:val="zh-CN" w:eastAsia="zh-CN" w:bidi="ar-SA"/>
        </w:rPr>
      </w:pPr>
      <w:r>
        <w:rPr>
          <w:rFonts w:hint="eastAsia" w:ascii="宋体" w:hAnsi="宋体" w:eastAsia="仿宋_GB2312" w:cs="宋体"/>
          <w:b w:val="0"/>
          <w:bCs w:val="0"/>
          <w:color w:val="auto"/>
          <w:kern w:val="0"/>
          <w:sz w:val="32"/>
          <w:szCs w:val="32"/>
          <w:highlight w:val="none"/>
          <w:shd w:val="clear" w:color="auto" w:fill="FFFFFF"/>
          <w:lang w:val="zh-CN" w:eastAsia="zh-CN" w:bidi="ar-SA"/>
        </w:rPr>
        <w:t>我</w:t>
      </w:r>
      <w:r>
        <w:rPr>
          <w:rFonts w:hint="eastAsia" w:ascii="宋体" w:hAnsi="宋体" w:cs="宋体"/>
          <w:b w:val="0"/>
          <w:bCs w:val="0"/>
          <w:color w:val="auto"/>
          <w:kern w:val="0"/>
          <w:sz w:val="32"/>
          <w:szCs w:val="32"/>
          <w:highlight w:val="none"/>
          <w:shd w:val="clear" w:color="auto" w:fill="FFFFFF"/>
          <w:lang w:val="zh-CN" w:eastAsia="zh-CN" w:bidi="ar-SA"/>
        </w:rPr>
        <w:t>局</w:t>
      </w:r>
      <w:r>
        <w:rPr>
          <w:rFonts w:hint="eastAsia" w:ascii="宋体" w:hAnsi="宋体" w:eastAsia="仿宋_GB2312" w:cs="宋体"/>
          <w:b w:val="0"/>
          <w:bCs w:val="0"/>
          <w:color w:val="auto"/>
          <w:kern w:val="0"/>
          <w:sz w:val="32"/>
          <w:szCs w:val="32"/>
          <w:highlight w:val="none"/>
          <w:shd w:val="clear" w:color="auto" w:fill="FFFFFF"/>
          <w:lang w:val="zh-CN" w:eastAsia="zh-CN" w:bidi="ar-SA"/>
        </w:rPr>
        <w:t>已按规定内容</w:t>
      </w:r>
      <w:r>
        <w:rPr>
          <w:rFonts w:hint="eastAsia" w:ascii="宋体" w:hAnsi="宋体" w:cs="宋体"/>
          <w:b w:val="0"/>
          <w:bCs w:val="0"/>
          <w:color w:val="auto"/>
          <w:kern w:val="0"/>
          <w:sz w:val="32"/>
          <w:szCs w:val="32"/>
          <w:highlight w:val="none"/>
          <w:shd w:val="clear" w:color="auto" w:fill="FFFFFF"/>
          <w:lang w:val="zh-CN" w:eastAsia="zh-CN" w:bidi="ar-SA"/>
        </w:rPr>
        <w:t>、</w:t>
      </w:r>
      <w:r>
        <w:rPr>
          <w:rFonts w:hint="eastAsia" w:ascii="宋体" w:hAnsi="宋体" w:eastAsia="仿宋_GB2312" w:cs="宋体"/>
          <w:b w:val="0"/>
          <w:bCs w:val="0"/>
          <w:color w:val="auto"/>
          <w:kern w:val="0"/>
          <w:sz w:val="32"/>
          <w:szCs w:val="32"/>
          <w:highlight w:val="none"/>
          <w:shd w:val="clear" w:color="auto" w:fill="FFFFFF"/>
          <w:lang w:val="zh-CN" w:eastAsia="zh-CN" w:bidi="ar-SA"/>
        </w:rPr>
        <w:t>规定时限公开预决算信息，提供的基础数据信息和会计信息资料真实、完整、准确</w:t>
      </w:r>
      <w:r>
        <w:rPr>
          <w:rFonts w:hint="eastAsia" w:ascii="宋体" w:hAnsi="宋体" w:cs="宋体"/>
          <w:b w:val="0"/>
          <w:bCs w:val="0"/>
          <w:color w:val="auto"/>
          <w:kern w:val="0"/>
          <w:sz w:val="32"/>
          <w:szCs w:val="32"/>
          <w:highlight w:val="none"/>
          <w:shd w:val="clear" w:color="auto" w:fill="FFFFFF"/>
          <w:lang w:val="zh-CN" w:eastAsia="zh-CN" w:bidi="ar-SA"/>
        </w:rPr>
        <w:t>。</w:t>
      </w:r>
    </w:p>
    <w:p>
      <w:pPr>
        <w:keepNext w:val="0"/>
        <w:keepLines w:val="0"/>
        <w:pageBreakBefore w:val="0"/>
        <w:widowControl w:val="0"/>
        <w:shd w:val="clear"/>
        <w:kinsoku/>
        <w:wordWrap/>
        <w:overflowPunct/>
        <w:topLinePunct w:val="0"/>
        <w:autoSpaceDE/>
        <w:autoSpaceDN/>
        <w:bidi w:val="0"/>
        <w:adjustRightInd w:val="0"/>
        <w:snapToGrid w:val="0"/>
        <w:spacing w:line="576" w:lineRule="exact"/>
        <w:ind w:firstLine="640" w:firstLineChars="200"/>
        <w:contextualSpacing/>
        <w:jc w:val="both"/>
        <w:textAlignment w:val="auto"/>
        <w:outlineLvl w:val="9"/>
        <w:rPr>
          <w:rFonts w:hint="eastAsia" w:ascii="宋体" w:hAnsi="宋体" w:eastAsia="仿宋_GB2312" w:cs="宋体"/>
          <w:color w:val="auto"/>
          <w:kern w:val="0"/>
          <w:sz w:val="32"/>
          <w:szCs w:val="32"/>
          <w:highlight w:val="none"/>
          <w:shd w:val="clear" w:color="auto" w:fill="FFFFFF"/>
          <w:lang w:val="en-US" w:eastAsia="zh-CN" w:bidi="ar-SA"/>
        </w:rPr>
      </w:pPr>
      <w:r>
        <w:rPr>
          <w:rFonts w:hint="eastAsia" w:ascii="宋体" w:hAnsi="宋体" w:eastAsia="仿宋_GB2312" w:cs="宋体"/>
          <w:color w:val="auto"/>
          <w:kern w:val="0"/>
          <w:sz w:val="32"/>
          <w:szCs w:val="32"/>
          <w:highlight w:val="none"/>
          <w:shd w:val="clear" w:color="auto" w:fill="FFFFFF"/>
          <w:lang w:val="en-US" w:eastAsia="zh-CN" w:bidi="ar-SA"/>
        </w:rPr>
        <w:t>4.部门预算管理</w:t>
      </w:r>
    </w:p>
    <w:p>
      <w:pPr>
        <w:keepNext w:val="0"/>
        <w:keepLines w:val="0"/>
        <w:pageBreakBefore w:val="0"/>
        <w:widowControl w:val="0"/>
        <w:shd w:val="clear"/>
        <w:kinsoku/>
        <w:wordWrap/>
        <w:overflowPunct/>
        <w:topLinePunct w:val="0"/>
        <w:autoSpaceDE/>
        <w:autoSpaceDN/>
        <w:bidi w:val="0"/>
        <w:adjustRightInd w:val="0"/>
        <w:snapToGrid w:val="0"/>
        <w:spacing w:line="576" w:lineRule="exact"/>
        <w:ind w:firstLine="640" w:firstLineChars="200"/>
        <w:contextualSpacing/>
        <w:jc w:val="both"/>
        <w:textAlignment w:val="auto"/>
        <w:outlineLvl w:val="9"/>
        <w:rPr>
          <w:rFonts w:hint="eastAsia" w:ascii="宋体" w:hAnsi="宋体" w:eastAsia="仿宋_GB2312" w:cs="宋体"/>
          <w:color w:val="auto"/>
          <w:kern w:val="0"/>
          <w:sz w:val="32"/>
          <w:szCs w:val="32"/>
          <w:highlight w:val="none"/>
          <w:shd w:val="clear" w:color="auto" w:fill="FFFFFF"/>
          <w:lang w:val="zh-CN" w:eastAsia="zh-CN" w:bidi="ar-SA"/>
        </w:rPr>
      </w:pPr>
      <w:r>
        <w:rPr>
          <w:rFonts w:hint="eastAsia" w:ascii="宋体" w:hAnsi="宋体" w:eastAsia="仿宋_GB2312" w:cs="宋体"/>
          <w:color w:val="auto"/>
          <w:kern w:val="0"/>
          <w:sz w:val="32"/>
          <w:szCs w:val="32"/>
          <w:highlight w:val="none"/>
          <w:shd w:val="clear" w:color="auto" w:fill="FFFFFF"/>
          <w:lang w:val="zh-CN" w:eastAsia="zh-CN" w:bidi="ar-SA"/>
        </w:rPr>
        <w:t>我局</w:t>
      </w:r>
      <w:r>
        <w:rPr>
          <w:rFonts w:hint="eastAsia" w:ascii="宋体" w:hAnsi="宋体" w:eastAsia="仿宋_GB2312" w:cs="宋体"/>
          <w:color w:val="auto"/>
          <w:kern w:val="0"/>
          <w:sz w:val="32"/>
          <w:szCs w:val="32"/>
          <w:highlight w:val="none"/>
          <w:shd w:val="clear" w:color="auto" w:fill="FFFFFF"/>
          <w:lang w:val="en-US" w:eastAsia="zh-CN" w:bidi="ar-SA"/>
        </w:rPr>
        <w:t>2022年末</w:t>
      </w:r>
      <w:r>
        <w:rPr>
          <w:rFonts w:hint="eastAsia" w:ascii="宋体" w:hAnsi="宋体" w:eastAsia="仿宋_GB2312" w:cs="宋体"/>
          <w:color w:val="auto"/>
          <w:kern w:val="0"/>
          <w:sz w:val="32"/>
          <w:szCs w:val="32"/>
          <w:highlight w:val="none"/>
          <w:shd w:val="clear" w:color="auto" w:fill="FFFFFF"/>
          <w:lang w:val="zh-CN" w:eastAsia="zh-CN" w:bidi="ar-SA"/>
        </w:rPr>
        <w:t>实有在职人员</w:t>
      </w:r>
      <w:r>
        <w:rPr>
          <w:rFonts w:hint="eastAsia" w:ascii="宋体" w:hAnsi="宋体" w:eastAsia="仿宋_GB2312" w:cs="宋体"/>
          <w:color w:val="auto"/>
          <w:kern w:val="0"/>
          <w:sz w:val="32"/>
          <w:szCs w:val="32"/>
          <w:highlight w:val="none"/>
          <w:shd w:val="clear" w:color="auto" w:fill="FFFFFF"/>
          <w:lang w:val="en-US" w:eastAsia="zh-CN" w:bidi="ar-SA"/>
        </w:rPr>
        <w:t>45</w:t>
      </w:r>
      <w:r>
        <w:rPr>
          <w:rFonts w:hint="eastAsia" w:ascii="宋体" w:hAnsi="宋体" w:eastAsia="仿宋_GB2312" w:cs="宋体"/>
          <w:color w:val="auto"/>
          <w:kern w:val="0"/>
          <w:sz w:val="32"/>
          <w:szCs w:val="32"/>
          <w:highlight w:val="none"/>
          <w:shd w:val="clear" w:color="auto" w:fill="FFFFFF"/>
          <w:lang w:val="zh-CN" w:eastAsia="zh-CN" w:bidi="ar-SA"/>
        </w:rPr>
        <w:t>人，退休人员</w:t>
      </w:r>
      <w:r>
        <w:rPr>
          <w:rFonts w:hint="eastAsia" w:ascii="宋体" w:hAnsi="宋体" w:eastAsia="仿宋_GB2312" w:cs="宋体"/>
          <w:color w:val="auto"/>
          <w:kern w:val="0"/>
          <w:sz w:val="32"/>
          <w:szCs w:val="32"/>
          <w:highlight w:val="none"/>
          <w:shd w:val="clear" w:color="auto" w:fill="FFFFFF"/>
          <w:lang w:val="en-US" w:eastAsia="zh-CN" w:bidi="ar-SA"/>
        </w:rPr>
        <w:t>29人</w:t>
      </w:r>
      <w:r>
        <w:rPr>
          <w:rFonts w:hint="eastAsia" w:ascii="宋体" w:hAnsi="宋体" w:eastAsia="仿宋_GB2312" w:cs="宋体"/>
          <w:color w:val="auto"/>
          <w:kern w:val="0"/>
          <w:sz w:val="32"/>
          <w:szCs w:val="32"/>
          <w:highlight w:val="none"/>
          <w:shd w:val="clear" w:color="auto" w:fill="FFFFFF"/>
          <w:lang w:val="zh-CN" w:eastAsia="zh-CN" w:bidi="ar-SA"/>
        </w:rPr>
        <w:t>，单位编制人数</w:t>
      </w:r>
      <w:r>
        <w:rPr>
          <w:rFonts w:hint="eastAsia" w:ascii="宋体" w:hAnsi="宋体" w:eastAsia="仿宋_GB2312" w:cs="宋体"/>
          <w:color w:val="auto"/>
          <w:kern w:val="0"/>
          <w:sz w:val="32"/>
          <w:szCs w:val="32"/>
          <w:highlight w:val="none"/>
          <w:shd w:val="clear" w:color="auto" w:fill="FFFFFF"/>
          <w:lang w:val="en-US" w:eastAsia="zh-CN" w:bidi="ar-SA"/>
        </w:rPr>
        <w:t>60人</w:t>
      </w:r>
      <w:r>
        <w:rPr>
          <w:rFonts w:hint="eastAsia" w:ascii="宋体" w:hAnsi="宋体" w:eastAsia="仿宋_GB2312" w:cs="宋体"/>
          <w:color w:val="auto"/>
          <w:kern w:val="0"/>
          <w:sz w:val="32"/>
          <w:szCs w:val="32"/>
          <w:highlight w:val="none"/>
          <w:shd w:val="clear" w:color="auto" w:fill="FFFFFF"/>
          <w:lang w:val="zh-CN" w:eastAsia="zh-CN" w:bidi="ar-SA"/>
        </w:rPr>
        <w:t>，在职人员控制率</w:t>
      </w:r>
      <w:r>
        <w:rPr>
          <w:rFonts w:hint="eastAsia" w:ascii="宋体" w:hAnsi="宋体" w:eastAsia="仿宋_GB2312" w:cs="宋体"/>
          <w:color w:val="auto"/>
          <w:kern w:val="0"/>
          <w:sz w:val="32"/>
          <w:szCs w:val="32"/>
          <w:highlight w:val="none"/>
          <w:shd w:val="clear" w:color="auto" w:fill="FFFFFF"/>
          <w:lang w:val="en-US" w:eastAsia="zh-CN" w:bidi="ar-SA"/>
        </w:rPr>
        <w:t>75</w:t>
      </w:r>
      <w:r>
        <w:rPr>
          <w:rFonts w:hint="eastAsia" w:ascii="宋体" w:hAnsi="宋体" w:eastAsia="仿宋_GB2312" w:cs="宋体"/>
          <w:color w:val="auto"/>
          <w:kern w:val="0"/>
          <w:sz w:val="32"/>
          <w:szCs w:val="32"/>
          <w:highlight w:val="none"/>
          <w:shd w:val="clear" w:color="auto" w:fill="FFFFFF"/>
          <w:lang w:val="zh-CN" w:eastAsia="zh-CN" w:bidi="ar-SA"/>
        </w:rPr>
        <w:t>%，未超编制。我局</w:t>
      </w:r>
      <w:r>
        <w:rPr>
          <w:rFonts w:hint="eastAsia" w:ascii="宋体" w:hAnsi="宋体" w:eastAsia="仿宋_GB2312" w:cs="宋体"/>
          <w:color w:val="auto"/>
          <w:kern w:val="0"/>
          <w:sz w:val="32"/>
          <w:szCs w:val="32"/>
          <w:highlight w:val="none"/>
          <w:shd w:val="clear" w:color="auto" w:fill="FFFFFF"/>
          <w:lang w:val="en-US" w:eastAsia="zh-CN" w:bidi="ar-SA"/>
        </w:rPr>
        <w:t>严格执行</w:t>
      </w:r>
      <w:r>
        <w:rPr>
          <w:rFonts w:hint="eastAsia" w:ascii="宋体" w:hAnsi="宋体" w:eastAsia="仿宋_GB2312" w:cs="宋体"/>
          <w:color w:val="auto"/>
          <w:kern w:val="0"/>
          <w:sz w:val="32"/>
          <w:szCs w:val="32"/>
          <w:highlight w:val="none"/>
          <w:shd w:val="clear" w:color="auto" w:fill="FFFFFF"/>
          <w:lang w:val="zh-CN" w:eastAsia="zh-CN" w:bidi="ar-SA"/>
        </w:rPr>
        <w:t>预算资金管理办法、内部财务管理制度、会计核算制度等管理制度。资金使用符合国家财经法规和财务管理制度规定以及有关专项资金管理办法的规定，拨付有完整的审批程序和手续。项目的重大开支均经过评估论证，符合部门预算批复的用途，不存在截留、挤占、挪用、</w:t>
      </w:r>
      <w:r>
        <w:rPr>
          <w:rFonts w:hint="eastAsia" w:ascii="宋体" w:hAnsi="宋体" w:eastAsia="仿宋_GB2312" w:cs="宋体"/>
          <w:color w:val="auto"/>
          <w:kern w:val="0"/>
          <w:sz w:val="32"/>
          <w:szCs w:val="32"/>
          <w:highlight w:val="none"/>
          <w:shd w:val="clear" w:color="auto" w:fill="FFFFFF"/>
          <w:lang w:val="en-US" w:eastAsia="zh-CN" w:bidi="ar-SA"/>
        </w:rPr>
        <w:t>虚</w:t>
      </w:r>
      <w:r>
        <w:rPr>
          <w:rFonts w:hint="eastAsia" w:ascii="宋体" w:hAnsi="宋体" w:eastAsia="仿宋_GB2312" w:cs="宋体"/>
          <w:color w:val="auto"/>
          <w:kern w:val="0"/>
          <w:sz w:val="32"/>
          <w:szCs w:val="32"/>
          <w:highlight w:val="none"/>
          <w:shd w:val="clear" w:color="auto" w:fill="FFFFFF"/>
          <w:lang w:val="zh-CN" w:eastAsia="zh-CN" w:bidi="ar-SA"/>
        </w:rPr>
        <w:t>列支出等情况。</w:t>
      </w:r>
    </w:p>
    <w:p>
      <w:pPr>
        <w:keepNext w:val="0"/>
        <w:keepLines w:val="0"/>
        <w:pageBreakBefore w:val="0"/>
        <w:widowControl w:val="0"/>
        <w:shd w:val="clear"/>
        <w:kinsoku/>
        <w:wordWrap/>
        <w:overflowPunct/>
        <w:topLinePunct w:val="0"/>
        <w:autoSpaceDE/>
        <w:autoSpaceDN/>
        <w:bidi w:val="0"/>
        <w:adjustRightInd w:val="0"/>
        <w:snapToGrid w:val="0"/>
        <w:spacing w:line="576" w:lineRule="exact"/>
        <w:ind w:firstLine="640" w:firstLineChars="200"/>
        <w:contextualSpacing/>
        <w:jc w:val="both"/>
        <w:textAlignment w:val="auto"/>
        <w:outlineLvl w:val="9"/>
        <w:rPr>
          <w:rFonts w:hint="eastAsia" w:ascii="宋体" w:hAnsi="宋体" w:eastAsia="仿宋_GB2312" w:cs="宋体"/>
          <w:color w:val="auto"/>
          <w:kern w:val="0"/>
          <w:sz w:val="32"/>
          <w:szCs w:val="32"/>
          <w:highlight w:val="none"/>
          <w:shd w:val="clear" w:color="auto" w:fill="FFFFFF"/>
          <w:lang w:val="en-US" w:eastAsia="zh-CN" w:bidi="ar-SA"/>
        </w:rPr>
      </w:pPr>
      <w:r>
        <w:rPr>
          <w:rFonts w:hint="eastAsia" w:ascii="宋体" w:hAnsi="宋体" w:eastAsia="仿宋_GB2312" w:cs="宋体"/>
          <w:color w:val="auto"/>
          <w:kern w:val="0"/>
          <w:sz w:val="32"/>
          <w:szCs w:val="32"/>
          <w:highlight w:val="none"/>
          <w:shd w:val="clear" w:color="auto" w:fill="FFFFFF"/>
          <w:lang w:val="en-US" w:eastAsia="zh-CN" w:bidi="ar-SA"/>
        </w:rPr>
        <w:t>5.</w:t>
      </w:r>
      <w:r>
        <w:rPr>
          <w:rFonts w:hint="eastAsia" w:ascii="宋体" w:hAnsi="宋体" w:eastAsia="仿宋_GB2312" w:cs="宋体"/>
          <w:color w:val="auto"/>
          <w:kern w:val="0"/>
          <w:sz w:val="32"/>
          <w:szCs w:val="32"/>
          <w:highlight w:val="none"/>
          <w:shd w:val="clear" w:color="auto" w:fill="FFFFFF"/>
          <w:lang w:val="zh-CN" w:eastAsia="zh-CN" w:bidi="ar-SA"/>
        </w:rPr>
        <w:t>资产管理</w:t>
      </w:r>
    </w:p>
    <w:p>
      <w:pPr>
        <w:keepNext w:val="0"/>
        <w:keepLines w:val="0"/>
        <w:pageBreakBefore w:val="0"/>
        <w:widowControl w:val="0"/>
        <w:shd w:val="clear"/>
        <w:kinsoku/>
        <w:wordWrap/>
        <w:overflowPunct/>
        <w:topLinePunct w:val="0"/>
        <w:autoSpaceDE/>
        <w:autoSpaceDN/>
        <w:bidi w:val="0"/>
        <w:adjustRightInd w:val="0"/>
        <w:snapToGrid w:val="0"/>
        <w:spacing w:line="576" w:lineRule="exact"/>
        <w:ind w:firstLine="640" w:firstLineChars="200"/>
        <w:contextualSpacing/>
        <w:jc w:val="both"/>
        <w:textAlignment w:val="auto"/>
        <w:outlineLvl w:val="9"/>
        <w:rPr>
          <w:rFonts w:hint="eastAsia" w:ascii="宋体" w:hAnsi="宋体" w:eastAsia="仿宋_GB2312" w:cs="宋体"/>
          <w:color w:val="auto"/>
          <w:kern w:val="0"/>
          <w:sz w:val="32"/>
          <w:szCs w:val="32"/>
          <w:highlight w:val="none"/>
          <w:shd w:val="clear" w:color="auto" w:fill="FFFFFF"/>
          <w:lang w:val="zh-CN" w:eastAsia="zh-CN" w:bidi="ar-SA"/>
        </w:rPr>
      </w:pPr>
      <w:r>
        <w:rPr>
          <w:rFonts w:hint="eastAsia" w:ascii="宋体" w:hAnsi="宋体" w:eastAsia="仿宋_GB2312" w:cs="宋体"/>
          <w:color w:val="auto"/>
          <w:kern w:val="0"/>
          <w:sz w:val="32"/>
          <w:szCs w:val="32"/>
          <w:highlight w:val="none"/>
          <w:shd w:val="clear" w:color="auto" w:fill="FFFFFF"/>
          <w:lang w:val="en-US" w:eastAsia="zh-CN" w:bidi="ar-SA"/>
        </w:rPr>
        <w:t>截至2022年末，我局固定资产账面原值182.06万元，累计折旧124.73万元，净值57.33万元。我局共有车辆3辆，主要是用于接待来广考察对接洽谈项目的客商，陪同客商赴各地考察项目基本要素等所需的公务用车燃料费、维修费、过路过桥费、保险费等支出，无单价50万元以上通用设备，无单价100万元以上专用设备。我局严格按照相关规定进行新增资产登记和入账，2022年期间我单位新入账资产共计0.72万元，该资产通过新增资产配置程序签批，严格按照标准范围内配置资产，并按相关规定在四川省资产管理平台登记同时入账，确保账实一致</w:t>
      </w:r>
    </w:p>
    <w:p>
      <w:pPr>
        <w:keepNext w:val="0"/>
        <w:keepLines w:val="0"/>
        <w:pageBreakBefore w:val="0"/>
        <w:widowControl w:val="0"/>
        <w:shd w:val="clear"/>
        <w:kinsoku/>
        <w:wordWrap/>
        <w:overflowPunct/>
        <w:topLinePunct w:val="0"/>
        <w:autoSpaceDE/>
        <w:autoSpaceDN/>
        <w:bidi w:val="0"/>
        <w:adjustRightInd w:val="0"/>
        <w:snapToGrid w:val="0"/>
        <w:spacing w:line="576" w:lineRule="exact"/>
        <w:ind w:firstLine="640" w:firstLineChars="200"/>
        <w:contextualSpacing/>
        <w:jc w:val="both"/>
        <w:textAlignment w:val="auto"/>
        <w:outlineLvl w:val="9"/>
        <w:rPr>
          <w:rFonts w:hint="eastAsia" w:ascii="楷体_GB2312" w:hAnsi="楷体_GB2312" w:eastAsia="楷体_GB2312" w:cs="楷体_GB2312"/>
          <w:color w:val="auto"/>
          <w:kern w:val="0"/>
          <w:sz w:val="32"/>
          <w:szCs w:val="32"/>
          <w:highlight w:val="none"/>
          <w:shd w:val="clear" w:color="auto" w:fill="FFFFFF"/>
          <w:lang w:val="zh-CN" w:eastAsia="zh-CN" w:bidi="ar-SA"/>
        </w:rPr>
      </w:pPr>
      <w:r>
        <w:rPr>
          <w:rFonts w:hint="eastAsia" w:ascii="楷体_GB2312" w:hAnsi="楷体_GB2312" w:eastAsia="楷体_GB2312" w:cs="楷体_GB2312"/>
          <w:color w:val="auto"/>
          <w:kern w:val="0"/>
          <w:sz w:val="32"/>
          <w:szCs w:val="32"/>
          <w:highlight w:val="none"/>
          <w:shd w:val="clear" w:color="auto" w:fill="FFFFFF"/>
          <w:lang w:val="zh-CN" w:eastAsia="zh-CN" w:bidi="ar-SA"/>
        </w:rPr>
        <w:t>（三）结果应用情况</w:t>
      </w:r>
    </w:p>
    <w:p>
      <w:pPr>
        <w:keepNext w:val="0"/>
        <w:keepLines w:val="0"/>
        <w:pageBreakBefore w:val="0"/>
        <w:widowControl w:val="0"/>
        <w:shd w:val="clear"/>
        <w:kinsoku/>
        <w:wordWrap/>
        <w:overflowPunct/>
        <w:topLinePunct w:val="0"/>
        <w:autoSpaceDE/>
        <w:autoSpaceDN/>
        <w:bidi w:val="0"/>
        <w:adjustRightInd w:val="0"/>
        <w:snapToGrid w:val="0"/>
        <w:spacing w:line="576" w:lineRule="exact"/>
        <w:ind w:firstLine="640" w:firstLineChars="200"/>
        <w:contextualSpacing/>
        <w:jc w:val="both"/>
        <w:textAlignment w:val="auto"/>
        <w:outlineLvl w:val="9"/>
        <w:rPr>
          <w:rFonts w:hint="eastAsia" w:ascii="宋体" w:hAnsi="宋体" w:eastAsia="仿宋_GB2312" w:cs="宋体"/>
          <w:color w:val="auto"/>
          <w:kern w:val="0"/>
          <w:sz w:val="32"/>
          <w:szCs w:val="32"/>
          <w:highlight w:val="none"/>
          <w:shd w:val="clear" w:color="auto" w:fill="FFFFFF"/>
          <w:lang w:val="en-US" w:eastAsia="zh-CN" w:bidi="ar-SA"/>
        </w:rPr>
      </w:pPr>
      <w:r>
        <w:rPr>
          <w:rFonts w:hint="eastAsia" w:ascii="宋体" w:hAnsi="宋体" w:eastAsia="仿宋_GB2312" w:cs="宋体"/>
          <w:color w:val="auto"/>
          <w:kern w:val="0"/>
          <w:sz w:val="32"/>
          <w:szCs w:val="32"/>
          <w:highlight w:val="none"/>
          <w:shd w:val="clear" w:color="auto" w:fill="FFFFFF"/>
          <w:lang w:val="en-US" w:eastAsia="zh-CN" w:bidi="ar-SA"/>
        </w:rPr>
        <w:t>1.在信息公开方面，我单位按照要求将部门整体绩效自评情况和自行组织的评价情况随单位2022决算情况说明在单位网站进行了公开。</w:t>
      </w:r>
    </w:p>
    <w:p>
      <w:pPr>
        <w:keepNext w:val="0"/>
        <w:keepLines w:val="0"/>
        <w:pageBreakBefore w:val="0"/>
        <w:widowControl w:val="0"/>
        <w:shd w:val="clear"/>
        <w:kinsoku/>
        <w:wordWrap/>
        <w:overflowPunct/>
        <w:topLinePunct w:val="0"/>
        <w:autoSpaceDE/>
        <w:autoSpaceDN/>
        <w:bidi w:val="0"/>
        <w:adjustRightInd w:val="0"/>
        <w:snapToGrid w:val="0"/>
        <w:spacing w:line="576" w:lineRule="exact"/>
        <w:ind w:firstLine="640" w:firstLineChars="200"/>
        <w:contextualSpacing/>
        <w:jc w:val="both"/>
        <w:textAlignment w:val="auto"/>
        <w:outlineLvl w:val="9"/>
        <w:rPr>
          <w:rFonts w:hint="eastAsia" w:ascii="宋体" w:hAnsi="宋体" w:eastAsia="仿宋_GB2312" w:cs="宋体"/>
          <w:color w:val="auto"/>
          <w:kern w:val="0"/>
          <w:sz w:val="32"/>
          <w:szCs w:val="32"/>
          <w:highlight w:val="none"/>
          <w:shd w:val="clear" w:color="auto" w:fill="FFFFFF"/>
          <w:lang w:val="zh-CN" w:eastAsia="zh-CN" w:bidi="ar-SA"/>
        </w:rPr>
      </w:pPr>
      <w:r>
        <w:rPr>
          <w:rFonts w:hint="eastAsia" w:ascii="宋体" w:hAnsi="宋体" w:eastAsia="仿宋_GB2312" w:cs="宋体"/>
          <w:color w:val="auto"/>
          <w:kern w:val="0"/>
          <w:sz w:val="32"/>
          <w:szCs w:val="32"/>
          <w:highlight w:val="none"/>
          <w:shd w:val="clear" w:color="auto" w:fill="FFFFFF"/>
          <w:lang w:val="en-US" w:eastAsia="zh-CN" w:bidi="ar-SA"/>
        </w:rPr>
        <w:t>2.在绩效目标设置上，详细反映相应项</w:t>
      </w:r>
      <w:r>
        <w:rPr>
          <w:rFonts w:hint="default" w:ascii="宋体" w:hAnsi="宋体" w:eastAsia="仿宋_GB2312" w:cs="宋体"/>
          <w:color w:val="auto"/>
          <w:kern w:val="0"/>
          <w:sz w:val="32"/>
          <w:szCs w:val="32"/>
          <w:highlight w:val="none"/>
          <w:shd w:val="clear" w:color="auto" w:fill="FFFFFF"/>
          <w:lang w:val="en-US" w:eastAsia="zh-CN" w:bidi="ar-SA"/>
        </w:rPr>
        <w:t>目工作任务、达成的效果，进一步提高绩效目标的针对性、有效性，便于对项目的实施情况进行考核。</w:t>
      </w:r>
    </w:p>
    <w:p>
      <w:pPr>
        <w:keepNext w:val="0"/>
        <w:keepLines w:val="0"/>
        <w:pageBreakBefore w:val="0"/>
        <w:widowControl w:val="0"/>
        <w:shd w:val="clear"/>
        <w:kinsoku/>
        <w:wordWrap/>
        <w:overflowPunct/>
        <w:topLinePunct w:val="0"/>
        <w:autoSpaceDE/>
        <w:autoSpaceDN/>
        <w:bidi w:val="0"/>
        <w:adjustRightInd w:val="0"/>
        <w:snapToGrid w:val="0"/>
        <w:spacing w:line="576" w:lineRule="exact"/>
        <w:ind w:firstLine="640" w:firstLineChars="200"/>
        <w:contextualSpacing/>
        <w:jc w:val="left"/>
        <w:textAlignment w:val="auto"/>
        <w:outlineLvl w:val="9"/>
        <w:rPr>
          <w:rFonts w:hint="eastAsia" w:ascii="楷体_GB2312" w:hAnsi="楷体_GB2312" w:eastAsia="楷体_GB2312" w:cs="楷体_GB2312"/>
          <w:color w:val="auto"/>
          <w:kern w:val="0"/>
          <w:sz w:val="32"/>
          <w:szCs w:val="32"/>
          <w:highlight w:val="none"/>
          <w:shd w:val="clear" w:color="auto" w:fill="FFFFFF"/>
          <w:lang w:val="zh-CN" w:eastAsia="zh-CN" w:bidi="ar-SA"/>
        </w:rPr>
      </w:pPr>
      <w:r>
        <w:rPr>
          <w:rFonts w:hint="eastAsia" w:ascii="楷体_GB2312" w:hAnsi="楷体_GB2312" w:eastAsia="楷体_GB2312" w:cs="楷体_GB2312"/>
          <w:color w:val="auto"/>
          <w:kern w:val="0"/>
          <w:sz w:val="32"/>
          <w:szCs w:val="32"/>
          <w:highlight w:val="none"/>
          <w:shd w:val="clear" w:color="auto" w:fill="FFFFFF"/>
          <w:lang w:val="zh-CN" w:eastAsia="zh-CN" w:bidi="ar-SA"/>
        </w:rPr>
        <w:t>（四）自评质量</w:t>
      </w:r>
    </w:p>
    <w:p>
      <w:pPr>
        <w:keepNext w:val="0"/>
        <w:keepLines w:val="0"/>
        <w:pageBreakBefore w:val="0"/>
        <w:widowControl w:val="0"/>
        <w:shd w:val="clear"/>
        <w:kinsoku/>
        <w:wordWrap/>
        <w:overflowPunct/>
        <w:topLinePunct w:val="0"/>
        <w:autoSpaceDE/>
        <w:autoSpaceDN/>
        <w:bidi w:val="0"/>
        <w:adjustRightInd w:val="0"/>
        <w:snapToGrid w:val="0"/>
        <w:spacing w:line="576" w:lineRule="exact"/>
        <w:ind w:firstLine="640" w:firstLineChars="200"/>
        <w:contextualSpacing/>
        <w:jc w:val="both"/>
        <w:textAlignment w:val="auto"/>
        <w:outlineLvl w:val="9"/>
        <w:rPr>
          <w:rFonts w:hint="eastAsia" w:ascii="宋体" w:hAnsi="宋体" w:eastAsia="仿宋_GB2312" w:cs="宋体"/>
          <w:color w:val="auto"/>
          <w:kern w:val="0"/>
          <w:sz w:val="32"/>
          <w:szCs w:val="32"/>
          <w:highlight w:val="none"/>
          <w:shd w:val="clear" w:color="auto" w:fill="FFFFFF"/>
          <w:lang w:val="en-US" w:eastAsia="zh-CN" w:bidi="ar-SA"/>
        </w:rPr>
      </w:pPr>
      <w:r>
        <w:rPr>
          <w:rFonts w:hint="eastAsia" w:ascii="宋体" w:hAnsi="宋体" w:eastAsia="仿宋_GB2312" w:cs="宋体"/>
          <w:color w:val="auto"/>
          <w:kern w:val="0"/>
          <w:sz w:val="32"/>
          <w:szCs w:val="32"/>
          <w:highlight w:val="none"/>
          <w:shd w:val="clear" w:color="auto" w:fill="FFFFFF"/>
          <w:lang w:val="en-US" w:eastAsia="zh-CN" w:bidi="ar-SA"/>
        </w:rPr>
        <w:t>2022年我单位支出绩效总体情况较好，完成了各项目标任务。主要表现在：及时、准确地完成了预算编制；严格预算执行及资金支付，无违规列支的情况；会计核算较为规范，制度基本健全，严格按照相关会计制度和财务管理办法进行核算。项目整体支出情况良好，各项经费严格执行单位支出审批制度，坚持“厉行节约、反对浪费”的原则，充分发挥了资金的使用效益。资金管理严格按政策执行项目资金申报与实际使用符合，无超报、虚报现象，达到项目预期效果。</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四、评价结论及建议</w:t>
      </w:r>
    </w:p>
    <w:p>
      <w:pPr>
        <w:keepNext w:val="0"/>
        <w:keepLines w:val="0"/>
        <w:pageBreakBefore w:val="0"/>
        <w:widowControl w:val="0"/>
        <w:shd w:val="clear"/>
        <w:kinsoku/>
        <w:wordWrap/>
        <w:overflowPunct/>
        <w:topLinePunct w:val="0"/>
        <w:autoSpaceDE/>
        <w:autoSpaceDN/>
        <w:bidi w:val="0"/>
        <w:adjustRightInd w:val="0"/>
        <w:snapToGrid w:val="0"/>
        <w:spacing w:line="576" w:lineRule="exact"/>
        <w:ind w:firstLine="640" w:firstLineChars="200"/>
        <w:contextualSpacing/>
        <w:jc w:val="both"/>
        <w:textAlignment w:val="auto"/>
        <w:outlineLvl w:val="9"/>
        <w:rPr>
          <w:rFonts w:hint="eastAsia" w:ascii="宋体" w:hAnsi="宋体" w:eastAsia="仿宋_GB2312" w:cs="宋体"/>
          <w:color w:val="auto"/>
          <w:kern w:val="0"/>
          <w:sz w:val="32"/>
          <w:szCs w:val="32"/>
          <w:highlight w:val="none"/>
          <w:shd w:val="clear" w:color="auto" w:fill="FFFFFF"/>
          <w:lang w:val="zh-CN" w:eastAsia="zh-CN" w:bidi="ar-SA"/>
        </w:rPr>
      </w:pPr>
      <w:r>
        <w:rPr>
          <w:rFonts w:hint="eastAsia" w:ascii="楷体_GB2312" w:hAnsi="楷体_GB2312" w:eastAsia="楷体_GB2312" w:cs="楷体_GB2312"/>
          <w:color w:val="auto"/>
          <w:kern w:val="0"/>
          <w:sz w:val="32"/>
          <w:szCs w:val="32"/>
          <w:highlight w:val="none"/>
          <w:shd w:val="clear" w:color="auto" w:fill="FFFFFF"/>
          <w:lang w:val="zh-CN" w:eastAsia="zh-CN" w:bidi="ar-SA"/>
        </w:rPr>
        <w:t>（一）评价结论。</w:t>
      </w:r>
      <w:r>
        <w:rPr>
          <w:rFonts w:hint="eastAsia" w:ascii="宋体" w:hAnsi="宋体" w:eastAsia="仿宋_GB2312" w:cs="宋体"/>
          <w:color w:val="auto"/>
          <w:kern w:val="0"/>
          <w:sz w:val="32"/>
          <w:szCs w:val="32"/>
          <w:highlight w:val="none"/>
          <w:shd w:val="clear" w:color="auto" w:fill="FFFFFF"/>
          <w:lang w:val="zh-CN" w:eastAsia="zh-CN" w:bidi="ar-SA"/>
        </w:rPr>
        <w:t>202</w:t>
      </w:r>
      <w:r>
        <w:rPr>
          <w:rFonts w:hint="eastAsia" w:ascii="宋体" w:hAnsi="宋体" w:eastAsia="仿宋_GB2312" w:cs="宋体"/>
          <w:color w:val="auto"/>
          <w:kern w:val="0"/>
          <w:sz w:val="32"/>
          <w:szCs w:val="32"/>
          <w:highlight w:val="none"/>
          <w:shd w:val="clear" w:color="auto" w:fill="FFFFFF"/>
          <w:lang w:val="en-US" w:eastAsia="zh-CN" w:bidi="ar-SA"/>
        </w:rPr>
        <w:t>2</w:t>
      </w:r>
      <w:r>
        <w:rPr>
          <w:rFonts w:hint="eastAsia" w:ascii="宋体" w:hAnsi="宋体" w:eastAsia="仿宋_GB2312" w:cs="宋体"/>
          <w:color w:val="auto"/>
          <w:kern w:val="0"/>
          <w:sz w:val="32"/>
          <w:szCs w:val="32"/>
          <w:highlight w:val="none"/>
          <w:shd w:val="clear" w:color="auto" w:fill="FFFFFF"/>
          <w:lang w:val="zh-CN" w:eastAsia="zh-CN" w:bidi="ar-SA"/>
        </w:rPr>
        <w:t>年我单位整体支出绩效自查自评结果良好，全年基本支出保证了单位的正常运转，项目支出保障了重点专项工作的开展，按照202</w:t>
      </w:r>
      <w:r>
        <w:rPr>
          <w:rFonts w:hint="eastAsia" w:ascii="宋体" w:hAnsi="宋体" w:eastAsia="仿宋_GB2312" w:cs="宋体"/>
          <w:color w:val="auto"/>
          <w:kern w:val="0"/>
          <w:sz w:val="32"/>
          <w:szCs w:val="32"/>
          <w:highlight w:val="none"/>
          <w:shd w:val="clear" w:color="auto" w:fill="FFFFFF"/>
          <w:lang w:val="en-US" w:eastAsia="zh-CN" w:bidi="ar-SA"/>
        </w:rPr>
        <w:t>2</w:t>
      </w:r>
      <w:r>
        <w:rPr>
          <w:rFonts w:hint="eastAsia" w:ascii="宋体" w:hAnsi="宋体" w:eastAsia="仿宋_GB2312" w:cs="宋体"/>
          <w:color w:val="auto"/>
          <w:kern w:val="0"/>
          <w:sz w:val="32"/>
          <w:szCs w:val="32"/>
          <w:highlight w:val="none"/>
          <w:shd w:val="clear" w:color="auto" w:fill="FFFFFF"/>
          <w:lang w:val="zh-CN" w:eastAsia="zh-CN" w:bidi="ar-SA"/>
        </w:rPr>
        <w:t>年度部门整体支出绩效评价指标体系对我单位预算编制、预算执行、完成结果、信息公开、整改反馈等方面进行了自评，最终得分</w:t>
      </w:r>
      <w:r>
        <w:rPr>
          <w:rFonts w:hint="eastAsia" w:ascii="宋体" w:hAnsi="宋体" w:eastAsia="仿宋_GB2312" w:cs="宋体"/>
          <w:color w:val="auto"/>
          <w:kern w:val="0"/>
          <w:sz w:val="32"/>
          <w:szCs w:val="32"/>
          <w:highlight w:val="none"/>
          <w:shd w:val="clear" w:color="auto" w:fill="FFFFFF"/>
          <w:lang w:val="en-US" w:eastAsia="zh-CN" w:bidi="ar-SA"/>
        </w:rPr>
        <w:t>97.6</w:t>
      </w:r>
      <w:r>
        <w:rPr>
          <w:rFonts w:hint="eastAsia" w:ascii="宋体" w:hAnsi="宋体" w:eastAsia="仿宋_GB2312" w:cs="宋体"/>
          <w:color w:val="auto"/>
          <w:kern w:val="0"/>
          <w:sz w:val="32"/>
          <w:szCs w:val="32"/>
          <w:highlight w:val="none"/>
          <w:shd w:val="clear" w:color="auto" w:fill="FFFFFF"/>
          <w:lang w:val="zh-CN" w:eastAsia="zh-CN" w:bidi="ar-SA"/>
        </w:rPr>
        <w:t>分。</w:t>
      </w:r>
    </w:p>
    <w:p>
      <w:pPr>
        <w:keepNext w:val="0"/>
        <w:keepLines w:val="0"/>
        <w:pageBreakBefore w:val="0"/>
        <w:widowControl w:val="0"/>
        <w:shd w:val="clear"/>
        <w:kinsoku/>
        <w:wordWrap/>
        <w:overflowPunct/>
        <w:topLinePunct w:val="0"/>
        <w:autoSpaceDE/>
        <w:autoSpaceDN/>
        <w:bidi w:val="0"/>
        <w:adjustRightInd w:val="0"/>
        <w:snapToGrid w:val="0"/>
        <w:spacing w:line="576" w:lineRule="exact"/>
        <w:ind w:firstLine="640" w:firstLineChars="200"/>
        <w:contextualSpacing/>
        <w:jc w:val="left"/>
        <w:textAlignment w:val="auto"/>
        <w:outlineLvl w:val="9"/>
        <w:rPr>
          <w:rFonts w:hint="eastAsia" w:ascii="楷体_GB2312" w:hAnsi="楷体_GB2312" w:eastAsia="楷体_GB2312" w:cs="楷体_GB2312"/>
          <w:color w:val="auto"/>
          <w:kern w:val="0"/>
          <w:sz w:val="32"/>
          <w:szCs w:val="32"/>
          <w:highlight w:val="none"/>
          <w:shd w:val="clear" w:color="auto" w:fill="FFFFFF"/>
          <w:lang w:val="zh-CN" w:eastAsia="zh-CN" w:bidi="ar-SA"/>
        </w:rPr>
      </w:pPr>
      <w:r>
        <w:rPr>
          <w:rFonts w:hint="eastAsia" w:ascii="楷体_GB2312" w:hAnsi="楷体_GB2312" w:eastAsia="楷体_GB2312" w:cs="楷体_GB2312"/>
          <w:color w:val="auto"/>
          <w:kern w:val="0"/>
          <w:sz w:val="32"/>
          <w:szCs w:val="32"/>
          <w:highlight w:val="none"/>
          <w:shd w:val="clear" w:color="auto" w:fill="FFFFFF"/>
          <w:lang w:val="zh-CN" w:eastAsia="zh-CN" w:bidi="ar-SA"/>
        </w:rPr>
        <w:t>（二）存在问题</w:t>
      </w:r>
    </w:p>
    <w:p>
      <w:pPr>
        <w:keepNext w:val="0"/>
        <w:keepLines w:val="0"/>
        <w:pageBreakBefore w:val="0"/>
        <w:widowControl w:val="0"/>
        <w:shd w:val="clear"/>
        <w:kinsoku/>
        <w:wordWrap/>
        <w:overflowPunct/>
        <w:topLinePunct w:val="0"/>
        <w:autoSpaceDE/>
        <w:autoSpaceDN/>
        <w:bidi w:val="0"/>
        <w:adjustRightInd w:val="0"/>
        <w:snapToGrid w:val="0"/>
        <w:spacing w:line="576" w:lineRule="exact"/>
        <w:ind w:firstLine="640" w:firstLineChars="200"/>
        <w:contextualSpacing/>
        <w:jc w:val="both"/>
        <w:textAlignment w:val="auto"/>
        <w:outlineLvl w:val="9"/>
        <w:rPr>
          <w:rFonts w:hint="eastAsia" w:ascii="宋体" w:hAnsi="宋体" w:eastAsia="仿宋_GB2312" w:cs="宋体"/>
          <w:color w:val="auto"/>
          <w:kern w:val="0"/>
          <w:sz w:val="32"/>
          <w:szCs w:val="32"/>
          <w:highlight w:val="none"/>
          <w:shd w:val="clear" w:color="auto" w:fill="FFFFFF"/>
          <w:lang w:val="en-US" w:eastAsia="zh-CN" w:bidi="ar-SA"/>
        </w:rPr>
      </w:pPr>
      <w:r>
        <w:rPr>
          <w:rFonts w:hint="eastAsia" w:ascii="宋体" w:hAnsi="宋体" w:eastAsia="仿宋_GB2312" w:cs="宋体"/>
          <w:color w:val="auto"/>
          <w:kern w:val="0"/>
          <w:sz w:val="32"/>
          <w:szCs w:val="32"/>
          <w:highlight w:val="none"/>
          <w:shd w:val="clear" w:color="auto" w:fill="FFFFFF"/>
          <w:lang w:val="en-US" w:eastAsia="zh-CN" w:bidi="ar-SA"/>
        </w:rPr>
        <w:t>1.2022年财政资金支出中存在个别会计核算不规范的情况。</w:t>
      </w:r>
    </w:p>
    <w:p>
      <w:pPr>
        <w:keepNext w:val="0"/>
        <w:keepLines w:val="0"/>
        <w:pageBreakBefore w:val="0"/>
        <w:widowControl w:val="0"/>
        <w:shd w:val="clear"/>
        <w:kinsoku/>
        <w:wordWrap/>
        <w:overflowPunct/>
        <w:topLinePunct w:val="0"/>
        <w:autoSpaceDE/>
        <w:autoSpaceDN/>
        <w:bidi w:val="0"/>
        <w:adjustRightInd w:val="0"/>
        <w:snapToGrid w:val="0"/>
        <w:spacing w:line="576" w:lineRule="exact"/>
        <w:ind w:firstLine="640" w:firstLineChars="200"/>
        <w:contextualSpacing/>
        <w:jc w:val="both"/>
        <w:textAlignment w:val="auto"/>
        <w:outlineLvl w:val="9"/>
        <w:rPr>
          <w:rFonts w:hint="eastAsia" w:ascii="宋体" w:hAnsi="宋体" w:eastAsia="仿宋_GB2312" w:cs="宋体"/>
          <w:color w:val="auto"/>
          <w:kern w:val="0"/>
          <w:sz w:val="32"/>
          <w:szCs w:val="32"/>
          <w:highlight w:val="none"/>
          <w:shd w:val="clear" w:color="auto" w:fill="FFFFFF"/>
          <w:lang w:val="zh-CN" w:eastAsia="zh-CN" w:bidi="ar-SA"/>
        </w:rPr>
      </w:pPr>
      <w:r>
        <w:rPr>
          <w:rFonts w:hint="eastAsia" w:ascii="宋体" w:hAnsi="宋体" w:eastAsia="仿宋_GB2312" w:cs="宋体"/>
          <w:color w:val="auto"/>
          <w:kern w:val="0"/>
          <w:sz w:val="32"/>
          <w:szCs w:val="32"/>
          <w:highlight w:val="none"/>
          <w:shd w:val="clear" w:color="auto" w:fill="FFFFFF"/>
          <w:lang w:val="en-US" w:eastAsia="zh-CN" w:bidi="ar-SA"/>
        </w:rPr>
        <w:t>2.在预算执行过程中，个别项目资金分配不及时，导致支付进度跟不上。</w:t>
      </w:r>
    </w:p>
    <w:p>
      <w:pPr>
        <w:keepNext w:val="0"/>
        <w:keepLines w:val="0"/>
        <w:pageBreakBefore w:val="0"/>
        <w:widowControl w:val="0"/>
        <w:shd w:val="clear"/>
        <w:kinsoku/>
        <w:wordWrap/>
        <w:overflowPunct/>
        <w:topLinePunct w:val="0"/>
        <w:autoSpaceDE/>
        <w:autoSpaceDN/>
        <w:bidi w:val="0"/>
        <w:adjustRightInd w:val="0"/>
        <w:snapToGrid w:val="0"/>
        <w:spacing w:line="576" w:lineRule="exact"/>
        <w:ind w:firstLine="640" w:firstLineChars="200"/>
        <w:contextualSpacing/>
        <w:jc w:val="both"/>
        <w:textAlignment w:val="auto"/>
        <w:outlineLvl w:val="9"/>
        <w:rPr>
          <w:rFonts w:hint="eastAsia" w:ascii="楷体_GB2312" w:hAnsi="楷体_GB2312" w:eastAsia="楷体_GB2312" w:cs="楷体_GB2312"/>
          <w:color w:val="auto"/>
          <w:kern w:val="0"/>
          <w:sz w:val="32"/>
          <w:szCs w:val="32"/>
          <w:highlight w:val="none"/>
          <w:shd w:val="clear" w:color="auto" w:fill="FFFFFF"/>
          <w:lang w:val="zh-CN" w:eastAsia="zh-CN" w:bidi="ar-SA"/>
        </w:rPr>
      </w:pPr>
      <w:r>
        <w:rPr>
          <w:rFonts w:hint="eastAsia" w:ascii="楷体_GB2312" w:hAnsi="楷体_GB2312" w:eastAsia="楷体_GB2312" w:cs="楷体_GB2312"/>
          <w:color w:val="auto"/>
          <w:kern w:val="0"/>
          <w:sz w:val="32"/>
          <w:szCs w:val="32"/>
          <w:highlight w:val="none"/>
          <w:shd w:val="clear" w:color="auto" w:fill="FFFFFF"/>
          <w:lang w:val="zh-CN" w:eastAsia="zh-CN" w:bidi="ar-SA"/>
        </w:rPr>
        <w:t>（三）改进建议</w:t>
      </w:r>
    </w:p>
    <w:p>
      <w:pPr>
        <w:keepNext w:val="0"/>
        <w:keepLines w:val="0"/>
        <w:pageBreakBefore w:val="0"/>
        <w:widowControl w:val="0"/>
        <w:shd w:val="clear"/>
        <w:kinsoku/>
        <w:wordWrap/>
        <w:overflowPunct/>
        <w:topLinePunct w:val="0"/>
        <w:autoSpaceDE/>
        <w:autoSpaceDN/>
        <w:bidi w:val="0"/>
        <w:adjustRightInd w:val="0"/>
        <w:snapToGrid w:val="0"/>
        <w:spacing w:line="576" w:lineRule="exact"/>
        <w:ind w:firstLine="640" w:firstLineChars="200"/>
        <w:contextualSpacing/>
        <w:jc w:val="both"/>
        <w:textAlignment w:val="auto"/>
        <w:outlineLvl w:val="9"/>
        <w:rPr>
          <w:rFonts w:hint="eastAsia" w:ascii="宋体" w:hAnsi="宋体" w:eastAsia="仿宋_GB2312" w:cs="宋体"/>
          <w:color w:val="auto"/>
          <w:kern w:val="0"/>
          <w:sz w:val="32"/>
          <w:szCs w:val="32"/>
          <w:highlight w:val="none"/>
          <w:shd w:val="clear" w:color="auto" w:fill="FFFFFF"/>
          <w:lang w:val="en-US" w:eastAsia="zh-CN" w:bidi="ar-SA"/>
        </w:rPr>
      </w:pPr>
      <w:r>
        <w:rPr>
          <w:rFonts w:hint="eastAsia" w:ascii="宋体" w:hAnsi="宋体" w:eastAsia="仿宋_GB2312" w:cs="宋体"/>
          <w:color w:val="auto"/>
          <w:kern w:val="0"/>
          <w:sz w:val="32"/>
          <w:szCs w:val="32"/>
          <w:highlight w:val="none"/>
          <w:shd w:val="clear" w:color="auto" w:fill="FFFFFF"/>
          <w:lang w:val="en-US" w:eastAsia="zh-CN" w:bidi="ar-SA"/>
        </w:rPr>
        <w:t>1.进一步加强财务管理。规范会计核算，加强财务人员的专业化培训，做到财务核算规范、依据充分、数据准确。</w:t>
      </w:r>
    </w:p>
    <w:p>
      <w:pPr>
        <w:keepNext w:val="0"/>
        <w:keepLines w:val="0"/>
        <w:pageBreakBefore w:val="0"/>
        <w:widowControl w:val="0"/>
        <w:shd w:val="clear"/>
        <w:kinsoku/>
        <w:wordWrap/>
        <w:overflowPunct/>
        <w:topLinePunct w:val="0"/>
        <w:autoSpaceDE/>
        <w:autoSpaceDN/>
        <w:bidi w:val="0"/>
        <w:adjustRightInd w:val="0"/>
        <w:snapToGrid w:val="0"/>
        <w:spacing w:line="576" w:lineRule="exact"/>
        <w:ind w:firstLine="640" w:firstLineChars="200"/>
        <w:contextualSpacing/>
        <w:jc w:val="both"/>
        <w:textAlignment w:val="auto"/>
        <w:outlineLvl w:val="9"/>
        <w:rPr>
          <w:rFonts w:hint="eastAsia" w:ascii="宋体" w:hAnsi="宋体" w:eastAsia="仿宋_GB2312" w:cs="宋体"/>
          <w:color w:val="auto"/>
          <w:kern w:val="0"/>
          <w:sz w:val="32"/>
          <w:szCs w:val="32"/>
          <w:highlight w:val="none"/>
          <w:shd w:val="clear" w:color="auto" w:fill="FFFFFF"/>
          <w:lang w:val="zh-CN" w:eastAsia="zh-CN" w:bidi="ar-SA"/>
        </w:rPr>
      </w:pPr>
      <w:r>
        <w:rPr>
          <w:rFonts w:hint="eastAsia" w:ascii="宋体" w:hAnsi="宋体" w:eastAsia="仿宋_GB2312" w:cs="宋体"/>
          <w:color w:val="auto"/>
          <w:kern w:val="0"/>
          <w:sz w:val="32"/>
          <w:szCs w:val="32"/>
          <w:highlight w:val="none"/>
          <w:shd w:val="clear" w:color="auto" w:fill="FFFFFF"/>
          <w:lang w:val="en-US" w:eastAsia="zh-CN" w:bidi="ar-SA"/>
        </w:rPr>
        <w:t>2.进一步加强预算执行管理。加强部门支出专项资金管理和项目前期管理，加快项目执行进度。</w:t>
      </w:r>
    </w:p>
    <w:p>
      <w:pPr>
        <w:keepNext w:val="0"/>
        <w:keepLines w:val="0"/>
        <w:pageBreakBefore w:val="0"/>
        <w:shd w:val="clear"/>
        <w:kinsoku/>
        <w:wordWrap/>
        <w:overflowPunct/>
        <w:topLinePunct w:val="0"/>
        <w:autoSpaceDE/>
        <w:autoSpaceDN/>
        <w:bidi w:val="0"/>
        <w:outlineLvl w:val="9"/>
        <w:rPr>
          <w:rFonts w:hint="eastAsia" w:ascii="宋体" w:hAnsi="宋体" w:eastAsia="仿宋_GB2312" w:cs="宋体"/>
          <w:color w:val="auto"/>
          <w:kern w:val="0"/>
          <w:sz w:val="32"/>
          <w:szCs w:val="32"/>
          <w:highlight w:val="none"/>
          <w:shd w:val="clear" w:color="auto" w:fill="FFFFFF"/>
          <w:lang w:val="zh-CN" w:eastAsia="zh-CN" w:bidi="ar-SA"/>
        </w:rPr>
        <w:sectPr>
          <w:footerReference r:id="rId7" w:type="default"/>
          <w:pgSz w:w="11906" w:h="16838"/>
          <w:pgMar w:top="2098" w:right="1474" w:bottom="1984" w:left="1587" w:header="851" w:footer="1587" w:gutter="0"/>
          <w:pgNumType w:fmt="decimal" w:start="1"/>
          <w:cols w:space="0" w:num="1"/>
          <w:rtlGutter w:val="0"/>
          <w:docGrid w:type="lines" w:linePitch="312" w:charSpace="0"/>
        </w:sectPr>
      </w:pPr>
    </w:p>
    <w:tbl>
      <w:tblPr>
        <w:tblStyle w:val="18"/>
        <w:tblW w:w="142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18"/>
        <w:gridCol w:w="1201"/>
        <w:gridCol w:w="267"/>
        <w:gridCol w:w="2380"/>
        <w:gridCol w:w="985"/>
        <w:gridCol w:w="2660"/>
        <w:gridCol w:w="1026"/>
        <w:gridCol w:w="1759"/>
        <w:gridCol w:w="1817"/>
        <w:gridCol w:w="10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40" w:hRule="atLeast"/>
          <w:jc w:val="center"/>
        </w:trPr>
        <w:tc>
          <w:tcPr>
            <w:tcW w:w="14280" w:type="dxa"/>
            <w:gridSpan w:val="1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部门整体支出绩效目标自评表（2022年度）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0" w:hRule="atLeast"/>
          <w:jc w:val="center"/>
        </w:trPr>
        <w:tc>
          <w:tcPr>
            <w:tcW w:w="23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部门名称</w:t>
            </w:r>
          </w:p>
        </w:tc>
        <w:tc>
          <w:tcPr>
            <w:tcW w:w="1196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广元市经济合作和外事局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56" w:hRule="atLeast"/>
          <w:jc w:val="center"/>
        </w:trPr>
        <w:tc>
          <w:tcPr>
            <w:tcW w:w="11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主要</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任务</w:t>
            </w:r>
          </w:p>
        </w:tc>
        <w:tc>
          <w:tcPr>
            <w:tcW w:w="12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任务名称</w:t>
            </w:r>
          </w:p>
        </w:tc>
        <w:tc>
          <w:tcPr>
            <w:tcW w:w="264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主要内容</w:t>
            </w:r>
          </w:p>
        </w:tc>
        <w:tc>
          <w:tcPr>
            <w:tcW w:w="46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预算金额（万元）</w:t>
            </w:r>
          </w:p>
        </w:tc>
        <w:tc>
          <w:tcPr>
            <w:tcW w:w="46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实际执行（万元）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57" w:hRule="atLeast"/>
          <w:jc w:val="center"/>
        </w:trPr>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12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264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总额</w:t>
            </w:r>
          </w:p>
        </w:tc>
        <w:tc>
          <w:tcPr>
            <w:tcW w:w="2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财政拨款</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其他资金</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总额</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财政拨款</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680" w:hRule="atLeast"/>
          <w:jc w:val="center"/>
        </w:trPr>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经济合作目标任务</w:t>
            </w:r>
          </w:p>
        </w:tc>
        <w:tc>
          <w:tcPr>
            <w:tcW w:w="264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负责全市投资环境推介工作，统筹组织市级重大投促活动，牵头全市重大招商引资项目的促进与落实，争取在2022年引进到位国内市外资金700亿以上，新签约投资额亿元以上项目100个以上。</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305.16</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305.16</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0" w:hRule="atLeast"/>
          <w:jc w:val="center"/>
        </w:trPr>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驻外分局工作目标</w:t>
            </w:r>
          </w:p>
        </w:tc>
        <w:tc>
          <w:tcPr>
            <w:tcW w:w="264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强化驻外分局管理，招引产业项目53个</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1" w:hRule="atLeast"/>
          <w:jc w:val="center"/>
        </w:trPr>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乡村振兴工作</w:t>
            </w:r>
          </w:p>
        </w:tc>
        <w:tc>
          <w:tcPr>
            <w:tcW w:w="264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全面完成我局乡村振兴工作</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5.46</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5.46</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5.46</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5.46</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2" w:hRule="atLeast"/>
          <w:jc w:val="center"/>
        </w:trPr>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3848"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金额合计</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721.46</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721.46</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626.62</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626.62</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1" w:hRule="atLeast"/>
          <w:jc w:val="center"/>
        </w:trPr>
        <w:tc>
          <w:tcPr>
            <w:tcW w:w="111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总体</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目标</w:t>
            </w:r>
          </w:p>
        </w:tc>
        <w:tc>
          <w:tcPr>
            <w:tcW w:w="4833" w:type="dxa"/>
            <w:gridSpan w:val="4"/>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预期目标</w:t>
            </w:r>
          </w:p>
        </w:tc>
        <w:tc>
          <w:tcPr>
            <w:tcW w:w="83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32" w:hRule="atLeast"/>
          <w:jc w:val="center"/>
        </w:trPr>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483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引进到位国内市外资金850亿元、同比增长25%；牵头做好中外知名企业四川行等省市重大投资促进平台活动，签约项目30个，签约资金150亿元；积极融入成渝地区双城经济圈建设，落实与成都天府新区、重庆渝北区和合川区签订的协同招商机制，签约成渝地区项目30个、签约资金100亿元；新签约投资额亿元以上项目100个，其中新签约50亿元及以上项目1个；新开工亿元以上项目100个；省级重大平台活动签约项目履约率90%、开工率80%、资金到位率30%。</w:t>
            </w:r>
          </w:p>
        </w:tc>
        <w:tc>
          <w:tcPr>
            <w:tcW w:w="83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全市到位资金的招商引资项目523个，引进到位市外资金751.95亿元；全市新签约项目272个，签约资金893.47亿元，其中亿元以上项目161个；全市新开工亿元以上项目164个。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12" w:hRule="atLeast"/>
          <w:jc w:val="center"/>
        </w:trPr>
        <w:tc>
          <w:tcPr>
            <w:tcW w:w="11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度</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绩</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效</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指</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标</w:t>
            </w:r>
          </w:p>
        </w:tc>
        <w:tc>
          <w:tcPr>
            <w:tcW w:w="14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一级指标</w:t>
            </w:r>
          </w:p>
        </w:tc>
        <w:tc>
          <w:tcPr>
            <w:tcW w:w="2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二级指标</w:t>
            </w:r>
          </w:p>
        </w:tc>
        <w:tc>
          <w:tcPr>
            <w:tcW w:w="3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三级指标</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指标值</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（包含数字及文字描述）</w:t>
            </w:r>
          </w:p>
        </w:tc>
        <w:tc>
          <w:tcPr>
            <w:tcW w:w="2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实际完成指标值</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jc w:val="center"/>
        </w:trPr>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4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产出指标</w:t>
            </w:r>
          </w:p>
        </w:tc>
        <w:tc>
          <w:tcPr>
            <w:tcW w:w="2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数量指标</w:t>
            </w:r>
          </w:p>
        </w:tc>
        <w:tc>
          <w:tcPr>
            <w:tcW w:w="3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引进到位国内市外资金</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850亿元</w:t>
            </w:r>
          </w:p>
        </w:tc>
        <w:tc>
          <w:tcPr>
            <w:tcW w:w="2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893.47亿元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jc w:val="center"/>
        </w:trPr>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4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2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3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新开工亿元以上项目</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100个</w:t>
            </w:r>
          </w:p>
        </w:tc>
        <w:tc>
          <w:tcPr>
            <w:tcW w:w="2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jc w:val="center"/>
        </w:trPr>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4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2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3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新签约投资额亿元以上项目</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100个</w:t>
            </w:r>
          </w:p>
        </w:tc>
        <w:tc>
          <w:tcPr>
            <w:tcW w:w="2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jc w:val="center"/>
        </w:trPr>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4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2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质量指标</w:t>
            </w:r>
          </w:p>
        </w:tc>
        <w:tc>
          <w:tcPr>
            <w:tcW w:w="3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签约50亿元项目</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1个</w:t>
            </w:r>
          </w:p>
        </w:tc>
        <w:tc>
          <w:tcPr>
            <w:tcW w:w="2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jc w:val="center"/>
        </w:trPr>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4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2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时效指标</w:t>
            </w:r>
          </w:p>
        </w:tc>
        <w:tc>
          <w:tcPr>
            <w:tcW w:w="3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省级重大平台活动签约项目履约率</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2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jc w:val="center"/>
        </w:trPr>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4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2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3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省级重大平台活动签约项目开工率</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2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jc w:val="center"/>
        </w:trPr>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4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成本指标</w:t>
            </w:r>
          </w:p>
        </w:tc>
        <w:tc>
          <w:tcPr>
            <w:tcW w:w="2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成本指标</w:t>
            </w:r>
          </w:p>
        </w:tc>
        <w:tc>
          <w:tcPr>
            <w:tcW w:w="3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招商引资和经济合作洽谈费用支出情况</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716万元</w:t>
            </w:r>
          </w:p>
        </w:tc>
        <w:tc>
          <w:tcPr>
            <w:tcW w:w="2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621.16万元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jc w:val="center"/>
        </w:trPr>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4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效益指标</w:t>
            </w:r>
          </w:p>
        </w:tc>
        <w:tc>
          <w:tcPr>
            <w:tcW w:w="2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经济效益指标</w:t>
            </w:r>
          </w:p>
        </w:tc>
        <w:tc>
          <w:tcPr>
            <w:tcW w:w="3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全市到位资金招商项目</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500个</w:t>
            </w:r>
          </w:p>
        </w:tc>
        <w:tc>
          <w:tcPr>
            <w:tcW w:w="2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523个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jc w:val="center"/>
        </w:trPr>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4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2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社会效益指标</w:t>
            </w:r>
          </w:p>
        </w:tc>
        <w:tc>
          <w:tcPr>
            <w:tcW w:w="3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就业情况、创税情况</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带动更多人就业、创更多税收</w:t>
            </w:r>
          </w:p>
        </w:tc>
        <w:tc>
          <w:tcPr>
            <w:tcW w:w="2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就业率提升，税收提升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jc w:val="center"/>
        </w:trPr>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4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满意度指标</w:t>
            </w:r>
          </w:p>
        </w:tc>
        <w:tc>
          <w:tcPr>
            <w:tcW w:w="2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满意度指标</w:t>
            </w:r>
          </w:p>
        </w:tc>
        <w:tc>
          <w:tcPr>
            <w:tcW w:w="3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社会公众满意度</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2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jc w:val="center"/>
        </w:trPr>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客商满意度</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2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03" w:hRule="atLeast"/>
          <w:jc w:val="center"/>
        </w:trPr>
        <w:tc>
          <w:tcPr>
            <w:tcW w:w="23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部门（单位）自评结论</w:t>
            </w:r>
          </w:p>
        </w:tc>
        <w:tc>
          <w:tcPr>
            <w:tcW w:w="1196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2022年我单位整体支出绩效自查自评结果良好，全年基本支出保证了单位的正常运转，项目支出保障了重点专项工作的开展，按照 2022年度部门整体支出绩效评价指标体系对我单位预算编制、预算执行、完成结果、信息公开、整改反馈等方面进行了自评，最终得分97.6分。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04" w:hRule="atLeast"/>
          <w:jc w:val="center"/>
        </w:trPr>
        <w:tc>
          <w:tcPr>
            <w:tcW w:w="23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部门（单位）自评</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存在问题</w:t>
            </w:r>
          </w:p>
        </w:tc>
        <w:tc>
          <w:tcPr>
            <w:tcW w:w="1196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2"/>
              </w:numPr>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2022年财政资金支出中存在个别会计核算不规范的情况。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在预算执行过程中，个别项目资金分配不及时，导致支付进度跟不上。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14" w:hRule="atLeast"/>
          <w:jc w:val="center"/>
        </w:trPr>
        <w:tc>
          <w:tcPr>
            <w:tcW w:w="23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部门（单位）自评</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改进措施</w:t>
            </w:r>
          </w:p>
        </w:tc>
        <w:tc>
          <w:tcPr>
            <w:tcW w:w="1196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进一步加强财务管理。规范会计核算，加强财务人员的专业化培训，做到财务核算规范、依据充分、数据准确。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进一步加强预算执行管理。加强部门支出专项资金管理和项目前期管理，加快项目执行进度。</w:t>
            </w:r>
          </w:p>
        </w:tc>
      </w:tr>
    </w:tbl>
    <w:p>
      <w:pPr>
        <w:keepNext w:val="0"/>
        <w:keepLines w:val="0"/>
        <w:pageBreakBefore w:val="0"/>
        <w:shd w:val="clear"/>
        <w:kinsoku/>
        <w:wordWrap/>
        <w:overflowPunct/>
        <w:topLinePunct w:val="0"/>
        <w:autoSpaceDE/>
        <w:autoSpaceDN/>
        <w:bidi w:val="0"/>
        <w:outlineLvl w:val="9"/>
        <w:rPr>
          <w:rFonts w:hint="eastAsia" w:ascii="宋体" w:hAnsi="宋体" w:eastAsia="仿宋_GB2312" w:cs="宋体"/>
          <w:color w:val="auto"/>
          <w:kern w:val="0"/>
          <w:sz w:val="32"/>
          <w:szCs w:val="32"/>
          <w:highlight w:val="none"/>
          <w:shd w:val="clear" w:color="auto" w:fill="FFFFFF"/>
          <w:lang w:val="zh-CN" w:eastAsia="zh-CN" w:bidi="ar-SA"/>
        </w:rPr>
        <w:sectPr>
          <w:pgSz w:w="16838" w:h="11906" w:orient="landscape"/>
          <w:pgMar w:top="1587" w:right="1247" w:bottom="1474" w:left="1247" w:header="851" w:footer="1134" w:gutter="0"/>
          <w:pgNumType w:fmt="decimal"/>
          <w:cols w:space="0" w:num="1"/>
          <w:rtlGutter w:val="0"/>
          <w:docGrid w:type="lines" w:linePitch="312" w:charSpace="0"/>
        </w:sectPr>
      </w:pPr>
    </w:p>
    <w:p>
      <w:pPr>
        <w:pStyle w:val="37"/>
        <w:keepNext w:val="0"/>
        <w:keepLines w:val="0"/>
        <w:pageBreakBefore w:val="0"/>
        <w:widowControl w:val="0"/>
        <w:shd w:val="clear"/>
        <w:kinsoku/>
        <w:wordWrap/>
        <w:overflowPunct/>
        <w:topLinePunct w:val="0"/>
        <w:autoSpaceDE/>
        <w:autoSpaceDN/>
        <w:bidi w:val="0"/>
        <w:adjustRightInd/>
        <w:snapToGrid/>
        <w:spacing w:line="576" w:lineRule="exact"/>
        <w:jc w:val="center"/>
        <w:textAlignment w:val="auto"/>
        <w:outlineLvl w:val="9"/>
        <w:rPr>
          <w:rFonts w:hint="eastAsia" w:ascii="宋体" w:hAnsi="宋体" w:eastAsia="方正小标宋简体" w:cs="方正小标宋简体"/>
          <w:b w:val="0"/>
          <w:bCs w:val="0"/>
          <w:color w:val="auto"/>
          <w:kern w:val="2"/>
          <w:sz w:val="44"/>
          <w:szCs w:val="44"/>
          <w:highlight w:val="none"/>
          <w:lang w:val="en-US" w:eastAsia="zh-CN"/>
        </w:rPr>
      </w:pPr>
    </w:p>
    <w:p>
      <w:pPr>
        <w:pStyle w:val="37"/>
        <w:keepNext w:val="0"/>
        <w:keepLines w:val="0"/>
        <w:pageBreakBefore w:val="0"/>
        <w:widowControl w:val="0"/>
        <w:shd w:val="clear"/>
        <w:kinsoku/>
        <w:wordWrap/>
        <w:overflowPunct/>
        <w:topLinePunct w:val="0"/>
        <w:autoSpaceDE/>
        <w:autoSpaceDN/>
        <w:bidi w:val="0"/>
        <w:adjustRightInd/>
        <w:snapToGrid/>
        <w:spacing w:line="576" w:lineRule="exact"/>
        <w:jc w:val="center"/>
        <w:textAlignment w:val="auto"/>
        <w:outlineLvl w:val="9"/>
        <w:rPr>
          <w:rFonts w:hint="eastAsia" w:ascii="宋体" w:hAnsi="宋体" w:eastAsia="方正小标宋简体" w:cs="方正小标宋简体"/>
          <w:b w:val="0"/>
          <w:bCs w:val="0"/>
          <w:color w:val="auto"/>
          <w:kern w:val="2"/>
          <w:sz w:val="44"/>
          <w:szCs w:val="44"/>
          <w:highlight w:val="none"/>
          <w:lang w:val="en-US" w:eastAsia="zh-CN"/>
        </w:rPr>
      </w:pPr>
      <w:r>
        <w:rPr>
          <w:rFonts w:hint="eastAsia" w:ascii="宋体" w:hAnsi="宋体" w:eastAsia="方正小标宋简体" w:cs="方正小标宋简体"/>
          <w:b w:val="0"/>
          <w:bCs w:val="0"/>
          <w:color w:val="auto"/>
          <w:kern w:val="2"/>
          <w:sz w:val="44"/>
          <w:szCs w:val="44"/>
          <w:highlight w:val="none"/>
          <w:lang w:val="en-US" w:eastAsia="zh-CN"/>
        </w:rPr>
        <w:t>广元市经济合作和外事局</w:t>
      </w:r>
    </w:p>
    <w:p>
      <w:pPr>
        <w:pStyle w:val="37"/>
        <w:keepNext w:val="0"/>
        <w:keepLines w:val="0"/>
        <w:pageBreakBefore w:val="0"/>
        <w:widowControl w:val="0"/>
        <w:shd w:val="clear"/>
        <w:kinsoku/>
        <w:wordWrap/>
        <w:overflowPunct/>
        <w:topLinePunct w:val="0"/>
        <w:autoSpaceDE/>
        <w:autoSpaceDN/>
        <w:bidi w:val="0"/>
        <w:adjustRightInd/>
        <w:snapToGrid/>
        <w:spacing w:line="576" w:lineRule="exact"/>
        <w:jc w:val="center"/>
        <w:textAlignment w:val="auto"/>
        <w:outlineLvl w:val="9"/>
        <w:rPr>
          <w:rFonts w:hint="eastAsia" w:ascii="宋体" w:hAnsi="宋体" w:eastAsia="方正小标宋简体" w:cs="方正小标宋简体"/>
          <w:b w:val="0"/>
          <w:bCs w:val="0"/>
          <w:color w:val="auto"/>
          <w:kern w:val="2"/>
          <w:sz w:val="44"/>
          <w:szCs w:val="44"/>
          <w:highlight w:val="none"/>
          <w:lang w:val="en-US" w:eastAsia="zh-CN"/>
        </w:rPr>
      </w:pPr>
      <w:r>
        <w:rPr>
          <w:rFonts w:hint="eastAsia" w:ascii="宋体" w:hAnsi="宋体" w:eastAsia="方正小标宋简体" w:cs="方正小标宋简体"/>
          <w:b w:val="0"/>
          <w:bCs w:val="0"/>
          <w:color w:val="auto"/>
          <w:kern w:val="2"/>
          <w:sz w:val="44"/>
          <w:szCs w:val="44"/>
          <w:highlight w:val="none"/>
          <w:lang w:val="en-US" w:eastAsia="zh-CN"/>
        </w:rPr>
        <w:t>关于</w:t>
      </w:r>
      <w:r>
        <w:rPr>
          <w:rFonts w:hint="eastAsia" w:ascii="方正小标宋简体" w:hAnsi="方正小标宋简体" w:eastAsia="方正小标宋简体" w:cs="方正小标宋简体"/>
          <w:b w:val="0"/>
          <w:bCs w:val="0"/>
          <w:color w:val="auto"/>
          <w:kern w:val="2"/>
          <w:sz w:val="44"/>
          <w:szCs w:val="44"/>
          <w:highlight w:val="none"/>
          <w:lang w:val="en-US" w:eastAsia="zh-CN"/>
        </w:rPr>
        <w:t>2022</w:t>
      </w:r>
      <w:r>
        <w:rPr>
          <w:rFonts w:hint="eastAsia" w:ascii="宋体" w:hAnsi="宋体" w:eastAsia="方正小标宋简体" w:cs="方正小标宋简体"/>
          <w:b w:val="0"/>
          <w:bCs w:val="0"/>
          <w:color w:val="auto"/>
          <w:kern w:val="2"/>
          <w:sz w:val="44"/>
          <w:szCs w:val="44"/>
          <w:highlight w:val="none"/>
          <w:lang w:val="en-US" w:eastAsia="zh-CN"/>
        </w:rPr>
        <w:t>年度驻外分局工作经费及</w:t>
      </w:r>
    </w:p>
    <w:p>
      <w:pPr>
        <w:pStyle w:val="37"/>
        <w:keepNext w:val="0"/>
        <w:keepLines w:val="0"/>
        <w:pageBreakBefore w:val="0"/>
        <w:widowControl w:val="0"/>
        <w:shd w:val="clear"/>
        <w:kinsoku/>
        <w:wordWrap/>
        <w:overflowPunct/>
        <w:topLinePunct w:val="0"/>
        <w:autoSpaceDE/>
        <w:autoSpaceDN/>
        <w:bidi w:val="0"/>
        <w:adjustRightInd/>
        <w:snapToGrid/>
        <w:spacing w:line="576" w:lineRule="exact"/>
        <w:jc w:val="center"/>
        <w:textAlignment w:val="auto"/>
        <w:outlineLvl w:val="9"/>
        <w:rPr>
          <w:rFonts w:hint="eastAsia" w:ascii="宋体" w:hAnsi="宋体" w:eastAsia="方正小标宋简体" w:cs="方正小标宋简体"/>
          <w:b w:val="0"/>
          <w:bCs w:val="0"/>
          <w:color w:val="auto"/>
          <w:kern w:val="2"/>
          <w:sz w:val="44"/>
          <w:szCs w:val="44"/>
          <w:highlight w:val="none"/>
          <w:lang w:val="en-US" w:eastAsia="zh-CN"/>
        </w:rPr>
      </w:pPr>
      <w:r>
        <w:rPr>
          <w:rFonts w:hint="eastAsia" w:ascii="宋体" w:hAnsi="宋体" w:eastAsia="方正小标宋简体" w:cs="方正小标宋简体"/>
          <w:b w:val="0"/>
          <w:bCs w:val="0"/>
          <w:color w:val="auto"/>
          <w:kern w:val="2"/>
          <w:sz w:val="44"/>
          <w:szCs w:val="44"/>
          <w:highlight w:val="none"/>
          <w:lang w:val="en-US" w:eastAsia="zh-CN"/>
        </w:rPr>
        <w:t>房租支出绩效自评报告</w:t>
      </w:r>
    </w:p>
    <w:p>
      <w:pPr>
        <w:pStyle w:val="37"/>
        <w:keepNext w:val="0"/>
        <w:keepLines w:val="0"/>
        <w:pageBreakBefore w:val="0"/>
        <w:widowControl w:val="0"/>
        <w:shd w:val="clear"/>
        <w:kinsoku/>
        <w:wordWrap/>
        <w:overflowPunct/>
        <w:topLinePunct w:val="0"/>
        <w:autoSpaceDE/>
        <w:autoSpaceDN/>
        <w:bidi w:val="0"/>
        <w:adjustRightInd/>
        <w:snapToGrid/>
        <w:spacing w:line="576" w:lineRule="exact"/>
        <w:jc w:val="left"/>
        <w:textAlignment w:val="auto"/>
        <w:outlineLvl w:val="9"/>
        <w:rPr>
          <w:rFonts w:hint="eastAsia" w:ascii="宋体" w:hAnsi="宋体" w:eastAsia="仿宋_GB2312" w:cs="仿宋_GB2312"/>
          <w:color w:val="auto"/>
          <w:kern w:val="0"/>
          <w:sz w:val="32"/>
          <w:szCs w:val="32"/>
          <w:highlight w:val="none"/>
          <w:lang w:val="en-US" w:eastAsia="zh-CN" w:bidi="ar-SA"/>
        </w:rPr>
      </w:pPr>
    </w:p>
    <w:p>
      <w:pPr>
        <w:pStyle w:val="37"/>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宋体" w:hAnsi="宋体" w:eastAsia="仿宋_GB2312" w:cs="仿宋_GB2312"/>
          <w:color w:val="auto"/>
          <w:kern w:val="0"/>
          <w:sz w:val="32"/>
          <w:szCs w:val="32"/>
          <w:highlight w:val="none"/>
          <w:lang w:val="en-US" w:eastAsia="zh-CN" w:bidi="ar-SA"/>
        </w:rPr>
      </w:pPr>
      <w:r>
        <w:rPr>
          <w:rFonts w:hint="eastAsia" w:ascii="宋体" w:hAnsi="宋体" w:eastAsia="仿宋_GB2312" w:cs="仿宋_GB2312"/>
          <w:color w:val="auto"/>
          <w:kern w:val="0"/>
          <w:sz w:val="32"/>
          <w:szCs w:val="32"/>
          <w:highlight w:val="none"/>
          <w:lang w:val="en-US" w:eastAsia="zh-CN" w:bidi="ar-SA"/>
        </w:rPr>
        <w:t>按照市财政局《关于开展2022年市级部门绩效自评工作的通知》（广财绩</w:t>
      </w:r>
      <w:r>
        <w:rPr>
          <w:rFonts w:hint="eastAsia" w:ascii="宋体" w:hAnsi="宋体" w:eastAsia="仿宋_GB2312" w:cs="仿宋_GB2312"/>
          <w:color w:val="auto"/>
          <w:kern w:val="0"/>
          <w:sz w:val="32"/>
          <w:szCs w:val="32"/>
          <w:highlight w:val="none"/>
          <w:lang w:val="zh-CN" w:eastAsia="zh-CN" w:bidi="ar-SA"/>
        </w:rPr>
        <w:t>〔202</w:t>
      </w:r>
      <w:r>
        <w:rPr>
          <w:rFonts w:hint="eastAsia" w:ascii="宋体" w:hAnsi="宋体" w:eastAsia="仿宋_GB2312" w:cs="仿宋_GB2312"/>
          <w:color w:val="auto"/>
          <w:kern w:val="0"/>
          <w:sz w:val="32"/>
          <w:szCs w:val="32"/>
          <w:highlight w:val="none"/>
          <w:lang w:val="en-US" w:eastAsia="zh-CN" w:bidi="ar-SA"/>
        </w:rPr>
        <w:t>3</w:t>
      </w:r>
      <w:r>
        <w:rPr>
          <w:rFonts w:hint="eastAsia" w:ascii="宋体" w:hAnsi="宋体" w:eastAsia="仿宋_GB2312" w:cs="仿宋_GB2312"/>
          <w:color w:val="auto"/>
          <w:kern w:val="0"/>
          <w:sz w:val="32"/>
          <w:szCs w:val="32"/>
          <w:highlight w:val="none"/>
          <w:lang w:val="zh-CN" w:eastAsia="zh-CN" w:bidi="ar-SA"/>
        </w:rPr>
        <w:t>〕</w:t>
      </w:r>
      <w:r>
        <w:rPr>
          <w:rFonts w:hint="eastAsia" w:ascii="宋体" w:hAnsi="宋体" w:eastAsia="仿宋_GB2312" w:cs="仿宋_GB2312"/>
          <w:color w:val="auto"/>
          <w:kern w:val="0"/>
          <w:sz w:val="32"/>
          <w:szCs w:val="32"/>
          <w:highlight w:val="none"/>
          <w:lang w:val="en-US" w:eastAsia="zh-CN" w:bidi="ar-SA"/>
        </w:rPr>
        <w:t>5</w:t>
      </w:r>
      <w:r>
        <w:rPr>
          <w:rFonts w:hint="eastAsia" w:ascii="宋体" w:hAnsi="宋体" w:eastAsia="仿宋_GB2312" w:cs="仿宋_GB2312"/>
          <w:color w:val="auto"/>
          <w:kern w:val="0"/>
          <w:sz w:val="32"/>
          <w:szCs w:val="32"/>
          <w:highlight w:val="none"/>
          <w:lang w:val="zh-CN" w:eastAsia="zh-CN" w:bidi="ar-SA"/>
        </w:rPr>
        <w:t>号</w:t>
      </w:r>
      <w:r>
        <w:rPr>
          <w:rFonts w:hint="eastAsia" w:ascii="宋体" w:hAnsi="宋体" w:eastAsia="仿宋_GB2312" w:cs="仿宋_GB2312"/>
          <w:color w:val="auto"/>
          <w:kern w:val="0"/>
          <w:sz w:val="32"/>
          <w:szCs w:val="32"/>
          <w:highlight w:val="none"/>
          <w:lang w:val="en-US" w:eastAsia="zh-CN" w:bidi="ar-SA"/>
        </w:rPr>
        <w:t>）文件精神和要求，我局结合单位财务管理实际，认真开展了2022年市级部门专项支出绩效评价工作，现将我单位驻外分局工作经费及房租专项工作经费自评工作报告如下：</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黑体" w:hAnsi="黑体" w:eastAsia="黑体" w:cs="黑体"/>
          <w:color w:val="auto"/>
          <w:kern w:val="0"/>
          <w:sz w:val="32"/>
          <w:szCs w:val="32"/>
          <w:highlight w:val="none"/>
          <w:lang w:val="zh-CN" w:eastAsia="zh-CN" w:bidi="ar-SA"/>
        </w:rPr>
      </w:pPr>
      <w:r>
        <w:rPr>
          <w:rFonts w:hint="eastAsia" w:ascii="黑体" w:hAnsi="黑体" w:eastAsia="黑体" w:cs="黑体"/>
          <w:color w:val="auto"/>
          <w:kern w:val="0"/>
          <w:sz w:val="32"/>
          <w:szCs w:val="32"/>
          <w:highlight w:val="none"/>
          <w:lang w:val="en-US" w:eastAsia="zh-CN" w:bidi="ar-SA"/>
        </w:rPr>
        <w:t>一、</w:t>
      </w:r>
      <w:r>
        <w:rPr>
          <w:rFonts w:hint="eastAsia" w:ascii="黑体" w:hAnsi="黑体" w:eastAsia="黑体" w:cs="黑体"/>
          <w:color w:val="auto"/>
          <w:kern w:val="0"/>
          <w:sz w:val="32"/>
          <w:szCs w:val="32"/>
          <w:highlight w:val="none"/>
          <w:lang w:val="zh-CN" w:eastAsia="zh-CN" w:bidi="ar-SA"/>
        </w:rPr>
        <w:t>项目概况</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楷体_GB2312" w:hAnsi="楷体_GB2312" w:eastAsia="楷体_GB2312" w:cs="楷体_GB2312"/>
          <w:color w:val="auto"/>
          <w:kern w:val="0"/>
          <w:sz w:val="32"/>
          <w:szCs w:val="32"/>
          <w:highlight w:val="none"/>
          <w:lang w:val="zh-CN" w:eastAsia="zh-CN" w:bidi="ar-SA"/>
        </w:rPr>
      </w:pPr>
      <w:r>
        <w:rPr>
          <w:rFonts w:hint="eastAsia" w:ascii="楷体_GB2312" w:hAnsi="楷体_GB2312" w:eastAsia="楷体_GB2312" w:cs="楷体_GB2312"/>
          <w:color w:val="auto"/>
          <w:kern w:val="0"/>
          <w:sz w:val="32"/>
          <w:szCs w:val="32"/>
          <w:highlight w:val="none"/>
          <w:lang w:val="zh-CN" w:eastAsia="zh-CN" w:bidi="ar-SA"/>
        </w:rPr>
        <w:t>（一）项目基本情况</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宋体" w:hAnsi="宋体" w:eastAsia="仿宋_GB2312" w:cs="仿宋_GB2312"/>
          <w:color w:val="auto"/>
          <w:kern w:val="0"/>
          <w:sz w:val="32"/>
          <w:szCs w:val="32"/>
          <w:highlight w:val="none"/>
          <w:lang w:val="zh-CN" w:eastAsia="zh-CN" w:bidi="ar-SA"/>
        </w:rPr>
      </w:pPr>
      <w:r>
        <w:rPr>
          <w:rFonts w:hint="eastAsia" w:ascii="宋体" w:hAnsi="宋体" w:eastAsia="仿宋_GB2312" w:cs="仿宋_GB2312"/>
          <w:color w:val="auto"/>
          <w:kern w:val="0"/>
          <w:sz w:val="32"/>
          <w:szCs w:val="32"/>
          <w:highlight w:val="none"/>
          <w:lang w:val="zh-CN" w:eastAsia="zh-CN" w:bidi="ar-SA"/>
        </w:rPr>
        <w:t>1</w:t>
      </w:r>
      <w:r>
        <w:rPr>
          <w:rFonts w:hint="eastAsia" w:ascii="宋体" w:hAnsi="宋体" w:eastAsia="仿宋_GB2312" w:cs="仿宋_GB2312"/>
          <w:color w:val="auto"/>
          <w:kern w:val="0"/>
          <w:sz w:val="32"/>
          <w:szCs w:val="32"/>
          <w:highlight w:val="none"/>
          <w:lang w:val="en-US" w:eastAsia="zh-CN" w:bidi="ar-SA"/>
        </w:rPr>
        <w:t>.</w:t>
      </w:r>
      <w:r>
        <w:rPr>
          <w:rFonts w:hint="eastAsia" w:ascii="宋体" w:hAnsi="宋体" w:eastAsia="仿宋_GB2312" w:cs="仿宋_GB2312"/>
          <w:color w:val="auto"/>
          <w:kern w:val="0"/>
          <w:sz w:val="32"/>
          <w:szCs w:val="32"/>
          <w:highlight w:val="none"/>
          <w:lang w:val="zh-CN" w:eastAsia="zh-CN" w:bidi="ar-SA"/>
        </w:rPr>
        <w:t>说明项目主管部门（单位）在该项目管理中的职能。</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宋体" w:hAnsi="宋体" w:eastAsia="仿宋_GB2312" w:cs="仿宋_GB2312"/>
          <w:color w:val="auto"/>
          <w:kern w:val="0"/>
          <w:sz w:val="32"/>
          <w:szCs w:val="32"/>
          <w:highlight w:val="none"/>
          <w:lang w:val="zh-CN" w:eastAsia="zh-CN" w:bidi="ar-SA"/>
        </w:rPr>
      </w:pPr>
      <w:r>
        <w:rPr>
          <w:rFonts w:hint="eastAsia" w:ascii="宋体" w:hAnsi="宋体" w:eastAsia="仿宋_GB2312" w:cs="仿宋_GB2312"/>
          <w:color w:val="auto"/>
          <w:kern w:val="0"/>
          <w:sz w:val="32"/>
          <w:szCs w:val="32"/>
          <w:highlight w:val="none"/>
          <w:lang w:val="zh-CN" w:eastAsia="zh-CN" w:bidi="ar-SA"/>
        </w:rPr>
        <w:t>贯彻执行</w:t>
      </w:r>
      <w:r>
        <w:rPr>
          <w:rFonts w:hint="eastAsia" w:ascii="宋体" w:hAnsi="宋体" w:eastAsia="仿宋_GB2312" w:cs="仿宋_GB2312"/>
          <w:color w:val="auto"/>
          <w:kern w:val="0"/>
          <w:sz w:val="32"/>
          <w:szCs w:val="32"/>
          <w:highlight w:val="none"/>
          <w:lang w:val="en-US" w:eastAsia="zh-CN" w:bidi="ar-SA"/>
        </w:rPr>
        <w:t>相关</w:t>
      </w:r>
      <w:r>
        <w:rPr>
          <w:rFonts w:hint="eastAsia" w:ascii="宋体" w:hAnsi="宋体" w:eastAsia="仿宋_GB2312" w:cs="仿宋_GB2312"/>
          <w:color w:val="auto"/>
          <w:kern w:val="0"/>
          <w:sz w:val="32"/>
          <w:szCs w:val="32"/>
          <w:highlight w:val="none"/>
          <w:lang w:val="zh-CN" w:eastAsia="zh-CN" w:bidi="ar-SA"/>
        </w:rPr>
        <w:t>的政策，负责项目资金规划方案编制、组织实施、监督管理、检查验收和区域绩效目标申报及配合做好项目绩效评价工作。</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宋体" w:hAnsi="宋体" w:eastAsia="仿宋_GB2312" w:cs="仿宋_GB2312"/>
          <w:color w:val="auto"/>
          <w:kern w:val="0"/>
          <w:sz w:val="32"/>
          <w:szCs w:val="32"/>
          <w:highlight w:val="none"/>
          <w:lang w:val="en-US" w:eastAsia="zh-CN" w:bidi="ar-SA"/>
        </w:rPr>
      </w:pPr>
      <w:r>
        <w:rPr>
          <w:rFonts w:hint="eastAsia" w:ascii="宋体" w:hAnsi="宋体" w:eastAsia="仿宋_GB2312" w:cs="仿宋_GB2312"/>
          <w:color w:val="auto"/>
          <w:kern w:val="0"/>
          <w:sz w:val="32"/>
          <w:szCs w:val="32"/>
          <w:highlight w:val="none"/>
          <w:lang w:val="en-US" w:eastAsia="zh-CN" w:bidi="ar-SA"/>
        </w:rPr>
        <w:t>2.</w:t>
      </w:r>
      <w:r>
        <w:rPr>
          <w:rFonts w:hint="eastAsia" w:ascii="宋体" w:hAnsi="宋体" w:eastAsia="仿宋_GB2312" w:cs="仿宋_GB2312"/>
          <w:color w:val="auto"/>
          <w:kern w:val="0"/>
          <w:sz w:val="32"/>
          <w:szCs w:val="32"/>
          <w:highlight w:val="none"/>
          <w:lang w:val="zh-CN" w:eastAsia="zh-CN" w:bidi="ar-SA"/>
        </w:rPr>
        <w:t>项目立项、资金申报的依据。</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jc w:val="both"/>
        <w:textAlignment w:val="auto"/>
        <w:outlineLvl w:val="9"/>
        <w:rPr>
          <w:rFonts w:hint="default" w:ascii="宋体" w:hAnsi="宋体" w:eastAsia="仿宋_GB2312" w:cs="仿宋_GB2312"/>
          <w:color w:val="auto"/>
          <w:kern w:val="0"/>
          <w:sz w:val="32"/>
          <w:szCs w:val="32"/>
          <w:highlight w:val="none"/>
          <w:lang w:val="en-US" w:eastAsia="zh-CN" w:bidi="ar-SA"/>
        </w:rPr>
      </w:pPr>
      <w:r>
        <w:rPr>
          <w:rFonts w:hint="eastAsia" w:ascii="宋体" w:hAnsi="宋体" w:eastAsia="仿宋_GB2312" w:cs="仿宋_GB2312"/>
          <w:color w:val="auto"/>
          <w:kern w:val="0"/>
          <w:sz w:val="32"/>
          <w:szCs w:val="32"/>
          <w:highlight w:val="none"/>
          <w:lang w:val="en-US" w:eastAsia="zh-CN" w:bidi="ar-SA"/>
        </w:rPr>
        <w:t>根据《中共广元市委 广元市人民政府关于推进投资促进体制机制改革的实施意见》（广委发〔2017〕12号）精神，我单位设立8个驻外分局，驻外分局因招商工作产生的工作经费以及驻外房租费用通过“驻外分局工作及房租”项目中核算。</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宋体" w:hAnsi="宋体" w:eastAsia="仿宋_GB2312" w:cs="仿宋_GB2312"/>
          <w:color w:val="auto"/>
          <w:kern w:val="0"/>
          <w:sz w:val="32"/>
          <w:szCs w:val="32"/>
          <w:highlight w:val="none"/>
          <w:lang w:val="en-US" w:eastAsia="zh-CN" w:bidi="ar-SA"/>
        </w:rPr>
      </w:pPr>
      <w:r>
        <w:rPr>
          <w:rFonts w:hint="eastAsia" w:ascii="宋体" w:hAnsi="宋体" w:eastAsia="仿宋_GB2312" w:cs="仿宋_GB2312"/>
          <w:color w:val="auto"/>
          <w:kern w:val="0"/>
          <w:sz w:val="32"/>
          <w:szCs w:val="32"/>
          <w:highlight w:val="none"/>
          <w:lang w:val="en-US" w:eastAsia="zh-CN" w:bidi="ar-SA"/>
        </w:rPr>
        <w:t>3.</w:t>
      </w:r>
      <w:r>
        <w:rPr>
          <w:rFonts w:hint="eastAsia" w:ascii="宋体" w:hAnsi="宋体" w:eastAsia="仿宋_GB2312" w:cs="仿宋_GB2312"/>
          <w:color w:val="auto"/>
          <w:kern w:val="0"/>
          <w:sz w:val="32"/>
          <w:szCs w:val="32"/>
          <w:highlight w:val="none"/>
          <w:lang w:val="zh-CN" w:eastAsia="zh-CN" w:bidi="ar-SA"/>
        </w:rPr>
        <w:t>资金</w:t>
      </w:r>
      <w:r>
        <w:rPr>
          <w:rFonts w:hint="eastAsia" w:ascii="宋体" w:hAnsi="宋体" w:eastAsia="仿宋_GB2312" w:cs="仿宋_GB2312"/>
          <w:color w:val="auto"/>
          <w:kern w:val="0"/>
          <w:sz w:val="32"/>
          <w:szCs w:val="32"/>
          <w:highlight w:val="none"/>
          <w:lang w:val="en-US" w:eastAsia="zh-CN" w:bidi="ar-SA"/>
        </w:rPr>
        <w:t>或项目</w:t>
      </w:r>
      <w:r>
        <w:rPr>
          <w:rFonts w:hint="eastAsia" w:ascii="宋体" w:hAnsi="宋体" w:eastAsia="仿宋_GB2312" w:cs="仿宋_GB2312"/>
          <w:color w:val="auto"/>
          <w:kern w:val="0"/>
          <w:sz w:val="32"/>
          <w:szCs w:val="32"/>
          <w:highlight w:val="none"/>
          <w:lang w:val="zh-CN" w:eastAsia="zh-CN" w:bidi="ar-SA"/>
        </w:rPr>
        <w:t>管理办法制定情况，资金支持具体项目的条件、范围与支持方式概况。</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宋体" w:hAnsi="宋体" w:eastAsia="仿宋_GB2312" w:cs="仿宋_GB2312"/>
          <w:color w:val="auto"/>
          <w:kern w:val="0"/>
          <w:sz w:val="32"/>
          <w:szCs w:val="32"/>
          <w:highlight w:val="none"/>
          <w:lang w:val="zh-CN" w:eastAsia="zh-CN" w:bidi="ar-SA"/>
        </w:rPr>
      </w:pPr>
      <w:r>
        <w:rPr>
          <w:rFonts w:hint="eastAsia" w:ascii="宋体" w:hAnsi="宋体" w:eastAsia="仿宋_GB2312" w:cs="仿宋_GB2312"/>
          <w:color w:val="auto"/>
          <w:kern w:val="0"/>
          <w:sz w:val="32"/>
          <w:szCs w:val="32"/>
          <w:highlight w:val="none"/>
          <w:lang w:val="zh-CN" w:eastAsia="zh-CN" w:bidi="ar-SA"/>
        </w:rPr>
        <w:t>按照现行项目管理相关制度，严格按照项目绩效管理制度，扎实开展事前绩效评估，加强预算项目前端绩效管控，推动预算安排理性决策动态实施绩效运行监控，真实反映绩效目标实现程度，及时发现目标执行偏差和管理漏洞。深入开展绩效自评；严格按照中共广元市经济合作局党组《关于印发广元市经济合作局驻外分局管理办法的通知》（广经合党组〔</w:t>
      </w:r>
      <w:r>
        <w:rPr>
          <w:rFonts w:hint="eastAsia" w:ascii="宋体" w:hAnsi="宋体" w:eastAsia="仿宋_GB2312" w:cs="仿宋_GB2312"/>
          <w:color w:val="auto"/>
          <w:kern w:val="0"/>
          <w:sz w:val="32"/>
          <w:szCs w:val="32"/>
          <w:highlight w:val="none"/>
          <w:lang w:val="en-US" w:eastAsia="zh-CN" w:bidi="ar-SA"/>
        </w:rPr>
        <w:t>2021</w:t>
      </w:r>
      <w:r>
        <w:rPr>
          <w:rFonts w:hint="eastAsia" w:ascii="宋体" w:hAnsi="宋体" w:eastAsia="仿宋_GB2312" w:cs="仿宋_GB2312"/>
          <w:color w:val="auto"/>
          <w:kern w:val="0"/>
          <w:sz w:val="32"/>
          <w:szCs w:val="32"/>
          <w:highlight w:val="none"/>
          <w:lang w:val="zh-CN" w:eastAsia="zh-CN" w:bidi="ar-SA"/>
        </w:rPr>
        <w:t>〕</w:t>
      </w:r>
      <w:r>
        <w:rPr>
          <w:rFonts w:hint="eastAsia" w:ascii="宋体" w:hAnsi="宋体" w:eastAsia="仿宋_GB2312" w:cs="仿宋_GB2312"/>
          <w:color w:val="auto"/>
          <w:kern w:val="0"/>
          <w:sz w:val="32"/>
          <w:szCs w:val="32"/>
          <w:highlight w:val="none"/>
          <w:lang w:val="en-US" w:eastAsia="zh-CN" w:bidi="ar-SA"/>
        </w:rPr>
        <w:t>10</w:t>
      </w:r>
      <w:r>
        <w:rPr>
          <w:rFonts w:hint="eastAsia" w:ascii="宋体" w:hAnsi="宋体" w:eastAsia="仿宋_GB2312" w:cs="仿宋_GB2312"/>
          <w:color w:val="auto"/>
          <w:kern w:val="0"/>
          <w:sz w:val="32"/>
          <w:szCs w:val="32"/>
          <w:highlight w:val="none"/>
          <w:lang w:val="zh-CN" w:eastAsia="zh-CN" w:bidi="ar-SA"/>
        </w:rPr>
        <w:t xml:space="preserve"> 号）等文件要求，实行专款专用，严禁任何形式的挤占、截留、挪用、强年绩效考核情况进行分配。</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楷体_GB2312" w:hAnsi="楷体_GB2312" w:eastAsia="楷体_GB2312" w:cs="楷体_GB2312"/>
          <w:color w:val="auto"/>
          <w:kern w:val="0"/>
          <w:sz w:val="32"/>
          <w:szCs w:val="32"/>
          <w:highlight w:val="none"/>
          <w:lang w:val="zh-CN" w:eastAsia="zh-CN" w:bidi="ar-SA"/>
        </w:rPr>
      </w:pPr>
      <w:r>
        <w:rPr>
          <w:rFonts w:hint="eastAsia" w:ascii="楷体_GB2312" w:hAnsi="楷体_GB2312" w:eastAsia="楷体_GB2312" w:cs="楷体_GB2312"/>
          <w:color w:val="auto"/>
          <w:kern w:val="0"/>
          <w:sz w:val="32"/>
          <w:szCs w:val="32"/>
          <w:highlight w:val="none"/>
          <w:lang w:val="zh-CN" w:eastAsia="zh-CN" w:bidi="ar-SA"/>
        </w:rPr>
        <w:t>（二）项目绩效目标</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宋体" w:hAnsi="宋体" w:eastAsia="仿宋_GB2312" w:cs="仿宋_GB2312"/>
          <w:color w:val="auto"/>
          <w:kern w:val="0"/>
          <w:sz w:val="32"/>
          <w:szCs w:val="32"/>
          <w:highlight w:val="none"/>
          <w:lang w:val="zh-CN" w:eastAsia="zh-CN" w:bidi="ar-SA"/>
        </w:rPr>
      </w:pPr>
      <w:r>
        <w:rPr>
          <w:rFonts w:hint="eastAsia" w:ascii="宋体" w:hAnsi="宋体" w:eastAsia="仿宋_GB2312" w:cs="仿宋_GB2312"/>
          <w:color w:val="auto"/>
          <w:kern w:val="0"/>
          <w:sz w:val="32"/>
          <w:szCs w:val="32"/>
          <w:highlight w:val="none"/>
          <w:lang w:val="zh-CN" w:eastAsia="zh-CN" w:bidi="ar-SA"/>
        </w:rPr>
        <w:t>1</w:t>
      </w:r>
      <w:r>
        <w:rPr>
          <w:rFonts w:hint="eastAsia" w:ascii="宋体" w:hAnsi="宋体" w:eastAsia="仿宋_GB2312" w:cs="仿宋_GB2312"/>
          <w:color w:val="auto"/>
          <w:kern w:val="0"/>
          <w:sz w:val="32"/>
          <w:szCs w:val="32"/>
          <w:highlight w:val="none"/>
          <w:lang w:val="en-US" w:eastAsia="zh-CN" w:bidi="ar-SA"/>
        </w:rPr>
        <w:t>.</w:t>
      </w:r>
      <w:r>
        <w:rPr>
          <w:rFonts w:hint="eastAsia" w:ascii="宋体" w:hAnsi="宋体" w:eastAsia="仿宋_GB2312" w:cs="仿宋_GB2312"/>
          <w:color w:val="auto"/>
          <w:kern w:val="0"/>
          <w:sz w:val="32"/>
          <w:szCs w:val="32"/>
          <w:highlight w:val="none"/>
          <w:lang w:val="zh-CN" w:eastAsia="zh-CN" w:bidi="ar-SA"/>
        </w:rPr>
        <w:t>项目主要内容。</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宋体" w:hAnsi="宋体" w:eastAsia="仿宋_GB2312" w:cs="仿宋_GB2312"/>
          <w:color w:val="auto"/>
          <w:kern w:val="0"/>
          <w:sz w:val="32"/>
          <w:szCs w:val="32"/>
          <w:highlight w:val="none"/>
          <w:lang w:val="zh-CN" w:eastAsia="zh-CN" w:bidi="ar-SA"/>
        </w:rPr>
      </w:pPr>
      <w:r>
        <w:rPr>
          <w:rFonts w:hint="eastAsia" w:ascii="宋体" w:hAnsi="宋体" w:eastAsia="仿宋_GB2312" w:cs="仿宋_GB2312"/>
          <w:color w:val="auto"/>
          <w:kern w:val="0"/>
          <w:sz w:val="32"/>
          <w:szCs w:val="32"/>
          <w:highlight w:val="none"/>
          <w:lang w:val="zh-CN" w:eastAsia="zh-CN" w:bidi="ar-SA"/>
        </w:rPr>
        <w:t>主要用于市经济合作局北京、成都、浙江、江苏、广东、山东、福建、直属（重庆）8个驻外分局年度开展投资促进各项工作的保障，充分</w:t>
      </w:r>
      <w:r>
        <w:rPr>
          <w:rFonts w:hint="default" w:ascii="宋体" w:hAnsi="宋体" w:eastAsia="仿宋_GB2312" w:cs="仿宋_GB2312"/>
          <w:color w:val="auto"/>
          <w:kern w:val="0"/>
          <w:sz w:val="32"/>
          <w:szCs w:val="32"/>
          <w:highlight w:val="none"/>
          <w:lang w:val="en-US" w:eastAsia="zh-CN" w:bidi="ar-SA"/>
        </w:rPr>
        <w:t>发挥好</w:t>
      </w:r>
      <w:r>
        <w:rPr>
          <w:rFonts w:hint="eastAsia" w:ascii="宋体" w:hAnsi="宋体" w:eastAsia="仿宋_GB2312" w:cs="仿宋_GB2312"/>
          <w:color w:val="auto"/>
          <w:kern w:val="0"/>
          <w:sz w:val="32"/>
          <w:szCs w:val="32"/>
          <w:highlight w:val="none"/>
          <w:lang w:val="zh-CN" w:eastAsia="zh-CN" w:bidi="ar-SA"/>
        </w:rPr>
        <w:t>8个驻外分局</w:t>
      </w:r>
      <w:r>
        <w:rPr>
          <w:rFonts w:hint="default" w:ascii="宋体" w:hAnsi="宋体" w:eastAsia="仿宋_GB2312" w:cs="仿宋_GB2312"/>
          <w:color w:val="auto"/>
          <w:kern w:val="0"/>
          <w:sz w:val="32"/>
          <w:szCs w:val="32"/>
          <w:highlight w:val="none"/>
          <w:lang w:val="en-US" w:eastAsia="zh-CN" w:bidi="ar-SA"/>
        </w:rPr>
        <w:t>的“窗口”“桥梁”和“前沿阵地”作用，捕捉更多有效投资信息</w:t>
      </w:r>
      <w:r>
        <w:rPr>
          <w:rFonts w:hint="eastAsia" w:ascii="宋体" w:hAnsi="宋体" w:eastAsia="仿宋_GB2312" w:cs="仿宋_GB2312"/>
          <w:color w:val="auto"/>
          <w:kern w:val="0"/>
          <w:sz w:val="32"/>
          <w:szCs w:val="32"/>
          <w:highlight w:val="none"/>
          <w:lang w:val="en-US" w:eastAsia="zh-CN" w:bidi="ar-SA"/>
        </w:rPr>
        <w:t>，</w:t>
      </w:r>
      <w:r>
        <w:rPr>
          <w:rFonts w:hint="eastAsia" w:ascii="宋体" w:hAnsi="宋体" w:eastAsia="仿宋_GB2312" w:cs="仿宋_GB2312"/>
          <w:color w:val="auto"/>
          <w:kern w:val="0"/>
          <w:sz w:val="32"/>
          <w:szCs w:val="32"/>
          <w:highlight w:val="none"/>
          <w:lang w:val="zh-CN" w:eastAsia="zh-CN" w:bidi="ar-SA"/>
        </w:rPr>
        <w:t>积极推动一批重大产业项目签约落地、开工建设、投产见效。</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宋体" w:hAnsi="宋体" w:eastAsia="仿宋_GB2312" w:cs="仿宋_GB2312"/>
          <w:color w:val="auto"/>
          <w:kern w:val="0"/>
          <w:sz w:val="32"/>
          <w:szCs w:val="32"/>
          <w:highlight w:val="none"/>
          <w:lang w:val="en-US" w:eastAsia="zh-CN" w:bidi="ar-SA"/>
        </w:rPr>
      </w:pPr>
      <w:r>
        <w:rPr>
          <w:rFonts w:hint="eastAsia" w:ascii="宋体" w:hAnsi="宋体" w:eastAsia="仿宋_GB2312" w:cs="仿宋_GB2312"/>
          <w:color w:val="auto"/>
          <w:kern w:val="0"/>
          <w:sz w:val="32"/>
          <w:szCs w:val="32"/>
          <w:highlight w:val="none"/>
          <w:lang w:val="en-US" w:eastAsia="zh-CN" w:bidi="ar-SA"/>
        </w:rPr>
        <w:t>2.</w:t>
      </w:r>
      <w:r>
        <w:rPr>
          <w:rFonts w:hint="eastAsia" w:ascii="宋体" w:hAnsi="宋体" w:eastAsia="仿宋_GB2312" w:cs="仿宋_GB2312"/>
          <w:color w:val="auto"/>
          <w:kern w:val="0"/>
          <w:sz w:val="32"/>
          <w:szCs w:val="32"/>
          <w:highlight w:val="none"/>
          <w:lang w:val="zh-CN" w:eastAsia="zh-CN" w:bidi="ar-SA"/>
        </w:rPr>
        <w:t>项目应实现的具体绩效目标，</w:t>
      </w:r>
      <w:r>
        <w:rPr>
          <w:rFonts w:hint="eastAsia" w:ascii="宋体" w:hAnsi="宋体" w:eastAsia="仿宋_GB2312" w:cs="仿宋_GB2312"/>
          <w:color w:val="auto"/>
          <w:kern w:val="0"/>
          <w:sz w:val="32"/>
          <w:szCs w:val="32"/>
          <w:highlight w:val="none"/>
          <w:lang w:val="en-US" w:eastAsia="zh-CN" w:bidi="ar-SA"/>
        </w:rPr>
        <w:t>包括但不限于：8个驻外分局要共提供并动态追踪项目信息500条以上；引荐100批次以上企业来广投资考察；签约引进产业项目50个以上。驻外分局动态追踪项目信息中，产业项目信息条数不低于90%。其中铝基材料、绿色家居、食品饮料、生物医药、机械电子战略性新兴产业、军民融合产业项目不低于总任务的60%。项目签约金额中，产业项目签约金额不低于80%。其中铝基材料、绿色家居、食品饮料、生物医药、机械电子和战略性新兴产业项目签约金额不低于总任务的50%。</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宋体" w:hAnsi="宋体" w:eastAsia="仿宋_GB2312" w:cs="仿宋_GB2312"/>
          <w:color w:val="auto"/>
          <w:kern w:val="0"/>
          <w:sz w:val="32"/>
          <w:szCs w:val="32"/>
          <w:highlight w:val="none"/>
          <w:lang w:val="zh-CN" w:eastAsia="zh-CN" w:bidi="ar-SA"/>
        </w:rPr>
      </w:pPr>
      <w:r>
        <w:rPr>
          <w:rFonts w:hint="eastAsia" w:ascii="宋体" w:hAnsi="宋体" w:eastAsia="仿宋_GB2312" w:cs="仿宋_GB2312"/>
          <w:color w:val="auto"/>
          <w:kern w:val="0"/>
          <w:sz w:val="32"/>
          <w:szCs w:val="32"/>
          <w:highlight w:val="none"/>
          <w:lang w:val="en-US" w:eastAsia="zh-CN" w:bidi="ar-SA"/>
        </w:rPr>
        <w:t>3.</w:t>
      </w:r>
      <w:r>
        <w:rPr>
          <w:rFonts w:hint="eastAsia" w:ascii="宋体" w:hAnsi="宋体" w:eastAsia="仿宋_GB2312" w:cs="仿宋_GB2312"/>
          <w:color w:val="auto"/>
          <w:kern w:val="0"/>
          <w:sz w:val="32"/>
          <w:szCs w:val="32"/>
          <w:highlight w:val="none"/>
          <w:lang w:val="zh-CN" w:eastAsia="zh-CN" w:bidi="ar-SA"/>
        </w:rPr>
        <w:t>分析评价申报内容与实际相符，申报目标合理可行。</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宋体" w:hAnsi="宋体" w:eastAsia="仿宋_GB2312" w:cs="仿宋_GB2312"/>
          <w:color w:val="auto"/>
          <w:kern w:val="0"/>
          <w:sz w:val="32"/>
          <w:szCs w:val="32"/>
          <w:highlight w:val="none"/>
          <w:lang w:val="zh-CN" w:eastAsia="zh-CN" w:bidi="ar-SA"/>
        </w:rPr>
      </w:pPr>
      <w:r>
        <w:rPr>
          <w:rFonts w:hint="eastAsia" w:ascii="宋体" w:hAnsi="宋体" w:eastAsia="仿宋_GB2312" w:cs="仿宋_GB2312"/>
          <w:color w:val="auto"/>
          <w:kern w:val="0"/>
          <w:sz w:val="32"/>
          <w:szCs w:val="32"/>
          <w:highlight w:val="none"/>
          <w:lang w:val="en-US" w:eastAsia="zh-CN" w:bidi="ar-SA"/>
        </w:rPr>
        <w:t>4.</w:t>
      </w:r>
      <w:r>
        <w:rPr>
          <w:rFonts w:hint="eastAsia" w:ascii="宋体" w:hAnsi="宋体" w:eastAsia="仿宋_GB2312" w:cs="仿宋_GB2312"/>
          <w:color w:val="auto"/>
          <w:kern w:val="0"/>
          <w:sz w:val="32"/>
          <w:szCs w:val="32"/>
          <w:highlight w:val="none"/>
          <w:lang w:val="zh-CN" w:eastAsia="zh-CN" w:bidi="ar-SA"/>
        </w:rPr>
        <w:t>资金分配的原则及考虑因素。</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宋体" w:hAnsi="宋体" w:eastAsia="仿宋_GB2312" w:cs="仿宋_GB2312"/>
          <w:color w:val="auto"/>
          <w:kern w:val="0"/>
          <w:sz w:val="32"/>
          <w:szCs w:val="32"/>
          <w:highlight w:val="none"/>
          <w:lang w:val="zh-CN" w:eastAsia="zh-CN" w:bidi="ar-SA"/>
        </w:rPr>
      </w:pPr>
      <w:r>
        <w:rPr>
          <w:rFonts w:hint="eastAsia" w:ascii="宋体" w:hAnsi="宋体" w:eastAsia="仿宋_GB2312" w:cs="仿宋_GB2312"/>
          <w:color w:val="auto"/>
          <w:kern w:val="0"/>
          <w:sz w:val="32"/>
          <w:szCs w:val="32"/>
          <w:highlight w:val="none"/>
          <w:lang w:val="zh-CN" w:eastAsia="zh-CN" w:bidi="ar-SA"/>
        </w:rPr>
        <w:t>根据</w:t>
      </w:r>
      <w:r>
        <w:rPr>
          <w:rFonts w:hint="eastAsia" w:ascii="宋体" w:hAnsi="宋体" w:eastAsia="仿宋_GB2312" w:cs="仿宋_GB2312"/>
          <w:color w:val="auto"/>
          <w:kern w:val="0"/>
          <w:sz w:val="32"/>
          <w:szCs w:val="32"/>
          <w:highlight w:val="none"/>
          <w:lang w:val="en-US" w:eastAsia="zh-CN" w:bidi="ar-SA"/>
        </w:rPr>
        <w:t>《中共广元市委 广元市人民政府关于推进投资促进体制机制改革的实施意见》（广委发〔2017〕12号）</w:t>
      </w:r>
      <w:r>
        <w:rPr>
          <w:rFonts w:hint="eastAsia" w:ascii="宋体" w:hAnsi="宋体" w:eastAsia="仿宋_GB2312" w:cs="仿宋_GB2312"/>
          <w:color w:val="auto"/>
          <w:kern w:val="0"/>
          <w:sz w:val="32"/>
          <w:szCs w:val="32"/>
          <w:highlight w:val="none"/>
          <w:lang w:val="zh-CN" w:eastAsia="zh-CN" w:bidi="ar-SA"/>
        </w:rPr>
        <w:t>、中共广元市经济合作局党组《关于印发广元市经济合作局驻外分局管理办法的通知》（广经合党组〔</w:t>
      </w:r>
      <w:r>
        <w:rPr>
          <w:rFonts w:hint="eastAsia" w:ascii="宋体" w:hAnsi="宋体" w:eastAsia="仿宋_GB2312" w:cs="仿宋_GB2312"/>
          <w:color w:val="auto"/>
          <w:kern w:val="0"/>
          <w:sz w:val="32"/>
          <w:szCs w:val="32"/>
          <w:highlight w:val="none"/>
          <w:lang w:val="en-US" w:eastAsia="zh-CN" w:bidi="ar-SA"/>
        </w:rPr>
        <w:t>2021</w:t>
      </w:r>
      <w:r>
        <w:rPr>
          <w:rFonts w:hint="eastAsia" w:ascii="宋体" w:hAnsi="宋体" w:eastAsia="仿宋_GB2312" w:cs="仿宋_GB2312"/>
          <w:color w:val="auto"/>
          <w:kern w:val="0"/>
          <w:sz w:val="32"/>
          <w:szCs w:val="32"/>
          <w:highlight w:val="none"/>
          <w:lang w:val="zh-CN" w:eastAsia="zh-CN" w:bidi="ar-SA"/>
        </w:rPr>
        <w:t>〕</w:t>
      </w:r>
      <w:r>
        <w:rPr>
          <w:rFonts w:hint="eastAsia" w:ascii="宋体" w:hAnsi="宋体" w:eastAsia="仿宋_GB2312" w:cs="仿宋_GB2312"/>
          <w:color w:val="auto"/>
          <w:kern w:val="0"/>
          <w:sz w:val="32"/>
          <w:szCs w:val="32"/>
          <w:highlight w:val="none"/>
          <w:lang w:val="en-US" w:eastAsia="zh-CN" w:bidi="ar-SA"/>
        </w:rPr>
        <w:t>10</w:t>
      </w:r>
      <w:r>
        <w:rPr>
          <w:rFonts w:hint="eastAsia" w:ascii="宋体" w:hAnsi="宋体" w:eastAsia="仿宋_GB2312" w:cs="仿宋_GB2312"/>
          <w:color w:val="auto"/>
          <w:kern w:val="0"/>
          <w:sz w:val="32"/>
          <w:szCs w:val="32"/>
          <w:highlight w:val="none"/>
          <w:lang w:val="zh-CN" w:eastAsia="zh-CN" w:bidi="ar-SA"/>
        </w:rPr>
        <w:t>号）</w:t>
      </w:r>
      <w:r>
        <w:rPr>
          <w:rFonts w:hint="eastAsia" w:ascii="宋体" w:hAnsi="宋体" w:eastAsia="仿宋_GB2312" w:cs="仿宋_GB2312"/>
          <w:color w:val="auto"/>
          <w:kern w:val="0"/>
          <w:sz w:val="32"/>
          <w:szCs w:val="32"/>
          <w:highlight w:val="none"/>
          <w:lang w:val="en-US" w:eastAsia="zh-CN" w:bidi="ar-SA"/>
        </w:rPr>
        <w:t>等文件精神，</w:t>
      </w:r>
      <w:r>
        <w:rPr>
          <w:rFonts w:hint="eastAsia" w:ascii="宋体" w:hAnsi="宋体" w:eastAsia="仿宋_GB2312" w:cs="仿宋_GB2312"/>
          <w:color w:val="auto"/>
          <w:kern w:val="0"/>
          <w:sz w:val="32"/>
          <w:szCs w:val="32"/>
          <w:highlight w:val="none"/>
          <w:lang w:val="zh-CN" w:eastAsia="zh-CN" w:bidi="ar-SA"/>
        </w:rPr>
        <w:t>按照“政策目标明确、分配规范、支出方向协调、绩效结果挂钩”的原则分配。资金分配考虑因素主要为分局当年实际在岗人员，以及当</w:t>
      </w:r>
      <w:r>
        <w:rPr>
          <w:rFonts w:hint="eastAsia" w:ascii="宋体" w:hAnsi="宋体" w:eastAsia="仿宋_GB2312" w:cs="仿宋_GB2312"/>
          <w:color w:val="auto"/>
          <w:kern w:val="0"/>
          <w:sz w:val="32"/>
          <w:szCs w:val="32"/>
          <w:highlight w:val="none"/>
          <w:lang w:val="en-US" w:eastAsia="zh-CN" w:bidi="ar-SA"/>
        </w:rPr>
        <w:t>财政支出绩效评价自查工作，成立了由局主要领导为组长，党组成员、财务分管领导为副组长，区域合作科负责人、财务人员为成员的各驻外分局工作经费及房租项目支出绩效评价工作领导小组。由财务分管领导牵头负责部门财政支出绩效评价自查各项工作。</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楷体_GB2312" w:hAnsi="楷体_GB2312" w:eastAsia="楷体_GB2312" w:cs="楷体_GB2312"/>
          <w:color w:val="auto"/>
          <w:kern w:val="0"/>
          <w:sz w:val="32"/>
          <w:szCs w:val="32"/>
          <w:highlight w:val="none"/>
          <w:lang w:val="zh-CN" w:eastAsia="zh-CN" w:bidi="ar-SA"/>
        </w:rPr>
      </w:pPr>
      <w:r>
        <w:rPr>
          <w:rFonts w:hint="eastAsia" w:ascii="楷体_GB2312" w:hAnsi="楷体_GB2312" w:eastAsia="楷体_GB2312" w:cs="楷体_GB2312"/>
          <w:color w:val="auto"/>
          <w:kern w:val="0"/>
          <w:sz w:val="32"/>
          <w:szCs w:val="32"/>
          <w:highlight w:val="none"/>
          <w:lang w:val="zh-CN" w:eastAsia="zh-CN" w:bidi="ar-SA"/>
        </w:rPr>
        <w:t>（三）项目自评步骤及方法</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宋体" w:hAnsi="宋体" w:eastAsia="仿宋_GB2312" w:cs="仿宋_GB2312"/>
          <w:color w:val="auto"/>
          <w:kern w:val="0"/>
          <w:sz w:val="32"/>
          <w:szCs w:val="32"/>
          <w:highlight w:val="none"/>
          <w:lang w:val="en-US" w:eastAsia="zh-CN" w:bidi="ar-SA"/>
        </w:rPr>
      </w:pPr>
      <w:r>
        <w:rPr>
          <w:rFonts w:hint="eastAsia" w:ascii="宋体" w:hAnsi="宋体" w:eastAsia="仿宋_GB2312" w:cs="仿宋_GB2312"/>
          <w:color w:val="auto"/>
          <w:kern w:val="0"/>
          <w:sz w:val="32"/>
          <w:szCs w:val="32"/>
          <w:highlight w:val="none"/>
          <w:lang w:val="en-US" w:eastAsia="zh-CN" w:bidi="ar-SA"/>
        </w:rPr>
        <w:t>1.强化组织领导。为做好部门财政支出绩效评价自查工作，成立了由局主要领导为组长，党组成员、财务分管领导为副组长，区域合作科负责人、财务人员为成员的各驻外分局工作经费及房租项目支出绩效评价工作领导小组。由财务分管领导牵头负责部门财政支出绩效评价自查各项工作。</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宋体" w:hAnsi="宋体" w:eastAsia="仿宋_GB2312" w:cs="仿宋_GB2312"/>
          <w:color w:val="auto"/>
          <w:kern w:val="0"/>
          <w:sz w:val="32"/>
          <w:szCs w:val="32"/>
          <w:highlight w:val="none"/>
          <w:lang w:val="zh-CN" w:eastAsia="zh-CN" w:bidi="ar-SA"/>
        </w:rPr>
      </w:pPr>
      <w:r>
        <w:rPr>
          <w:rFonts w:hint="eastAsia" w:ascii="宋体" w:hAnsi="宋体" w:eastAsia="仿宋_GB2312" w:cs="仿宋_GB2312"/>
          <w:color w:val="auto"/>
          <w:kern w:val="0"/>
          <w:sz w:val="32"/>
          <w:szCs w:val="32"/>
          <w:highlight w:val="none"/>
          <w:lang w:val="en-US" w:eastAsia="zh-CN" w:bidi="ar-SA"/>
        </w:rPr>
        <w:t>2.实施步骤分为两个阶段：一是前期准备阶段。组织认真学习《关于开展2022年市级部门绩效自评工作的通知》（广财绩</w:t>
      </w:r>
      <w:r>
        <w:rPr>
          <w:rFonts w:hint="eastAsia" w:ascii="宋体" w:hAnsi="宋体" w:eastAsia="仿宋_GB2312" w:cs="仿宋_GB2312"/>
          <w:color w:val="auto"/>
          <w:kern w:val="0"/>
          <w:sz w:val="32"/>
          <w:szCs w:val="32"/>
          <w:highlight w:val="none"/>
          <w:lang w:val="zh-CN" w:eastAsia="zh-CN" w:bidi="ar-SA"/>
        </w:rPr>
        <w:t>〔</w:t>
      </w:r>
      <w:r>
        <w:rPr>
          <w:rFonts w:hint="eastAsia" w:ascii="宋体" w:hAnsi="宋体" w:eastAsia="仿宋_GB2312" w:cs="仿宋_GB2312"/>
          <w:color w:val="auto"/>
          <w:kern w:val="0"/>
          <w:sz w:val="32"/>
          <w:szCs w:val="32"/>
          <w:highlight w:val="none"/>
          <w:lang w:val="en-US" w:eastAsia="zh-CN" w:bidi="ar-SA"/>
        </w:rPr>
        <w:t>2023</w:t>
      </w:r>
      <w:r>
        <w:rPr>
          <w:rFonts w:hint="eastAsia" w:ascii="宋体" w:hAnsi="宋体" w:eastAsia="仿宋_GB2312" w:cs="仿宋_GB2312"/>
          <w:color w:val="auto"/>
          <w:kern w:val="0"/>
          <w:sz w:val="32"/>
          <w:szCs w:val="32"/>
          <w:highlight w:val="none"/>
          <w:lang w:val="zh-CN" w:eastAsia="zh-CN" w:bidi="ar-SA"/>
        </w:rPr>
        <w:t>〕</w:t>
      </w:r>
      <w:r>
        <w:rPr>
          <w:rFonts w:hint="eastAsia" w:ascii="宋体" w:hAnsi="宋体" w:eastAsia="仿宋_GB2312" w:cs="仿宋_GB2312"/>
          <w:color w:val="auto"/>
          <w:kern w:val="0"/>
          <w:sz w:val="32"/>
          <w:szCs w:val="32"/>
          <w:highlight w:val="none"/>
          <w:lang w:val="en-US" w:eastAsia="zh-CN" w:bidi="ar-SA"/>
        </w:rPr>
        <w:t>5号）文件精神和要求，提高对开展部门支出绩效评价工作的认识，统一思想，确保自查工作的顺利开展。二是自查工作阶段。对市经和外事局2022年驻外分局工作经费收入、支出、预算编制、财务管理、项目资金使用投入产出等情况进行认真的自查。根据“坚持定量优先、简便有效原则”，我局对2022年度部门支出绩效评价主要采用了成本效益分析法、比较法：一是成本效益分析法。评价2022年度部门财政支出与招商引资工作取得的成效进行对比分析以评价绩效目标实现程度。二是比较法。通过对绩效目标与实施效果、历史与当期情况同类支出的比较，综合分析绩效目标实现程度。</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二、项目资金申报及使用情况</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楷体_GB2312" w:hAnsi="楷体_GB2312" w:eastAsia="楷体_GB2312" w:cs="楷体_GB2312"/>
          <w:color w:val="auto"/>
          <w:kern w:val="0"/>
          <w:sz w:val="32"/>
          <w:szCs w:val="32"/>
          <w:highlight w:val="none"/>
          <w:lang w:val="zh-CN" w:eastAsia="zh-CN" w:bidi="ar-SA"/>
        </w:rPr>
      </w:pPr>
      <w:r>
        <w:rPr>
          <w:rFonts w:hint="eastAsia" w:ascii="楷体_GB2312" w:hAnsi="楷体_GB2312" w:eastAsia="楷体_GB2312" w:cs="楷体_GB2312"/>
          <w:color w:val="auto"/>
          <w:kern w:val="0"/>
          <w:sz w:val="32"/>
          <w:szCs w:val="32"/>
          <w:highlight w:val="none"/>
          <w:lang w:val="zh-CN" w:eastAsia="zh-CN" w:bidi="ar-SA"/>
        </w:rPr>
        <w:t>（一）项目资金申报及批复情况</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宋体" w:hAnsi="宋体" w:eastAsia="仿宋_GB2312" w:cs="仿宋_GB2312"/>
          <w:color w:val="auto"/>
          <w:kern w:val="0"/>
          <w:sz w:val="32"/>
          <w:szCs w:val="32"/>
          <w:highlight w:val="none"/>
          <w:lang w:val="en-US" w:eastAsia="zh-CN" w:bidi="ar-SA"/>
        </w:rPr>
      </w:pPr>
      <w:r>
        <w:rPr>
          <w:rFonts w:hint="eastAsia" w:ascii="宋体" w:hAnsi="宋体" w:eastAsia="仿宋_GB2312" w:cs="仿宋_GB2312"/>
          <w:color w:val="auto"/>
          <w:kern w:val="0"/>
          <w:sz w:val="32"/>
          <w:szCs w:val="32"/>
          <w:highlight w:val="none"/>
          <w:lang w:val="zh-CN" w:eastAsia="zh-CN" w:bidi="ar-SA"/>
        </w:rPr>
        <w:t>年初申报该项目预算</w:t>
      </w:r>
      <w:r>
        <w:rPr>
          <w:rFonts w:hint="eastAsia" w:ascii="宋体" w:hAnsi="宋体" w:eastAsia="仿宋_GB2312" w:cs="仿宋_GB2312"/>
          <w:color w:val="auto"/>
          <w:kern w:val="0"/>
          <w:sz w:val="32"/>
          <w:szCs w:val="32"/>
          <w:highlight w:val="none"/>
          <w:lang w:val="en-US" w:eastAsia="zh-CN" w:bidi="ar-SA"/>
        </w:rPr>
        <w:t>316万元，实际批复预算316万元。</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楷体_GB2312" w:hAnsi="楷体_GB2312" w:eastAsia="楷体_GB2312" w:cs="楷体_GB2312"/>
          <w:color w:val="auto"/>
          <w:kern w:val="0"/>
          <w:sz w:val="32"/>
          <w:szCs w:val="32"/>
          <w:highlight w:val="none"/>
          <w:lang w:val="zh-CN" w:eastAsia="zh-CN" w:bidi="ar-SA"/>
        </w:rPr>
      </w:pPr>
      <w:r>
        <w:rPr>
          <w:rFonts w:hint="eastAsia" w:ascii="楷体_GB2312" w:hAnsi="楷体_GB2312" w:eastAsia="楷体_GB2312" w:cs="楷体_GB2312"/>
          <w:color w:val="auto"/>
          <w:kern w:val="0"/>
          <w:sz w:val="32"/>
          <w:szCs w:val="32"/>
          <w:highlight w:val="none"/>
          <w:lang w:val="zh-CN" w:eastAsia="zh-CN" w:bidi="ar-SA"/>
        </w:rPr>
        <w:t>（二）资金计划、到位及使用情况</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宋体" w:hAnsi="宋体" w:eastAsia="仿宋_GB2312" w:cs="仿宋_GB2312"/>
          <w:color w:val="auto"/>
          <w:kern w:val="0"/>
          <w:sz w:val="32"/>
          <w:szCs w:val="32"/>
          <w:highlight w:val="none"/>
          <w:lang w:val="zh-CN" w:eastAsia="zh-CN" w:bidi="ar-SA"/>
        </w:rPr>
      </w:pPr>
      <w:r>
        <w:rPr>
          <w:rFonts w:hint="eastAsia" w:ascii="宋体" w:hAnsi="宋体" w:eastAsia="仿宋_GB2312" w:cs="仿宋_GB2312"/>
          <w:color w:val="auto"/>
          <w:kern w:val="0"/>
          <w:sz w:val="32"/>
          <w:szCs w:val="32"/>
          <w:highlight w:val="none"/>
          <w:lang w:val="zh-CN" w:eastAsia="zh-CN" w:bidi="ar-SA"/>
        </w:rPr>
        <w:t>1</w:t>
      </w:r>
      <w:r>
        <w:rPr>
          <w:rFonts w:hint="eastAsia" w:ascii="宋体" w:hAnsi="宋体" w:eastAsia="仿宋_GB2312" w:cs="仿宋_GB2312"/>
          <w:color w:val="auto"/>
          <w:kern w:val="0"/>
          <w:sz w:val="32"/>
          <w:szCs w:val="32"/>
          <w:highlight w:val="none"/>
          <w:lang w:val="en-US" w:eastAsia="zh-CN" w:bidi="ar-SA"/>
        </w:rPr>
        <w:t>.</w:t>
      </w:r>
      <w:r>
        <w:rPr>
          <w:rFonts w:hint="eastAsia" w:ascii="宋体" w:hAnsi="宋体" w:eastAsia="仿宋_GB2312" w:cs="仿宋_GB2312"/>
          <w:color w:val="auto"/>
          <w:kern w:val="0"/>
          <w:sz w:val="32"/>
          <w:szCs w:val="32"/>
          <w:highlight w:val="none"/>
          <w:lang w:val="zh-CN" w:eastAsia="zh-CN" w:bidi="ar-SA"/>
        </w:rPr>
        <w:t>资金计划。全年计划使用资金</w:t>
      </w:r>
      <w:r>
        <w:rPr>
          <w:rFonts w:hint="eastAsia" w:ascii="宋体" w:hAnsi="宋体" w:eastAsia="仿宋_GB2312" w:cs="仿宋_GB2312"/>
          <w:color w:val="auto"/>
          <w:kern w:val="0"/>
          <w:sz w:val="32"/>
          <w:szCs w:val="32"/>
          <w:highlight w:val="none"/>
          <w:lang w:val="en-US" w:eastAsia="zh-CN" w:bidi="ar-SA"/>
        </w:rPr>
        <w:t>316万元，其中包括8个驻外分局房租费用100万元，工作经费216万元。</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宋体" w:hAnsi="宋体" w:eastAsia="仿宋_GB2312" w:cs="仿宋_GB2312"/>
          <w:color w:val="auto"/>
          <w:kern w:val="0"/>
          <w:sz w:val="32"/>
          <w:szCs w:val="32"/>
          <w:highlight w:val="none"/>
          <w:lang w:val="zh-CN" w:eastAsia="zh-CN" w:bidi="ar-SA"/>
        </w:rPr>
      </w:pPr>
      <w:r>
        <w:rPr>
          <w:rFonts w:hint="eastAsia" w:ascii="宋体" w:hAnsi="宋体" w:eastAsia="仿宋_GB2312" w:cs="仿宋_GB2312"/>
          <w:color w:val="auto"/>
          <w:kern w:val="0"/>
          <w:sz w:val="32"/>
          <w:szCs w:val="32"/>
          <w:highlight w:val="none"/>
          <w:lang w:val="zh-CN" w:eastAsia="zh-CN" w:bidi="ar-SA"/>
        </w:rPr>
        <w:t>2</w:t>
      </w:r>
      <w:r>
        <w:rPr>
          <w:rFonts w:hint="eastAsia" w:ascii="宋体" w:hAnsi="宋体" w:eastAsia="仿宋_GB2312" w:cs="仿宋_GB2312"/>
          <w:color w:val="auto"/>
          <w:kern w:val="0"/>
          <w:sz w:val="32"/>
          <w:szCs w:val="32"/>
          <w:highlight w:val="none"/>
          <w:lang w:val="en-US" w:eastAsia="zh-CN" w:bidi="ar-SA"/>
        </w:rPr>
        <w:t>.</w:t>
      </w:r>
      <w:r>
        <w:rPr>
          <w:rFonts w:hint="eastAsia" w:ascii="宋体" w:hAnsi="宋体" w:eastAsia="仿宋_GB2312" w:cs="仿宋_GB2312"/>
          <w:color w:val="auto"/>
          <w:kern w:val="0"/>
          <w:sz w:val="32"/>
          <w:szCs w:val="32"/>
          <w:highlight w:val="none"/>
          <w:lang w:val="zh-CN" w:eastAsia="zh-CN" w:bidi="ar-SA"/>
        </w:rPr>
        <w:t>资金到位。全年到位资金</w:t>
      </w:r>
      <w:r>
        <w:rPr>
          <w:rFonts w:hint="eastAsia" w:ascii="宋体" w:hAnsi="宋体" w:eastAsia="仿宋_GB2312" w:cs="仿宋_GB2312"/>
          <w:color w:val="auto"/>
          <w:kern w:val="0"/>
          <w:sz w:val="32"/>
          <w:szCs w:val="32"/>
          <w:highlight w:val="none"/>
          <w:lang w:val="en-US" w:eastAsia="zh-CN" w:bidi="ar-SA"/>
        </w:rPr>
        <w:t>316万元</w:t>
      </w:r>
      <w:r>
        <w:rPr>
          <w:rFonts w:hint="eastAsia" w:ascii="宋体" w:hAnsi="宋体" w:eastAsia="仿宋_GB2312" w:cs="仿宋_GB2312"/>
          <w:color w:val="auto"/>
          <w:kern w:val="0"/>
          <w:sz w:val="32"/>
          <w:szCs w:val="32"/>
          <w:highlight w:val="none"/>
          <w:lang w:val="zh-CN" w:eastAsia="zh-CN" w:bidi="ar-SA"/>
        </w:rPr>
        <w:t>。</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宋体" w:hAnsi="宋体" w:eastAsia="仿宋_GB2312" w:cs="仿宋_GB2312"/>
          <w:color w:val="auto"/>
          <w:kern w:val="0"/>
          <w:sz w:val="32"/>
          <w:szCs w:val="32"/>
          <w:highlight w:val="none"/>
          <w:lang w:val="zh-CN" w:eastAsia="zh-CN" w:bidi="ar-SA"/>
        </w:rPr>
      </w:pPr>
      <w:r>
        <w:rPr>
          <w:rFonts w:hint="eastAsia" w:ascii="宋体" w:hAnsi="宋体" w:eastAsia="仿宋_GB2312" w:cs="仿宋_GB2312"/>
          <w:color w:val="auto"/>
          <w:kern w:val="0"/>
          <w:sz w:val="32"/>
          <w:szCs w:val="32"/>
          <w:highlight w:val="none"/>
          <w:lang w:val="zh-CN" w:eastAsia="zh-CN" w:bidi="ar-SA"/>
        </w:rPr>
        <w:t>3</w:t>
      </w:r>
      <w:r>
        <w:rPr>
          <w:rFonts w:hint="eastAsia" w:ascii="宋体" w:hAnsi="宋体" w:eastAsia="仿宋_GB2312" w:cs="仿宋_GB2312"/>
          <w:color w:val="auto"/>
          <w:kern w:val="0"/>
          <w:sz w:val="32"/>
          <w:szCs w:val="32"/>
          <w:highlight w:val="none"/>
          <w:lang w:val="en-US" w:eastAsia="zh-CN" w:bidi="ar-SA"/>
        </w:rPr>
        <w:t>.</w:t>
      </w:r>
      <w:r>
        <w:rPr>
          <w:rFonts w:hint="eastAsia" w:ascii="宋体" w:hAnsi="宋体" w:eastAsia="仿宋_GB2312" w:cs="仿宋_GB2312"/>
          <w:color w:val="auto"/>
          <w:kern w:val="0"/>
          <w:sz w:val="32"/>
          <w:szCs w:val="32"/>
          <w:highlight w:val="none"/>
          <w:lang w:val="zh-CN" w:eastAsia="zh-CN" w:bidi="ar-SA"/>
        </w:rPr>
        <w:t>资金使用。截止</w:t>
      </w:r>
      <w:r>
        <w:rPr>
          <w:rFonts w:hint="eastAsia" w:ascii="宋体" w:hAnsi="宋体" w:eastAsia="仿宋_GB2312" w:cs="仿宋_GB2312"/>
          <w:color w:val="auto"/>
          <w:kern w:val="0"/>
          <w:sz w:val="32"/>
          <w:szCs w:val="32"/>
          <w:highlight w:val="none"/>
          <w:lang w:val="en-US" w:eastAsia="zh-CN" w:bidi="ar-SA"/>
        </w:rPr>
        <w:t>2021年12月31日，该项目资金支出总额316万元，预算执行率100%。在支付过程中严格按照该项目使用要求进行资金拨付，资金支付合法合规，与预算相符，无挤占、超标准使用该资金的情况。</w:t>
      </w:r>
    </w:p>
    <w:p>
      <w:pPr>
        <w:pStyle w:val="37"/>
        <w:keepNext w:val="0"/>
        <w:keepLines w:val="0"/>
        <w:pageBreakBefore w:val="0"/>
        <w:widowControl w:val="0"/>
        <w:shd w:val="clea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楷体_GB2312" w:hAnsi="楷体_GB2312" w:eastAsia="楷体_GB2312" w:cs="楷体_GB2312"/>
          <w:color w:val="auto"/>
          <w:kern w:val="0"/>
          <w:sz w:val="32"/>
          <w:szCs w:val="32"/>
          <w:highlight w:val="none"/>
          <w:lang w:val="zh-CN" w:eastAsia="zh-CN" w:bidi="ar-SA"/>
        </w:rPr>
      </w:pPr>
      <w:r>
        <w:rPr>
          <w:rFonts w:hint="eastAsia" w:ascii="楷体_GB2312" w:hAnsi="楷体_GB2312" w:eastAsia="楷体_GB2312" w:cs="楷体_GB2312"/>
          <w:color w:val="auto"/>
          <w:kern w:val="0"/>
          <w:sz w:val="32"/>
          <w:szCs w:val="32"/>
          <w:highlight w:val="none"/>
          <w:lang w:val="zh-CN" w:eastAsia="zh-CN" w:bidi="ar-SA"/>
        </w:rPr>
        <w:t>（三）项目财务管理情况</w:t>
      </w:r>
    </w:p>
    <w:p>
      <w:pPr>
        <w:pStyle w:val="37"/>
        <w:keepNext w:val="0"/>
        <w:keepLines w:val="0"/>
        <w:pageBreakBefore w:val="0"/>
        <w:widowControl w:val="0"/>
        <w:shd w:val="clea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宋体" w:hAnsi="宋体" w:eastAsia="仿宋_GB2312" w:cs="仿宋_GB2312"/>
          <w:color w:val="auto"/>
          <w:kern w:val="0"/>
          <w:sz w:val="32"/>
          <w:szCs w:val="32"/>
          <w:highlight w:val="none"/>
          <w:lang w:val="zh-CN" w:eastAsia="zh-CN" w:bidi="ar-SA"/>
        </w:rPr>
      </w:pPr>
      <w:r>
        <w:rPr>
          <w:rFonts w:hint="eastAsia" w:ascii="宋体" w:hAnsi="宋体" w:eastAsia="仿宋_GB2312" w:cs="仿宋_GB2312"/>
          <w:color w:val="auto"/>
          <w:kern w:val="0"/>
          <w:sz w:val="32"/>
          <w:szCs w:val="32"/>
          <w:highlight w:val="none"/>
          <w:lang w:val="en-US" w:eastAsia="zh-CN" w:bidi="ar-SA"/>
        </w:rPr>
        <w:t>我单位严格</w:t>
      </w:r>
      <w:r>
        <w:rPr>
          <w:rFonts w:hint="eastAsia" w:ascii="宋体" w:hAnsi="宋体" w:eastAsia="仿宋_GB2312" w:cs="仿宋_GB2312"/>
          <w:color w:val="auto"/>
          <w:kern w:val="0"/>
          <w:sz w:val="32"/>
          <w:szCs w:val="32"/>
          <w:highlight w:val="none"/>
          <w:lang w:val="zh-CN" w:eastAsia="zh-CN" w:bidi="ar-SA"/>
        </w:rPr>
        <w:t>按照中共广元市经济合作局党组关于印发《广元市经济合作局驻外分局管理制度》（</w:t>
      </w:r>
      <w:r>
        <w:rPr>
          <w:rFonts w:hint="eastAsia" w:ascii="宋体" w:hAnsi="宋体" w:eastAsia="仿宋_GB2312" w:cs="仿宋_GB2312"/>
          <w:color w:val="auto"/>
          <w:kern w:val="0"/>
          <w:sz w:val="32"/>
          <w:szCs w:val="32"/>
          <w:highlight w:val="none"/>
          <w:lang w:val="en-US" w:eastAsia="zh-CN" w:bidi="ar-SA"/>
        </w:rPr>
        <w:t>广经合党组</w:t>
      </w:r>
      <w:r>
        <w:rPr>
          <w:rFonts w:hint="eastAsia" w:ascii="宋体" w:hAnsi="宋体" w:eastAsia="仿宋_GB2312" w:cs="仿宋_GB2312"/>
          <w:color w:val="auto"/>
          <w:kern w:val="0"/>
          <w:sz w:val="32"/>
          <w:szCs w:val="32"/>
          <w:highlight w:val="none"/>
          <w:lang w:val="zh-CN" w:eastAsia="zh-CN" w:bidi="ar-SA"/>
        </w:rPr>
        <w:t>〔</w:t>
      </w:r>
      <w:r>
        <w:rPr>
          <w:rFonts w:hint="eastAsia" w:ascii="宋体" w:hAnsi="宋体" w:eastAsia="仿宋_GB2312" w:cs="仿宋_GB2312"/>
          <w:color w:val="auto"/>
          <w:kern w:val="0"/>
          <w:sz w:val="32"/>
          <w:szCs w:val="32"/>
          <w:highlight w:val="none"/>
          <w:lang w:val="en-US" w:eastAsia="zh-CN" w:bidi="ar-SA"/>
        </w:rPr>
        <w:t>2021</w:t>
      </w:r>
      <w:r>
        <w:rPr>
          <w:rFonts w:hint="eastAsia" w:ascii="宋体" w:hAnsi="宋体" w:eastAsia="仿宋_GB2312" w:cs="仿宋_GB2312"/>
          <w:color w:val="auto"/>
          <w:kern w:val="0"/>
          <w:sz w:val="32"/>
          <w:szCs w:val="32"/>
          <w:highlight w:val="none"/>
          <w:lang w:val="zh-CN" w:eastAsia="zh-CN" w:bidi="ar-SA"/>
        </w:rPr>
        <w:t>〕</w:t>
      </w:r>
      <w:r>
        <w:rPr>
          <w:rFonts w:hint="eastAsia" w:ascii="宋体" w:hAnsi="宋体" w:eastAsia="仿宋_GB2312" w:cs="仿宋_GB2312"/>
          <w:color w:val="auto"/>
          <w:kern w:val="0"/>
          <w:sz w:val="32"/>
          <w:szCs w:val="32"/>
          <w:highlight w:val="none"/>
          <w:lang w:val="en-US" w:eastAsia="zh-CN" w:bidi="ar-SA"/>
        </w:rPr>
        <w:t>10号）</w:t>
      </w:r>
      <w:r>
        <w:rPr>
          <w:rFonts w:hint="eastAsia" w:ascii="宋体" w:hAnsi="宋体" w:eastAsia="仿宋_GB2312" w:cs="仿宋_GB2312"/>
          <w:color w:val="auto"/>
          <w:kern w:val="0"/>
          <w:sz w:val="32"/>
          <w:szCs w:val="32"/>
          <w:highlight w:val="none"/>
          <w:lang w:val="zh-CN" w:eastAsia="zh-CN" w:bidi="ar-SA"/>
        </w:rPr>
        <w:t>文件精神，严格执行财务管理制度，按照“专款专用，注重实效”的原则进行管理。严格执行</w:t>
      </w:r>
      <w:r>
        <w:rPr>
          <w:rFonts w:hint="eastAsia" w:ascii="宋体" w:hAnsi="宋体" w:eastAsia="仿宋_GB2312" w:cs="仿宋_GB2312"/>
          <w:color w:val="auto"/>
          <w:kern w:val="0"/>
          <w:sz w:val="32"/>
          <w:szCs w:val="32"/>
          <w:highlight w:val="none"/>
          <w:lang w:val="en-US" w:eastAsia="zh-CN" w:bidi="ar-SA"/>
        </w:rPr>
        <w:t>财务</w:t>
      </w:r>
      <w:r>
        <w:rPr>
          <w:rFonts w:hint="eastAsia" w:ascii="宋体" w:hAnsi="宋体" w:eastAsia="仿宋_GB2312" w:cs="仿宋_GB2312"/>
          <w:color w:val="auto"/>
          <w:kern w:val="0"/>
          <w:sz w:val="32"/>
          <w:szCs w:val="32"/>
          <w:highlight w:val="none"/>
          <w:lang w:val="zh-CN" w:eastAsia="zh-CN" w:bidi="ar-SA"/>
        </w:rPr>
        <w:t>管理及资金支付制度，从制度上为规范资金管理提供保障，促进了资金使用管理的规范性、安全性和有效性。</w:t>
      </w:r>
    </w:p>
    <w:p>
      <w:pPr>
        <w:pStyle w:val="37"/>
        <w:keepNext w:val="0"/>
        <w:keepLines w:val="0"/>
        <w:pageBreakBefore w:val="0"/>
        <w:widowControl w:val="0"/>
        <w:shd w:val="clear"/>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黑体" w:hAnsi="黑体" w:eastAsia="黑体" w:cs="黑体"/>
          <w:color w:val="auto"/>
          <w:kern w:val="0"/>
          <w:sz w:val="32"/>
          <w:szCs w:val="32"/>
          <w:highlight w:val="none"/>
          <w:lang w:val="zh-CN" w:eastAsia="zh-CN" w:bidi="ar-SA"/>
        </w:rPr>
      </w:pPr>
      <w:r>
        <w:rPr>
          <w:rFonts w:hint="eastAsia" w:ascii="黑体" w:hAnsi="黑体" w:eastAsia="黑体" w:cs="黑体"/>
          <w:color w:val="auto"/>
          <w:kern w:val="0"/>
          <w:sz w:val="32"/>
          <w:szCs w:val="32"/>
          <w:highlight w:val="none"/>
          <w:lang w:val="en-US" w:eastAsia="zh-CN" w:bidi="ar-SA"/>
        </w:rPr>
        <w:t>三、项目实施及管理情况</w:t>
      </w:r>
    </w:p>
    <w:p>
      <w:pPr>
        <w:pStyle w:val="37"/>
        <w:keepNext w:val="0"/>
        <w:keepLines w:val="0"/>
        <w:pageBreakBefore w:val="0"/>
        <w:widowControl w:val="0"/>
        <w:shd w:val="clea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宋体" w:hAnsi="宋体" w:eastAsia="仿宋_GB2312" w:cs="仿宋_GB2312"/>
          <w:color w:val="auto"/>
          <w:kern w:val="0"/>
          <w:sz w:val="32"/>
          <w:szCs w:val="32"/>
          <w:highlight w:val="none"/>
          <w:lang w:val="zh-CN" w:eastAsia="zh-CN" w:bidi="ar-SA"/>
        </w:rPr>
      </w:pPr>
      <w:r>
        <w:rPr>
          <w:rFonts w:hint="eastAsia" w:ascii="楷体_GB2312" w:hAnsi="楷体_GB2312" w:eastAsia="楷体_GB2312" w:cs="楷体_GB2312"/>
          <w:color w:val="auto"/>
          <w:kern w:val="0"/>
          <w:sz w:val="32"/>
          <w:szCs w:val="32"/>
          <w:highlight w:val="none"/>
          <w:lang w:val="zh-CN" w:eastAsia="zh-CN" w:bidi="ar-SA"/>
        </w:rPr>
        <w:t>（一）项目组织架构及实施流程。</w:t>
      </w:r>
      <w:r>
        <w:rPr>
          <w:rFonts w:hint="default" w:ascii="宋体" w:hAnsi="宋体" w:eastAsia="仿宋_GB2312" w:cs="仿宋_GB2312"/>
          <w:color w:val="auto"/>
          <w:kern w:val="0"/>
          <w:sz w:val="32"/>
          <w:szCs w:val="32"/>
          <w:highlight w:val="none"/>
          <w:lang w:val="zh-CN" w:eastAsia="zh-CN" w:bidi="ar-SA"/>
        </w:rPr>
        <w:t>严格按照</w:t>
      </w:r>
      <w:r>
        <w:rPr>
          <w:rFonts w:hint="eastAsia" w:ascii="宋体" w:hAnsi="宋体" w:eastAsia="仿宋_GB2312" w:cs="仿宋_GB2312"/>
          <w:color w:val="auto"/>
          <w:kern w:val="0"/>
          <w:sz w:val="32"/>
          <w:szCs w:val="32"/>
          <w:highlight w:val="none"/>
          <w:lang w:val="zh-CN" w:eastAsia="zh-CN" w:bidi="ar-SA"/>
        </w:rPr>
        <w:t>单位相关</w:t>
      </w:r>
      <w:r>
        <w:rPr>
          <w:rFonts w:hint="default" w:ascii="宋体" w:hAnsi="宋体" w:eastAsia="仿宋_GB2312" w:cs="仿宋_GB2312"/>
          <w:color w:val="auto"/>
          <w:kern w:val="0"/>
          <w:sz w:val="32"/>
          <w:szCs w:val="32"/>
          <w:highlight w:val="none"/>
          <w:lang w:val="zh-CN" w:eastAsia="zh-CN" w:bidi="ar-SA"/>
        </w:rPr>
        <w:t>财务内控制度</w:t>
      </w:r>
      <w:r>
        <w:rPr>
          <w:rFonts w:hint="eastAsia" w:ascii="宋体" w:hAnsi="宋体" w:eastAsia="仿宋_GB2312" w:cs="仿宋_GB2312"/>
          <w:color w:val="auto"/>
          <w:kern w:val="0"/>
          <w:sz w:val="32"/>
          <w:szCs w:val="32"/>
          <w:highlight w:val="none"/>
          <w:lang w:val="zh-CN" w:eastAsia="zh-CN" w:bidi="ar-SA"/>
        </w:rPr>
        <w:t>、</w:t>
      </w:r>
      <w:r>
        <w:rPr>
          <w:rFonts w:hint="default" w:ascii="宋体" w:hAnsi="宋体" w:eastAsia="仿宋_GB2312" w:cs="仿宋_GB2312"/>
          <w:color w:val="auto"/>
          <w:kern w:val="0"/>
          <w:sz w:val="32"/>
          <w:szCs w:val="32"/>
          <w:highlight w:val="none"/>
          <w:lang w:val="zh-CN" w:eastAsia="zh-CN" w:bidi="ar-SA"/>
        </w:rPr>
        <w:t>财务报销流程进行管理，</w:t>
      </w:r>
      <w:r>
        <w:rPr>
          <w:rFonts w:hint="eastAsia" w:ascii="宋体" w:hAnsi="宋体" w:eastAsia="仿宋_GB2312" w:cs="仿宋_GB2312"/>
          <w:color w:val="auto"/>
          <w:kern w:val="0"/>
          <w:sz w:val="32"/>
          <w:szCs w:val="32"/>
          <w:highlight w:val="none"/>
          <w:lang w:val="zh-CN" w:eastAsia="zh-CN" w:bidi="ar-SA"/>
        </w:rPr>
        <w:t>严格按照驻外分局管理制度</w:t>
      </w:r>
      <w:r>
        <w:rPr>
          <w:rFonts w:hint="default" w:ascii="宋体" w:hAnsi="宋体" w:eastAsia="仿宋_GB2312" w:cs="仿宋_GB2312"/>
          <w:color w:val="auto"/>
          <w:kern w:val="0"/>
          <w:sz w:val="32"/>
          <w:szCs w:val="32"/>
          <w:highlight w:val="none"/>
          <w:lang w:val="zh-CN" w:eastAsia="zh-CN" w:bidi="ar-SA"/>
        </w:rPr>
        <w:t>保证项目按照工作需要实施。</w:t>
      </w:r>
    </w:p>
    <w:p>
      <w:pPr>
        <w:pStyle w:val="37"/>
        <w:keepNext w:val="0"/>
        <w:keepLines w:val="0"/>
        <w:pageBreakBefore w:val="0"/>
        <w:widowControl w:val="0"/>
        <w:shd w:val="clea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宋体" w:hAnsi="宋体" w:eastAsia="仿宋_GB2312" w:cs="仿宋_GB2312"/>
          <w:color w:val="auto"/>
          <w:kern w:val="0"/>
          <w:sz w:val="32"/>
          <w:szCs w:val="32"/>
          <w:highlight w:val="none"/>
          <w:lang w:val="zh-CN" w:eastAsia="zh-CN" w:bidi="ar-SA"/>
        </w:rPr>
      </w:pPr>
      <w:r>
        <w:rPr>
          <w:rFonts w:hint="eastAsia" w:ascii="楷体_GB2312" w:hAnsi="楷体_GB2312" w:eastAsia="楷体_GB2312" w:cs="楷体_GB2312"/>
          <w:color w:val="auto"/>
          <w:kern w:val="0"/>
          <w:sz w:val="32"/>
          <w:szCs w:val="32"/>
          <w:highlight w:val="none"/>
          <w:lang w:val="zh-CN" w:eastAsia="zh-CN" w:bidi="ar-SA"/>
        </w:rPr>
        <w:t>（二）项目管理情况。</w:t>
      </w:r>
      <w:r>
        <w:rPr>
          <w:rFonts w:hint="eastAsia" w:ascii="宋体" w:hAnsi="宋体" w:eastAsia="仿宋_GB2312" w:cs="仿宋_GB2312"/>
          <w:color w:val="auto"/>
          <w:kern w:val="0"/>
          <w:sz w:val="32"/>
          <w:szCs w:val="32"/>
          <w:highlight w:val="none"/>
          <w:lang w:val="zh-CN" w:eastAsia="zh-CN" w:bidi="ar-SA"/>
        </w:rPr>
        <w:t>制定了中共广元市经济合作局党组关于印发《广元市经济合作局驻外分局管理制度》（</w:t>
      </w:r>
      <w:r>
        <w:rPr>
          <w:rFonts w:hint="eastAsia" w:ascii="宋体" w:hAnsi="宋体" w:eastAsia="仿宋_GB2312" w:cs="仿宋_GB2312"/>
          <w:color w:val="auto"/>
          <w:kern w:val="0"/>
          <w:sz w:val="32"/>
          <w:szCs w:val="32"/>
          <w:highlight w:val="none"/>
          <w:lang w:val="en-US" w:eastAsia="zh-CN" w:bidi="ar-SA"/>
        </w:rPr>
        <w:t>广经合党组</w:t>
      </w:r>
      <w:r>
        <w:rPr>
          <w:rFonts w:hint="eastAsia" w:ascii="宋体" w:hAnsi="宋体" w:eastAsia="仿宋_GB2312" w:cs="仿宋_GB2312"/>
          <w:color w:val="auto"/>
          <w:kern w:val="0"/>
          <w:sz w:val="32"/>
          <w:szCs w:val="32"/>
          <w:highlight w:val="none"/>
          <w:lang w:val="zh-CN" w:eastAsia="zh-CN" w:bidi="ar-SA"/>
        </w:rPr>
        <w:t>〔</w:t>
      </w:r>
      <w:r>
        <w:rPr>
          <w:rFonts w:hint="eastAsia" w:ascii="宋体" w:hAnsi="宋体" w:eastAsia="仿宋_GB2312" w:cs="仿宋_GB2312"/>
          <w:color w:val="auto"/>
          <w:kern w:val="0"/>
          <w:sz w:val="32"/>
          <w:szCs w:val="32"/>
          <w:highlight w:val="none"/>
          <w:lang w:val="en-US" w:eastAsia="zh-CN" w:bidi="ar-SA"/>
        </w:rPr>
        <w:t>2021</w:t>
      </w:r>
      <w:r>
        <w:rPr>
          <w:rFonts w:hint="eastAsia" w:ascii="宋体" w:hAnsi="宋体" w:eastAsia="仿宋_GB2312" w:cs="仿宋_GB2312"/>
          <w:color w:val="auto"/>
          <w:kern w:val="0"/>
          <w:sz w:val="32"/>
          <w:szCs w:val="32"/>
          <w:highlight w:val="none"/>
          <w:lang w:val="zh-CN" w:eastAsia="zh-CN" w:bidi="ar-SA"/>
        </w:rPr>
        <w:t>〕</w:t>
      </w:r>
      <w:r>
        <w:rPr>
          <w:rFonts w:hint="eastAsia" w:ascii="宋体" w:hAnsi="宋体" w:eastAsia="仿宋_GB2312" w:cs="仿宋_GB2312"/>
          <w:color w:val="auto"/>
          <w:kern w:val="0"/>
          <w:sz w:val="32"/>
          <w:szCs w:val="32"/>
          <w:highlight w:val="none"/>
          <w:lang w:val="en-US" w:eastAsia="zh-CN" w:bidi="ar-SA"/>
        </w:rPr>
        <w:t>10号）</w:t>
      </w:r>
      <w:r>
        <w:rPr>
          <w:rFonts w:hint="eastAsia" w:ascii="宋体" w:hAnsi="宋体" w:eastAsia="仿宋_GB2312" w:cs="仿宋_GB2312"/>
          <w:color w:val="auto"/>
          <w:kern w:val="0"/>
          <w:sz w:val="32"/>
          <w:szCs w:val="32"/>
          <w:highlight w:val="none"/>
          <w:lang w:val="zh-CN" w:eastAsia="zh-CN" w:bidi="ar-SA"/>
        </w:rPr>
        <w:t>，强化对驻外分局工作经费及房租费用的管理。各驻外分局工作经费及房租项目主要用于各驻外分局办公和生活用房房租、招商引资活动、重大投促活动中的商务接待、差旅、交通费用等。</w:t>
      </w:r>
    </w:p>
    <w:p>
      <w:pPr>
        <w:pStyle w:val="37"/>
        <w:keepNext w:val="0"/>
        <w:keepLines w:val="0"/>
        <w:pageBreakBefore w:val="0"/>
        <w:widowControl w:val="0"/>
        <w:shd w:val="clea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宋体" w:hAnsi="宋体" w:eastAsia="仿宋_GB2312" w:cs="仿宋_GB2312"/>
          <w:color w:val="auto"/>
          <w:kern w:val="0"/>
          <w:sz w:val="32"/>
          <w:szCs w:val="32"/>
          <w:highlight w:val="none"/>
          <w:lang w:val="zh-CN" w:eastAsia="zh-CN" w:bidi="ar-SA"/>
        </w:rPr>
      </w:pPr>
      <w:r>
        <w:rPr>
          <w:rFonts w:hint="eastAsia" w:ascii="楷体_GB2312" w:hAnsi="楷体_GB2312" w:eastAsia="楷体_GB2312" w:cs="楷体_GB2312"/>
          <w:color w:val="auto"/>
          <w:kern w:val="0"/>
          <w:sz w:val="32"/>
          <w:szCs w:val="32"/>
          <w:highlight w:val="none"/>
          <w:lang w:val="zh-CN" w:eastAsia="zh-CN" w:bidi="ar-SA"/>
        </w:rPr>
        <w:t>（三）项目监管情况。</w:t>
      </w:r>
      <w:r>
        <w:rPr>
          <w:rFonts w:hint="eastAsia" w:ascii="宋体" w:hAnsi="宋体" w:eastAsia="仿宋_GB2312" w:cs="仿宋_GB2312"/>
          <w:color w:val="auto"/>
          <w:kern w:val="0"/>
          <w:sz w:val="32"/>
          <w:szCs w:val="32"/>
          <w:highlight w:val="none"/>
          <w:lang w:val="en-US" w:eastAsia="zh-CN" w:bidi="ar-SA"/>
        </w:rPr>
        <w:t>我单位除严格遵守财经纪律以及相关管理制度以外，还配合市纪委监委派驻市政府办纪检组不定期抽查监督，确保项目使用合理、合规</w:t>
      </w:r>
      <w:r>
        <w:rPr>
          <w:rFonts w:hint="eastAsia" w:ascii="宋体" w:hAnsi="宋体" w:eastAsia="仿宋_GB2312" w:cs="仿宋_GB2312"/>
          <w:color w:val="auto"/>
          <w:kern w:val="0"/>
          <w:sz w:val="32"/>
          <w:szCs w:val="32"/>
          <w:highlight w:val="none"/>
          <w:lang w:val="zh-CN" w:eastAsia="zh-CN" w:bidi="ar-SA"/>
        </w:rPr>
        <w:t>。</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黑体" w:hAnsi="黑体" w:eastAsia="黑体" w:cs="黑体"/>
          <w:color w:val="auto"/>
          <w:kern w:val="0"/>
          <w:sz w:val="32"/>
          <w:szCs w:val="32"/>
          <w:highlight w:val="none"/>
          <w:lang w:val="zh-CN" w:eastAsia="zh-CN" w:bidi="ar-SA"/>
        </w:rPr>
      </w:pPr>
      <w:r>
        <w:rPr>
          <w:rFonts w:hint="eastAsia" w:ascii="黑体" w:hAnsi="黑体" w:eastAsia="黑体" w:cs="黑体"/>
          <w:color w:val="auto"/>
          <w:kern w:val="0"/>
          <w:sz w:val="32"/>
          <w:szCs w:val="32"/>
          <w:highlight w:val="none"/>
          <w:lang w:val="en-US" w:eastAsia="zh-CN" w:bidi="ar-SA"/>
        </w:rPr>
        <w:t>四、项目绩效情况</w:t>
      </w:r>
      <w:r>
        <w:rPr>
          <w:rFonts w:hint="eastAsia" w:ascii="黑体" w:hAnsi="黑体" w:eastAsia="黑体" w:cs="黑体"/>
          <w:color w:val="auto"/>
          <w:kern w:val="0"/>
          <w:sz w:val="32"/>
          <w:szCs w:val="32"/>
          <w:highlight w:val="none"/>
          <w:lang w:val="zh-CN" w:eastAsia="zh-CN" w:bidi="ar-SA"/>
        </w:rPr>
        <w:tab/>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楷体_GB2312" w:hAnsi="楷体_GB2312" w:eastAsia="楷体_GB2312" w:cs="楷体_GB2312"/>
          <w:color w:val="auto"/>
          <w:kern w:val="0"/>
          <w:sz w:val="32"/>
          <w:szCs w:val="32"/>
          <w:highlight w:val="none"/>
          <w:lang w:val="zh-CN" w:eastAsia="zh-CN" w:bidi="ar-SA"/>
        </w:rPr>
      </w:pPr>
      <w:r>
        <w:rPr>
          <w:rFonts w:hint="eastAsia" w:ascii="楷体_GB2312" w:hAnsi="楷体_GB2312" w:eastAsia="楷体_GB2312" w:cs="楷体_GB2312"/>
          <w:color w:val="auto"/>
          <w:kern w:val="0"/>
          <w:sz w:val="32"/>
          <w:szCs w:val="32"/>
          <w:highlight w:val="none"/>
          <w:lang w:val="zh-CN" w:eastAsia="zh-CN" w:bidi="ar-SA"/>
        </w:rPr>
        <w:t>（一）项目完成情况</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宋体" w:hAnsi="宋体" w:eastAsia="仿宋_GB2312" w:cs="仿宋_GB2312"/>
          <w:color w:val="auto"/>
          <w:kern w:val="0"/>
          <w:sz w:val="32"/>
          <w:szCs w:val="32"/>
          <w:highlight w:val="none"/>
          <w:lang w:val="en-US" w:eastAsia="zh-CN" w:bidi="ar-SA"/>
        </w:rPr>
      </w:pPr>
      <w:r>
        <w:rPr>
          <w:rFonts w:hint="eastAsia" w:ascii="宋体" w:hAnsi="宋体" w:eastAsia="仿宋_GB2312" w:cs="仿宋_GB2312"/>
          <w:color w:val="auto"/>
          <w:kern w:val="0"/>
          <w:sz w:val="32"/>
          <w:szCs w:val="32"/>
          <w:highlight w:val="none"/>
          <w:lang w:val="en-US" w:eastAsia="zh-CN" w:bidi="ar-SA"/>
        </w:rPr>
        <w:t>完成了年初预算申报目标绩效任务，并同时保障了驻外分局职工权益，圆满完成了全年招商引资任务，促进了广元经济发展。</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楷体_GB2312" w:hAnsi="楷体_GB2312" w:eastAsia="楷体_GB2312" w:cs="楷体_GB2312"/>
          <w:color w:val="auto"/>
          <w:kern w:val="0"/>
          <w:sz w:val="32"/>
          <w:szCs w:val="32"/>
          <w:highlight w:val="none"/>
          <w:lang w:val="zh-CN" w:eastAsia="zh-CN" w:bidi="ar-SA"/>
        </w:rPr>
      </w:pPr>
      <w:r>
        <w:rPr>
          <w:rFonts w:hint="eastAsia" w:ascii="楷体_GB2312" w:hAnsi="楷体_GB2312" w:eastAsia="楷体_GB2312" w:cs="楷体_GB2312"/>
          <w:color w:val="auto"/>
          <w:kern w:val="0"/>
          <w:sz w:val="32"/>
          <w:szCs w:val="32"/>
          <w:highlight w:val="none"/>
          <w:lang w:val="zh-CN" w:eastAsia="zh-CN" w:bidi="ar-SA"/>
        </w:rPr>
        <w:t>（二）项目效益情况</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宋体" w:hAnsi="宋体" w:eastAsia="仿宋_GB2312" w:cs="仿宋_GB2312"/>
          <w:color w:val="auto"/>
          <w:kern w:val="0"/>
          <w:sz w:val="32"/>
          <w:szCs w:val="32"/>
          <w:highlight w:val="none"/>
          <w:lang w:val="zh-CN" w:eastAsia="zh-CN" w:bidi="ar-SA"/>
        </w:rPr>
      </w:pPr>
      <w:r>
        <w:rPr>
          <w:rFonts w:hint="eastAsia" w:ascii="宋体" w:hAnsi="宋体" w:eastAsia="仿宋_GB2312" w:cs="仿宋_GB2312"/>
          <w:color w:val="auto"/>
          <w:kern w:val="0"/>
          <w:sz w:val="32"/>
          <w:szCs w:val="32"/>
          <w:highlight w:val="none"/>
          <w:lang w:val="en-US" w:eastAsia="zh-CN" w:bidi="ar-SA"/>
        </w:rPr>
        <w:t>分项目类别</w:t>
      </w:r>
      <w:r>
        <w:rPr>
          <w:rFonts w:hint="eastAsia" w:ascii="宋体" w:hAnsi="宋体" w:eastAsia="仿宋_GB2312" w:cs="仿宋_GB2312"/>
          <w:color w:val="auto"/>
          <w:kern w:val="0"/>
          <w:sz w:val="32"/>
          <w:szCs w:val="32"/>
          <w:highlight w:val="none"/>
          <w:lang w:val="zh-CN" w:eastAsia="zh-CN" w:bidi="ar-SA"/>
        </w:rPr>
        <w:t>从项目经济效益、社会效益、生态效益、可持续效益以及服务对象满意度等方面对项目效益进行全面分析评价。</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五、评价结论及建议</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楷体_GB2312" w:hAnsi="楷体_GB2312" w:eastAsia="楷体_GB2312" w:cs="楷体_GB2312"/>
          <w:color w:val="auto"/>
          <w:kern w:val="0"/>
          <w:sz w:val="32"/>
          <w:szCs w:val="32"/>
          <w:highlight w:val="none"/>
          <w:lang w:val="zh-CN" w:eastAsia="zh-CN" w:bidi="ar-SA"/>
        </w:rPr>
      </w:pPr>
      <w:r>
        <w:rPr>
          <w:rFonts w:hint="eastAsia" w:ascii="楷体_GB2312" w:hAnsi="楷体_GB2312" w:eastAsia="楷体_GB2312" w:cs="楷体_GB2312"/>
          <w:color w:val="auto"/>
          <w:kern w:val="0"/>
          <w:sz w:val="32"/>
          <w:szCs w:val="32"/>
          <w:highlight w:val="none"/>
          <w:lang w:val="zh-CN" w:eastAsia="zh-CN" w:bidi="ar-SA"/>
        </w:rPr>
        <w:t>（一）评价结论</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宋体" w:hAnsi="宋体" w:eastAsia="仿宋_GB2312" w:cs="仿宋_GB2312"/>
          <w:color w:val="auto"/>
          <w:kern w:val="0"/>
          <w:sz w:val="32"/>
          <w:szCs w:val="32"/>
          <w:highlight w:val="none"/>
          <w:lang w:val="zh-CN" w:eastAsia="zh-CN" w:bidi="ar-SA"/>
        </w:rPr>
      </w:pPr>
      <w:r>
        <w:rPr>
          <w:rFonts w:hint="eastAsia" w:ascii="宋体" w:hAnsi="宋体" w:eastAsia="仿宋_GB2312" w:cs="仿宋_GB2312"/>
          <w:color w:val="auto"/>
          <w:kern w:val="0"/>
          <w:sz w:val="32"/>
          <w:szCs w:val="32"/>
          <w:highlight w:val="none"/>
          <w:lang w:val="zh-CN" w:eastAsia="zh-CN" w:bidi="ar-SA"/>
        </w:rPr>
        <w:t>202</w:t>
      </w:r>
      <w:r>
        <w:rPr>
          <w:rFonts w:hint="eastAsia" w:ascii="宋体" w:hAnsi="宋体" w:eastAsia="仿宋_GB2312" w:cs="仿宋_GB2312"/>
          <w:color w:val="auto"/>
          <w:kern w:val="0"/>
          <w:sz w:val="32"/>
          <w:szCs w:val="32"/>
          <w:highlight w:val="none"/>
          <w:lang w:val="en-US" w:eastAsia="zh-CN" w:bidi="ar-SA"/>
        </w:rPr>
        <w:t>2</w:t>
      </w:r>
      <w:r>
        <w:rPr>
          <w:rFonts w:hint="eastAsia" w:ascii="宋体" w:hAnsi="宋体" w:eastAsia="仿宋_GB2312" w:cs="仿宋_GB2312"/>
          <w:color w:val="auto"/>
          <w:kern w:val="0"/>
          <w:sz w:val="32"/>
          <w:szCs w:val="32"/>
          <w:highlight w:val="none"/>
          <w:lang w:val="zh-CN" w:eastAsia="zh-CN" w:bidi="ar-SA"/>
        </w:rPr>
        <w:t>年我单位驻外分局工作经费及房租专项经费支出绩效自查自评结果良好，全年基本支出保证了驻外分局工作的正常运转，按照2021年度部门驻外分局工作经费及房租专项经费支出绩效评价指标体系对我单位预算编制、预算执行、完成结果、信息公开、整改反馈等方面进行了自评，最终得分</w:t>
      </w:r>
      <w:r>
        <w:rPr>
          <w:rFonts w:hint="eastAsia" w:ascii="宋体" w:hAnsi="宋体" w:eastAsia="仿宋_GB2312" w:cs="仿宋_GB2312"/>
          <w:color w:val="auto"/>
          <w:kern w:val="0"/>
          <w:sz w:val="32"/>
          <w:szCs w:val="32"/>
          <w:highlight w:val="none"/>
          <w:lang w:val="en-US" w:eastAsia="zh-CN" w:bidi="ar-SA"/>
        </w:rPr>
        <w:t>97.5</w:t>
      </w:r>
      <w:r>
        <w:rPr>
          <w:rFonts w:hint="eastAsia" w:ascii="宋体" w:hAnsi="宋体" w:eastAsia="仿宋_GB2312" w:cs="仿宋_GB2312"/>
          <w:color w:val="auto"/>
          <w:kern w:val="0"/>
          <w:sz w:val="32"/>
          <w:szCs w:val="32"/>
          <w:highlight w:val="none"/>
          <w:lang w:val="zh-CN" w:eastAsia="zh-CN" w:bidi="ar-SA"/>
        </w:rPr>
        <w:t>分。</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楷体_GB2312" w:hAnsi="楷体_GB2312" w:eastAsia="楷体_GB2312" w:cs="楷体_GB2312"/>
          <w:color w:val="auto"/>
          <w:kern w:val="0"/>
          <w:sz w:val="32"/>
          <w:szCs w:val="32"/>
          <w:highlight w:val="none"/>
          <w:lang w:val="zh-CN" w:eastAsia="zh-CN" w:bidi="ar-SA"/>
        </w:rPr>
      </w:pPr>
      <w:r>
        <w:rPr>
          <w:rFonts w:hint="eastAsia" w:ascii="楷体_GB2312" w:hAnsi="楷体_GB2312" w:eastAsia="楷体_GB2312" w:cs="楷体_GB2312"/>
          <w:color w:val="auto"/>
          <w:kern w:val="0"/>
          <w:sz w:val="32"/>
          <w:szCs w:val="32"/>
          <w:highlight w:val="none"/>
          <w:lang w:val="zh-CN" w:eastAsia="zh-CN" w:bidi="ar-SA"/>
        </w:rPr>
        <w:t>（二）存在的问题</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jc w:val="both"/>
        <w:textAlignment w:val="auto"/>
        <w:outlineLvl w:val="9"/>
        <w:rPr>
          <w:rFonts w:hint="default" w:ascii="宋体" w:hAnsi="宋体" w:eastAsia="仿宋_GB2312" w:cs="仿宋_GB2312"/>
          <w:color w:val="auto"/>
          <w:kern w:val="0"/>
          <w:sz w:val="32"/>
          <w:szCs w:val="32"/>
          <w:highlight w:val="none"/>
          <w:lang w:val="en-US" w:eastAsia="zh-CN" w:bidi="ar-SA"/>
        </w:rPr>
      </w:pPr>
      <w:r>
        <w:rPr>
          <w:rFonts w:hint="eastAsia" w:ascii="宋体" w:hAnsi="宋体" w:eastAsia="仿宋_GB2312" w:cs="仿宋_GB2312"/>
          <w:color w:val="auto"/>
          <w:kern w:val="0"/>
          <w:sz w:val="32"/>
          <w:szCs w:val="32"/>
          <w:highlight w:val="none"/>
          <w:lang w:val="en-US" w:eastAsia="zh-CN" w:bidi="ar-SA"/>
        </w:rPr>
        <w:t>相关管理制度不够完善，驻外分局经费管理难度较大。</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楷体_GB2312" w:hAnsi="楷体_GB2312" w:eastAsia="楷体_GB2312" w:cs="楷体_GB2312"/>
          <w:color w:val="auto"/>
          <w:kern w:val="0"/>
          <w:sz w:val="32"/>
          <w:szCs w:val="32"/>
          <w:highlight w:val="none"/>
          <w:lang w:val="zh-CN" w:eastAsia="zh-CN" w:bidi="ar-SA"/>
        </w:rPr>
      </w:pPr>
      <w:r>
        <w:rPr>
          <w:rFonts w:hint="eastAsia" w:ascii="楷体_GB2312" w:hAnsi="楷体_GB2312" w:eastAsia="楷体_GB2312" w:cs="楷体_GB2312"/>
          <w:color w:val="auto"/>
          <w:kern w:val="0"/>
          <w:sz w:val="32"/>
          <w:szCs w:val="32"/>
          <w:highlight w:val="none"/>
          <w:lang w:val="zh-CN" w:eastAsia="zh-CN" w:bidi="ar-SA"/>
        </w:rPr>
        <w:t>（三）相关建议</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宋体" w:hAnsi="宋体" w:eastAsia="仿宋_GB2312" w:cs="仿宋_GB2312"/>
          <w:color w:val="auto"/>
          <w:kern w:val="0"/>
          <w:sz w:val="32"/>
          <w:szCs w:val="32"/>
          <w:highlight w:val="none"/>
          <w:lang w:val="en-US" w:eastAsia="zh-CN" w:bidi="ar-SA"/>
        </w:rPr>
      </w:pPr>
      <w:r>
        <w:rPr>
          <w:rFonts w:hint="default" w:ascii="宋体" w:hAnsi="宋体" w:eastAsia="仿宋_GB2312" w:cs="仿宋_GB2312"/>
          <w:color w:val="auto"/>
          <w:kern w:val="0"/>
          <w:sz w:val="32"/>
          <w:szCs w:val="32"/>
          <w:highlight w:val="none"/>
          <w:lang w:val="en-US" w:eastAsia="zh-CN" w:bidi="ar-SA"/>
        </w:rPr>
        <w:t>进一步健全和完善财务管理制度</w:t>
      </w:r>
      <w:r>
        <w:rPr>
          <w:rFonts w:hint="eastAsia" w:ascii="宋体" w:hAnsi="宋体" w:eastAsia="仿宋_GB2312" w:cs="仿宋_GB2312"/>
          <w:color w:val="auto"/>
          <w:kern w:val="0"/>
          <w:sz w:val="32"/>
          <w:szCs w:val="32"/>
          <w:highlight w:val="none"/>
          <w:lang w:val="en-US" w:eastAsia="zh-CN" w:bidi="ar-SA"/>
        </w:rPr>
        <w:t>、驻外分局管理制度</w:t>
      </w:r>
      <w:r>
        <w:rPr>
          <w:rFonts w:hint="default" w:ascii="宋体" w:hAnsi="宋体" w:eastAsia="仿宋_GB2312" w:cs="仿宋_GB2312"/>
          <w:color w:val="auto"/>
          <w:kern w:val="0"/>
          <w:sz w:val="32"/>
          <w:szCs w:val="32"/>
          <w:highlight w:val="none"/>
          <w:lang w:val="en-US" w:eastAsia="zh-CN" w:bidi="ar-SA"/>
        </w:rPr>
        <w:t>及内部控制制度，创新管理手段，用新思路、新方法，改进完善财务管理方法</w:t>
      </w:r>
      <w:r>
        <w:rPr>
          <w:rFonts w:hint="eastAsia" w:ascii="宋体" w:hAnsi="宋体" w:eastAsia="仿宋_GB2312" w:cs="仿宋_GB2312"/>
          <w:color w:val="auto"/>
          <w:kern w:val="0"/>
          <w:sz w:val="32"/>
          <w:szCs w:val="32"/>
          <w:highlight w:val="none"/>
          <w:lang w:val="en-US" w:eastAsia="zh-CN" w:bidi="ar-SA"/>
        </w:rPr>
        <w:t>。</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宋体" w:hAnsi="宋体" w:eastAsia="仿宋_GB2312" w:cs="仿宋_GB2312"/>
          <w:color w:val="auto"/>
          <w:kern w:val="0"/>
          <w:sz w:val="32"/>
          <w:szCs w:val="32"/>
          <w:highlight w:val="none"/>
          <w:lang w:val="en-US" w:eastAsia="zh-CN" w:bidi="ar-SA"/>
        </w:rPr>
      </w:pPr>
    </w:p>
    <w:p>
      <w:pPr>
        <w:pStyle w:val="37"/>
        <w:keepNext w:val="0"/>
        <w:keepLines w:val="0"/>
        <w:pageBreakBefore w:val="0"/>
        <w:widowControl w:val="0"/>
        <w:shd w:val="clear"/>
        <w:kinsoku/>
        <w:wordWrap/>
        <w:overflowPunct/>
        <w:topLinePunct w:val="0"/>
        <w:autoSpaceDE/>
        <w:autoSpaceDN/>
        <w:bidi w:val="0"/>
        <w:adjustRightInd/>
        <w:snapToGrid/>
        <w:spacing w:line="576" w:lineRule="exact"/>
        <w:ind w:firstLine="534" w:firstLineChars="200"/>
        <w:jc w:val="both"/>
        <w:textAlignment w:val="auto"/>
        <w:outlineLvl w:val="9"/>
        <w:rPr>
          <w:rFonts w:hint="eastAsia" w:ascii="宋体" w:hAnsi="宋体" w:eastAsia="仿宋_GB2312" w:cs="仿宋_GB2312"/>
          <w:b w:val="0"/>
          <w:bCs w:val="0"/>
          <w:color w:val="auto"/>
          <w:spacing w:val="-23"/>
          <w:w w:val="98"/>
          <w:kern w:val="0"/>
          <w:sz w:val="32"/>
          <w:szCs w:val="32"/>
          <w:highlight w:val="none"/>
          <w:u w:val="none"/>
          <w:shd w:val="clear" w:color="auto" w:fill="FFFFFF"/>
          <w:lang w:val="zh-CN" w:eastAsia="zh-CN"/>
        </w:rPr>
      </w:pPr>
      <w:r>
        <w:rPr>
          <w:rFonts w:hint="eastAsia" w:ascii="宋体" w:hAnsi="宋体" w:eastAsia="仿宋_GB2312" w:cs="仿宋_GB2312"/>
          <w:color w:val="auto"/>
          <w:spacing w:val="-23"/>
          <w:w w:val="98"/>
          <w:kern w:val="0"/>
          <w:sz w:val="32"/>
          <w:szCs w:val="32"/>
          <w:highlight w:val="none"/>
          <w:lang w:val="en-US" w:eastAsia="zh-CN" w:bidi="ar-SA"/>
        </w:rPr>
        <w:t>附件：部门预算、专项资金预算项目支出绩效目标自评表（2022年度）</w:t>
      </w:r>
    </w:p>
    <w:p>
      <w:pPr>
        <w:keepNext w:val="0"/>
        <w:keepLines w:val="0"/>
        <w:pageBreakBefore w:val="0"/>
        <w:widowControl w:val="0"/>
        <w:shd w:val="clear"/>
        <w:kinsoku/>
        <w:wordWrap/>
        <w:overflowPunct/>
        <w:topLinePunct w:val="0"/>
        <w:autoSpaceDE/>
        <w:autoSpaceDN/>
        <w:bidi w:val="0"/>
        <w:adjustRightInd/>
        <w:snapToGrid/>
        <w:spacing w:line="576" w:lineRule="exact"/>
        <w:ind w:firstLine="880" w:firstLineChars="200"/>
        <w:jc w:val="both"/>
        <w:textAlignment w:val="auto"/>
        <w:outlineLvl w:val="9"/>
        <w:rPr>
          <w:rStyle w:val="22"/>
          <w:rFonts w:ascii="黑体" w:hAnsi="黑体" w:eastAsia="黑体"/>
          <w:b w:val="0"/>
          <w:color w:val="auto"/>
          <w:highlight w:val="none"/>
        </w:rPr>
        <w:sectPr>
          <w:pgSz w:w="11906" w:h="16838"/>
          <w:pgMar w:top="2098" w:right="1474" w:bottom="1984" w:left="1587" w:header="851" w:footer="1587" w:gutter="0"/>
          <w:pgNumType w:fmt="decimal"/>
          <w:cols w:space="0" w:num="1"/>
          <w:rtlGutter w:val="0"/>
          <w:docGrid w:type="lines" w:linePitch="312" w:charSpace="0"/>
        </w:sectPr>
      </w:pPr>
    </w:p>
    <w:p>
      <w:pPr>
        <w:pStyle w:val="2"/>
        <w:keepNext w:val="0"/>
        <w:keepLines w:val="0"/>
        <w:pageBreakBefore w:val="0"/>
        <w:shd w:val="clear"/>
        <w:kinsoku/>
        <w:wordWrap/>
        <w:overflowPunct/>
        <w:topLinePunct w:val="0"/>
        <w:autoSpaceDE/>
        <w:autoSpaceDN/>
        <w:bidi w:val="0"/>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附件</w:t>
      </w:r>
    </w:p>
    <w:p>
      <w:pPr>
        <w:pStyle w:val="2"/>
        <w:keepNext w:val="0"/>
        <w:keepLines w:val="0"/>
        <w:pageBreakBefore w:val="0"/>
        <w:shd w:val="clear"/>
        <w:kinsoku/>
        <w:wordWrap/>
        <w:overflowPunct/>
        <w:topLinePunct w:val="0"/>
        <w:autoSpaceDE/>
        <w:autoSpaceDN/>
        <w:bidi w:val="0"/>
        <w:jc w:val="center"/>
        <w:outlineLvl w:val="9"/>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部门预算、专项资金预算项目支出绩效目标自评表（2022年度）</w:t>
      </w:r>
    </w:p>
    <w:tbl>
      <w:tblPr>
        <w:tblStyle w:val="18"/>
        <w:tblW w:w="499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76"/>
        <w:gridCol w:w="2015"/>
        <w:gridCol w:w="1271"/>
        <w:gridCol w:w="1646"/>
        <w:gridCol w:w="774"/>
        <w:gridCol w:w="693"/>
        <w:gridCol w:w="665"/>
        <w:gridCol w:w="1074"/>
        <w:gridCol w:w="815"/>
        <w:gridCol w:w="760"/>
        <w:gridCol w:w="1250"/>
        <w:gridCol w:w="27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0" w:hRule="atLeast"/>
        </w:trPr>
        <w:tc>
          <w:tcPr>
            <w:tcW w:w="10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项目名称</w:t>
            </w:r>
          </w:p>
        </w:tc>
        <w:tc>
          <w:tcPr>
            <w:tcW w:w="3953"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驻外分局工作经费及房租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40" w:hRule="atLeast"/>
        </w:trPr>
        <w:tc>
          <w:tcPr>
            <w:tcW w:w="10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主管部门（盖章）</w:t>
            </w:r>
          </w:p>
        </w:tc>
        <w:tc>
          <w:tcPr>
            <w:tcW w:w="170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广元市经济合作和外事局</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实施单位 （盖章）</w:t>
            </w:r>
          </w:p>
        </w:tc>
        <w:tc>
          <w:tcPr>
            <w:tcW w:w="188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广元市经济合作和外事局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8" w:hRule="atLeast"/>
        </w:trPr>
        <w:tc>
          <w:tcPr>
            <w:tcW w:w="3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项目基本情况</w:t>
            </w:r>
          </w:p>
        </w:tc>
        <w:tc>
          <w:tcPr>
            <w:tcW w:w="68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1.项目年度目标完成情况</w:t>
            </w:r>
          </w:p>
        </w:tc>
        <w:tc>
          <w:tcPr>
            <w:tcW w:w="170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项目年度目标</w:t>
            </w:r>
          </w:p>
        </w:tc>
        <w:tc>
          <w:tcPr>
            <w:tcW w:w="2244"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26"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170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保障8个驻外分局正常开展投资促进各项工作，驻外分局要共提供并动态追踪项目信息500条以上；引荐100批次以上企业来广投资考察；签约引进产业项目50个以上。</w:t>
            </w:r>
          </w:p>
        </w:tc>
        <w:tc>
          <w:tcPr>
            <w:tcW w:w="2244"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保障了8个驻外分局正常开展投资促进各项工作，全年共提供并动态追踪项目信息500条以上；引荐100批次以上企业来广投资考察；签约引进产业项目68个。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2.项目实施内容及过程概述</w:t>
            </w:r>
          </w:p>
        </w:tc>
        <w:tc>
          <w:tcPr>
            <w:tcW w:w="3953"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主要用于市经济合作局北京、成都、浙江、江苏、广东、山东、福建、直属等8个驻外分局年度开展投资促进各项工作的保障，深入实施“大开放大合作”战略，聚力项目投资、产业发展、乡村振兴经济建设“三大主战场”，积极推动一批重大产业项目签约落地、开工建设、投产见效。通过市经济合作局8个驻外分局积极有效工作，为全市决战决胜整体连片贫困到同步全面小康跨越、加快建设川陕甘结合部区域中心城市和四川北向东出桥头堡提供扎实的项目支撑、产业支撑、发展支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40" w:hRule="atLeast"/>
        </w:trPr>
        <w:tc>
          <w:tcPr>
            <w:tcW w:w="3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预算执行情况（10分）</w:t>
            </w: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年度预算数（万元）</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年初预算</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kern w:val="0"/>
                <w:sz w:val="21"/>
                <w:szCs w:val="21"/>
                <w:highlight w:val="none"/>
                <w:u w:val="none"/>
                <w:lang w:val="en-US" w:eastAsia="zh-CN" w:bidi="ar"/>
              </w:rPr>
            </w:pPr>
            <w:r>
              <w:rPr>
                <w:rFonts w:hint="eastAsia" w:ascii="宋体" w:hAnsi="宋体" w:eastAsia="宋体" w:cs="宋体"/>
                <w:b/>
                <w:bCs/>
                <w:i w:val="0"/>
                <w:iCs w:val="0"/>
                <w:color w:val="auto"/>
                <w:kern w:val="0"/>
                <w:sz w:val="21"/>
                <w:szCs w:val="21"/>
                <w:highlight w:val="none"/>
                <w:u w:val="none"/>
                <w:lang w:val="en-US" w:eastAsia="zh-CN" w:bidi="ar"/>
              </w:rPr>
              <w:t>调整后</w:t>
            </w:r>
          </w:p>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预算数</w:t>
            </w:r>
          </w:p>
        </w:tc>
        <w:tc>
          <w:tcPr>
            <w:tcW w:w="72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预算执行数</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kern w:val="0"/>
                <w:sz w:val="21"/>
                <w:szCs w:val="21"/>
                <w:highlight w:val="none"/>
                <w:u w:val="none"/>
                <w:lang w:val="en-US" w:eastAsia="zh-CN" w:bidi="ar"/>
              </w:rPr>
            </w:pPr>
            <w:r>
              <w:rPr>
                <w:rFonts w:hint="eastAsia" w:ascii="宋体" w:hAnsi="宋体" w:eastAsia="宋体" w:cs="宋体"/>
                <w:b/>
                <w:bCs/>
                <w:i w:val="0"/>
                <w:iCs w:val="0"/>
                <w:color w:val="auto"/>
                <w:kern w:val="0"/>
                <w:sz w:val="21"/>
                <w:szCs w:val="21"/>
                <w:highlight w:val="none"/>
                <w:u w:val="none"/>
                <w:lang w:val="en-US" w:eastAsia="zh-CN" w:bidi="ar"/>
              </w:rPr>
              <w:t>预算</w:t>
            </w:r>
          </w:p>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执行率</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权重%</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部门自评得分</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财政部门科室复评得分</w:t>
            </w:r>
          </w:p>
        </w:tc>
        <w:tc>
          <w:tcPr>
            <w:tcW w:w="9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总额</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316.00</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316.00</w:t>
            </w:r>
          </w:p>
        </w:tc>
        <w:tc>
          <w:tcPr>
            <w:tcW w:w="72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316.00</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100.00%</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9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1.预算执行率=预算执行数/调整后预算数，预算执行率未达到90%的需说明原因（100字以内）;</w:t>
            </w:r>
          </w:p>
          <w:p>
            <w:pPr>
              <w:keepNext w:val="0"/>
              <w:keepLines w:val="0"/>
              <w:pageBreakBefore w:val="0"/>
              <w:widowControl/>
              <w:suppressLineNumbers w:val="0"/>
              <w:shd w:val="clear"/>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其中：财政资金</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316.00</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316.00</w:t>
            </w:r>
          </w:p>
        </w:tc>
        <w:tc>
          <w:tcPr>
            <w:tcW w:w="72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316.00</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100.00%</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财政专户管理资金</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72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单位资金</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72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66"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其他资金</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72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20" w:hRule="atLeast"/>
        </w:trPr>
        <w:tc>
          <w:tcPr>
            <w:tcW w:w="3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绩效指标（90分）</w:t>
            </w: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一级指标</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二级指标</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三级指标</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指标性质</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指标值</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度量单位</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完成值</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权重</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部门自评得分</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财政部门科室复评得分</w:t>
            </w:r>
          </w:p>
        </w:tc>
        <w:tc>
          <w:tcPr>
            <w:tcW w:w="9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178"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Style w:val="40"/>
                <w:color w:val="auto"/>
                <w:sz w:val="21"/>
                <w:szCs w:val="21"/>
                <w:highlight w:val="none"/>
                <w:lang w:val="en-US" w:eastAsia="zh-CN" w:bidi="ar"/>
              </w:rPr>
              <w:t>效益指标</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Style w:val="40"/>
                <w:color w:val="auto"/>
                <w:sz w:val="21"/>
                <w:szCs w:val="21"/>
                <w:highlight w:val="none"/>
                <w:lang w:val="en-US" w:eastAsia="zh-CN" w:bidi="ar"/>
              </w:rPr>
            </w:pPr>
            <w:r>
              <w:rPr>
                <w:rStyle w:val="40"/>
                <w:color w:val="auto"/>
                <w:sz w:val="21"/>
                <w:szCs w:val="21"/>
                <w:highlight w:val="none"/>
                <w:lang w:val="en-US" w:eastAsia="zh-CN" w:bidi="ar"/>
              </w:rPr>
              <w:t>社会效益</w:t>
            </w:r>
          </w:p>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Style w:val="40"/>
                <w:color w:val="auto"/>
                <w:sz w:val="21"/>
                <w:szCs w:val="21"/>
                <w:highlight w:val="none"/>
                <w:lang w:val="en-US" w:eastAsia="zh-CN" w:bidi="ar"/>
              </w:rPr>
              <w:t>指标</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Style w:val="40"/>
                <w:color w:val="auto"/>
                <w:sz w:val="21"/>
                <w:szCs w:val="21"/>
                <w:highlight w:val="none"/>
                <w:lang w:val="en-US" w:eastAsia="zh-CN" w:bidi="ar"/>
              </w:rPr>
              <w:t>宣传、推介我市优势资源，营造优良营商环境</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Style w:val="40"/>
                <w:color w:val="auto"/>
                <w:sz w:val="21"/>
                <w:szCs w:val="21"/>
                <w:highlight w:val="none"/>
                <w:lang w:val="en-US" w:eastAsia="zh-CN" w:bidi="ar"/>
              </w:rPr>
              <w:t>定性</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优良</w:t>
            </w:r>
          </w:p>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中低差</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年</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优</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925"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47"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Style w:val="40"/>
                <w:color w:val="auto"/>
                <w:sz w:val="21"/>
                <w:szCs w:val="21"/>
                <w:highlight w:val="none"/>
                <w:lang w:val="en-US" w:eastAsia="zh-CN" w:bidi="ar"/>
              </w:rPr>
              <w:t>产出指标</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Style w:val="40"/>
                <w:color w:val="auto"/>
                <w:sz w:val="21"/>
                <w:szCs w:val="21"/>
                <w:highlight w:val="none"/>
                <w:lang w:val="en-US" w:eastAsia="zh-CN" w:bidi="ar"/>
              </w:rPr>
              <w:t>质量指标</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Style w:val="40"/>
                <w:color w:val="auto"/>
                <w:sz w:val="21"/>
                <w:szCs w:val="21"/>
                <w:highlight w:val="none"/>
                <w:lang w:val="en-US" w:eastAsia="zh-CN" w:bidi="ar"/>
              </w:rPr>
              <w:t>引荐企业赴广考察</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Style w:val="40"/>
                <w:color w:val="auto"/>
                <w:sz w:val="21"/>
                <w:szCs w:val="21"/>
                <w:highlight w:val="none"/>
                <w:lang w:val="en-US" w:eastAsia="zh-CN" w:bidi="ar"/>
              </w:rPr>
              <w:t>≥</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批次</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198</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925"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13"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Style w:val="40"/>
                <w:color w:val="auto"/>
                <w:sz w:val="21"/>
                <w:szCs w:val="21"/>
                <w:highlight w:val="none"/>
                <w:lang w:val="en-US" w:eastAsia="zh-CN" w:bidi="ar"/>
              </w:rPr>
              <w:t>效益指标</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Style w:val="40"/>
                <w:color w:val="auto"/>
                <w:sz w:val="21"/>
                <w:szCs w:val="21"/>
                <w:highlight w:val="none"/>
                <w:lang w:val="en-US" w:eastAsia="zh-CN" w:bidi="ar"/>
              </w:rPr>
            </w:pPr>
            <w:r>
              <w:rPr>
                <w:rStyle w:val="40"/>
                <w:color w:val="auto"/>
                <w:sz w:val="21"/>
                <w:szCs w:val="21"/>
                <w:highlight w:val="none"/>
                <w:lang w:val="en-US" w:eastAsia="zh-CN" w:bidi="ar"/>
              </w:rPr>
              <w:t>经济效益</w:t>
            </w:r>
          </w:p>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Style w:val="40"/>
                <w:color w:val="auto"/>
                <w:sz w:val="21"/>
                <w:szCs w:val="21"/>
                <w:highlight w:val="none"/>
                <w:lang w:val="en-US" w:eastAsia="zh-CN" w:bidi="ar"/>
              </w:rPr>
              <w:t>指标</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Style w:val="40"/>
                <w:color w:val="auto"/>
                <w:sz w:val="21"/>
                <w:szCs w:val="21"/>
                <w:highlight w:val="none"/>
                <w:lang w:val="en-US" w:eastAsia="zh-CN" w:bidi="ar"/>
              </w:rPr>
              <w:t>签约引进产业项目</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Style w:val="40"/>
                <w:color w:val="auto"/>
                <w:sz w:val="21"/>
                <w:szCs w:val="21"/>
                <w:highlight w:val="none"/>
                <w:lang w:val="en-US" w:eastAsia="zh-CN" w:bidi="ar"/>
              </w:rPr>
              <w:t>≥</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925"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60"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Style w:val="40"/>
                <w:color w:val="auto"/>
                <w:sz w:val="21"/>
                <w:szCs w:val="21"/>
                <w:highlight w:val="none"/>
                <w:lang w:val="en-US" w:eastAsia="zh-CN" w:bidi="ar"/>
              </w:rPr>
              <w:t>产出指标</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Style w:val="40"/>
                <w:color w:val="auto"/>
                <w:sz w:val="21"/>
                <w:szCs w:val="21"/>
                <w:highlight w:val="none"/>
                <w:lang w:val="en-US" w:eastAsia="zh-CN" w:bidi="ar"/>
              </w:rPr>
              <w:t>时效指标</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Style w:val="40"/>
                <w:color w:val="auto"/>
                <w:sz w:val="21"/>
                <w:szCs w:val="21"/>
                <w:highlight w:val="none"/>
                <w:lang w:val="en-US" w:eastAsia="zh-CN" w:bidi="ar"/>
              </w:rPr>
              <w:t>全年目标任务完成情况</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Style w:val="40"/>
                <w:color w:val="auto"/>
                <w:sz w:val="21"/>
                <w:szCs w:val="21"/>
                <w:highlight w:val="none"/>
                <w:lang w:val="en-US" w:eastAsia="zh-CN" w:bidi="ar"/>
              </w:rPr>
              <w:t>＝</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925"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14"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Style w:val="40"/>
                <w:color w:val="auto"/>
                <w:sz w:val="21"/>
                <w:szCs w:val="21"/>
                <w:highlight w:val="none"/>
                <w:lang w:val="en-US" w:eastAsia="zh-CN" w:bidi="ar"/>
              </w:rPr>
              <w:t>产出指标</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Style w:val="40"/>
                <w:color w:val="auto"/>
                <w:sz w:val="21"/>
                <w:szCs w:val="21"/>
                <w:highlight w:val="none"/>
                <w:lang w:val="en-US" w:eastAsia="zh-CN" w:bidi="ar"/>
              </w:rPr>
              <w:t>质量指标</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Style w:val="40"/>
                <w:color w:val="auto"/>
                <w:sz w:val="21"/>
                <w:szCs w:val="21"/>
                <w:highlight w:val="none"/>
                <w:lang w:val="en-US" w:eastAsia="zh-CN" w:bidi="ar"/>
              </w:rPr>
              <w:t>产业项目签约金额</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Style w:val="40"/>
                <w:color w:val="auto"/>
                <w:sz w:val="21"/>
                <w:szCs w:val="21"/>
                <w:highlight w:val="none"/>
                <w:lang w:val="en-US" w:eastAsia="zh-CN" w:bidi="ar"/>
              </w:rPr>
              <w:t>≥</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80</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164.75</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925"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64"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Style w:val="40"/>
                <w:color w:val="auto"/>
                <w:sz w:val="21"/>
                <w:szCs w:val="21"/>
                <w:highlight w:val="none"/>
                <w:lang w:val="en-US" w:eastAsia="zh-CN" w:bidi="ar"/>
              </w:rPr>
              <w:t>产出指标</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Style w:val="40"/>
                <w:color w:val="auto"/>
                <w:sz w:val="21"/>
                <w:szCs w:val="21"/>
                <w:highlight w:val="none"/>
                <w:lang w:val="en-US" w:eastAsia="zh-CN" w:bidi="ar"/>
              </w:rPr>
              <w:t>质量指标</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Style w:val="40"/>
                <w:color w:val="auto"/>
                <w:sz w:val="21"/>
                <w:szCs w:val="21"/>
                <w:highlight w:val="none"/>
                <w:lang w:val="en-US" w:eastAsia="zh-CN" w:bidi="ar"/>
              </w:rPr>
              <w:t>产业项目信息</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Style w:val="40"/>
                <w:color w:val="auto"/>
                <w:sz w:val="21"/>
                <w:szCs w:val="21"/>
                <w:highlight w:val="none"/>
                <w:lang w:val="en-US" w:eastAsia="zh-CN" w:bidi="ar"/>
              </w:rPr>
              <w:t>≥</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90</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925"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70"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Style w:val="40"/>
                <w:color w:val="auto"/>
                <w:sz w:val="21"/>
                <w:szCs w:val="21"/>
                <w:highlight w:val="none"/>
                <w:lang w:val="en-US" w:eastAsia="zh-CN" w:bidi="ar"/>
              </w:rPr>
              <w:t>满意度指标</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Style w:val="40"/>
                <w:color w:val="auto"/>
                <w:sz w:val="21"/>
                <w:szCs w:val="21"/>
                <w:highlight w:val="none"/>
                <w:lang w:val="en-US" w:eastAsia="zh-CN" w:bidi="ar"/>
              </w:rPr>
              <w:t>服务对象满意度指标</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Style w:val="40"/>
                <w:color w:val="auto"/>
                <w:sz w:val="21"/>
                <w:szCs w:val="21"/>
                <w:highlight w:val="none"/>
                <w:lang w:val="en-US" w:eastAsia="zh-CN" w:bidi="ar"/>
              </w:rPr>
            </w:pPr>
            <w:r>
              <w:rPr>
                <w:rStyle w:val="40"/>
                <w:color w:val="auto"/>
                <w:sz w:val="21"/>
                <w:szCs w:val="21"/>
                <w:highlight w:val="none"/>
                <w:lang w:val="en-US" w:eastAsia="zh-CN" w:bidi="ar"/>
              </w:rPr>
              <w:t>服务对象</w:t>
            </w:r>
          </w:p>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Style w:val="40"/>
                <w:color w:val="auto"/>
                <w:sz w:val="21"/>
                <w:szCs w:val="21"/>
                <w:highlight w:val="none"/>
                <w:lang w:val="en-US" w:eastAsia="zh-CN" w:bidi="ar"/>
              </w:rPr>
              <w:t>满意度</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Style w:val="40"/>
                <w:color w:val="auto"/>
                <w:sz w:val="21"/>
                <w:szCs w:val="21"/>
                <w:highlight w:val="none"/>
                <w:lang w:val="en-US" w:eastAsia="zh-CN" w:bidi="ar"/>
              </w:rPr>
              <w:t>≥</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90</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90</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925"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95"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Style w:val="40"/>
                <w:color w:val="auto"/>
                <w:sz w:val="21"/>
                <w:szCs w:val="21"/>
                <w:highlight w:val="none"/>
                <w:lang w:val="en-US" w:eastAsia="zh-CN" w:bidi="ar"/>
              </w:rPr>
              <w:t>产出指标</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Style w:val="40"/>
                <w:color w:val="auto"/>
                <w:sz w:val="21"/>
                <w:szCs w:val="21"/>
                <w:highlight w:val="none"/>
                <w:lang w:val="en-US" w:eastAsia="zh-CN" w:bidi="ar"/>
              </w:rPr>
              <w:t>质量指标</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Style w:val="40"/>
                <w:color w:val="auto"/>
                <w:sz w:val="21"/>
                <w:szCs w:val="21"/>
                <w:highlight w:val="none"/>
                <w:lang w:val="en-US" w:eastAsia="zh-CN" w:bidi="ar"/>
              </w:rPr>
              <w:t>提供动态项目信息</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Style w:val="40"/>
                <w:color w:val="auto"/>
                <w:sz w:val="21"/>
                <w:szCs w:val="21"/>
                <w:highlight w:val="none"/>
                <w:lang w:val="en-US" w:eastAsia="zh-CN" w:bidi="ar"/>
              </w:rPr>
              <w:t>≥</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500</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条</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500</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925"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54"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Style w:val="40"/>
                <w:color w:val="auto"/>
                <w:sz w:val="21"/>
                <w:szCs w:val="21"/>
                <w:highlight w:val="none"/>
                <w:lang w:val="en-US" w:eastAsia="zh-CN" w:bidi="ar"/>
              </w:rPr>
              <w:t>产出指标</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Style w:val="40"/>
                <w:color w:val="auto"/>
                <w:sz w:val="21"/>
                <w:szCs w:val="21"/>
                <w:highlight w:val="none"/>
                <w:lang w:val="en-US" w:eastAsia="zh-CN" w:bidi="ar"/>
              </w:rPr>
              <w:t>质量指标</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Style w:val="40"/>
                <w:color w:val="auto"/>
                <w:sz w:val="21"/>
                <w:szCs w:val="21"/>
                <w:highlight w:val="none"/>
                <w:lang w:val="en-US" w:eastAsia="zh-CN" w:bidi="ar"/>
              </w:rPr>
              <w:t>新兴产业引进项目</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Style w:val="40"/>
                <w:color w:val="auto"/>
                <w:sz w:val="21"/>
                <w:szCs w:val="21"/>
                <w:highlight w:val="none"/>
                <w:lang w:val="en-US" w:eastAsia="zh-CN" w:bidi="ar"/>
              </w:rPr>
              <w:t>≥</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925"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74" w:hRule="atLeast"/>
        </w:trPr>
        <w:tc>
          <w:tcPr>
            <w:tcW w:w="3118"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合</w:t>
            </w:r>
            <w:r>
              <w:rPr>
                <w:rFonts w:hint="eastAsia" w:ascii="宋体" w:hAnsi="宋体" w:cs="宋体"/>
                <w:b/>
                <w:bCs/>
                <w:i w:val="0"/>
                <w:iCs w:val="0"/>
                <w:color w:val="auto"/>
                <w:kern w:val="0"/>
                <w:sz w:val="21"/>
                <w:szCs w:val="21"/>
                <w:highlight w:val="none"/>
                <w:u w:val="none"/>
                <w:lang w:val="en-US" w:eastAsia="zh-CN" w:bidi="ar"/>
              </w:rPr>
              <w:t xml:space="preserve">        </w:t>
            </w:r>
            <w:r>
              <w:rPr>
                <w:rFonts w:hint="eastAsia" w:ascii="宋体" w:hAnsi="宋体" w:eastAsia="宋体" w:cs="宋体"/>
                <w:b/>
                <w:bCs/>
                <w:i w:val="0"/>
                <w:iCs w:val="0"/>
                <w:color w:val="auto"/>
                <w:kern w:val="0"/>
                <w:sz w:val="21"/>
                <w:szCs w:val="21"/>
                <w:highlight w:val="none"/>
                <w:u w:val="none"/>
                <w:lang w:val="en-US" w:eastAsia="zh-CN" w:bidi="ar"/>
              </w:rPr>
              <w:t>计</w:t>
            </w:r>
          </w:p>
        </w:tc>
        <w:tc>
          <w:tcPr>
            <w:tcW w:w="188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35" w:hRule="atLeast"/>
        </w:trPr>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部门（单位）自评结论</w:t>
            </w:r>
          </w:p>
        </w:tc>
        <w:tc>
          <w:tcPr>
            <w:tcW w:w="4635"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2022年我单位驻外分局工作经费及房租专项经费支出绩效自查自评结果良好，全年基本支出保证了驻外分局工作的正常运转，按照 2021年度部门驻外分局工作经费及房租专项经费支出绩效评价指标体系对我单位预算编制、预算执行、完成结果、信息公开、整改反馈等方面进行了自评，整体情况较好。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35" w:hRule="atLeast"/>
        </w:trPr>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部门（单位）自评存在问题</w:t>
            </w:r>
          </w:p>
        </w:tc>
        <w:tc>
          <w:tcPr>
            <w:tcW w:w="4635"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相关管理制度不够完善，驻外分局经费管理难度较大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35" w:hRule="atLeast"/>
        </w:trPr>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部门（单位）自评改进措施</w:t>
            </w:r>
          </w:p>
        </w:tc>
        <w:tc>
          <w:tcPr>
            <w:tcW w:w="4635"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进一步健全和完善财务管理制度、驻外分局管理制度及内部控制制度，创新管理手段，用新思路、新方法，改进完善财务管理方法。</w:t>
            </w:r>
          </w:p>
        </w:tc>
      </w:tr>
    </w:tbl>
    <w:p>
      <w:pPr>
        <w:pStyle w:val="2"/>
        <w:keepNext w:val="0"/>
        <w:keepLines w:val="0"/>
        <w:pageBreakBefore w:val="0"/>
        <w:shd w:val="clear"/>
        <w:kinsoku/>
        <w:wordWrap/>
        <w:overflowPunct/>
        <w:topLinePunct w:val="0"/>
        <w:autoSpaceDE/>
        <w:autoSpaceDN/>
        <w:bidi w:val="0"/>
        <w:outlineLvl w:val="9"/>
        <w:rPr>
          <w:rFonts w:hint="eastAsia"/>
          <w:color w:val="auto"/>
          <w:highlight w:val="none"/>
        </w:rPr>
      </w:pPr>
    </w:p>
    <w:p>
      <w:pPr>
        <w:pStyle w:val="2"/>
        <w:keepNext w:val="0"/>
        <w:keepLines w:val="0"/>
        <w:pageBreakBefore w:val="0"/>
        <w:shd w:val="clear"/>
        <w:kinsoku/>
        <w:wordWrap/>
        <w:overflowPunct/>
        <w:topLinePunct w:val="0"/>
        <w:autoSpaceDE/>
        <w:autoSpaceDN/>
        <w:bidi w:val="0"/>
        <w:outlineLvl w:val="9"/>
        <w:rPr>
          <w:color w:val="auto"/>
          <w:highlight w:val="none"/>
        </w:rPr>
        <w:sectPr>
          <w:pgSz w:w="16838" w:h="11906" w:orient="landscape"/>
          <w:pgMar w:top="1134" w:right="1134" w:bottom="1134" w:left="1134" w:header="851" w:footer="992" w:gutter="0"/>
          <w:pgNumType w:fmt="decimal"/>
          <w:cols w:space="0" w:num="1"/>
          <w:titlePg/>
          <w:rtlGutter w:val="0"/>
          <w:docGrid w:type="lines" w:linePitch="321" w:charSpace="0"/>
        </w:sectPr>
      </w:pP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leftChars="0" w:firstLine="880" w:firstLineChars="200"/>
        <w:jc w:val="both"/>
        <w:textAlignment w:val="auto"/>
        <w:outlineLvl w:val="9"/>
        <w:rPr>
          <w:rFonts w:hint="eastAsia" w:ascii="宋体" w:hAnsi="宋体" w:eastAsia="方正小标宋简体" w:cs="方正小标宋简体"/>
          <w:b w:val="0"/>
          <w:bCs w:val="0"/>
          <w:color w:val="auto"/>
          <w:kern w:val="2"/>
          <w:sz w:val="44"/>
          <w:szCs w:val="44"/>
          <w:highlight w:val="none"/>
          <w:lang w:val="en-US" w:eastAsia="zh-CN"/>
        </w:rPr>
      </w:pP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leftChars="0" w:firstLine="0" w:firstLineChars="0"/>
        <w:jc w:val="center"/>
        <w:textAlignment w:val="auto"/>
        <w:outlineLvl w:val="9"/>
        <w:rPr>
          <w:rFonts w:hint="eastAsia" w:ascii="方正小标宋简体" w:hAnsi="方正小标宋简体" w:eastAsia="方正小标宋简体" w:cs="方正小标宋简体"/>
          <w:b w:val="0"/>
          <w:bCs w:val="0"/>
          <w:color w:val="auto"/>
          <w:kern w:val="2"/>
          <w:sz w:val="44"/>
          <w:szCs w:val="44"/>
          <w:highlight w:val="none"/>
          <w:lang w:val="en-US" w:eastAsia="zh-CN"/>
        </w:rPr>
      </w:pPr>
      <w:r>
        <w:rPr>
          <w:rFonts w:hint="eastAsia" w:ascii="方正小标宋简体" w:hAnsi="方正小标宋简体" w:eastAsia="方正小标宋简体" w:cs="方正小标宋简体"/>
          <w:b w:val="0"/>
          <w:bCs w:val="0"/>
          <w:color w:val="auto"/>
          <w:kern w:val="2"/>
          <w:sz w:val="44"/>
          <w:szCs w:val="44"/>
          <w:highlight w:val="none"/>
          <w:lang w:val="en-US" w:eastAsia="zh-CN"/>
        </w:rPr>
        <w:t>广元市经济合作和外事局</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leftChars="0" w:firstLine="0" w:firstLineChars="0"/>
        <w:jc w:val="center"/>
        <w:textAlignment w:val="auto"/>
        <w:outlineLvl w:val="9"/>
        <w:rPr>
          <w:rFonts w:hint="eastAsia" w:ascii="方正小标宋简体" w:hAnsi="方正小标宋简体" w:eastAsia="方正小标宋简体" w:cs="方正小标宋简体"/>
          <w:b w:val="0"/>
          <w:bCs w:val="0"/>
          <w:color w:val="auto"/>
          <w:kern w:val="2"/>
          <w:sz w:val="44"/>
          <w:szCs w:val="44"/>
          <w:highlight w:val="none"/>
          <w:lang w:val="en-US" w:eastAsia="zh-CN"/>
        </w:rPr>
      </w:pPr>
      <w:r>
        <w:rPr>
          <w:rFonts w:hint="eastAsia" w:ascii="方正小标宋简体" w:hAnsi="方正小标宋简体" w:eastAsia="方正小标宋简体" w:cs="方正小标宋简体"/>
          <w:b w:val="0"/>
          <w:bCs w:val="0"/>
          <w:color w:val="auto"/>
          <w:kern w:val="2"/>
          <w:sz w:val="44"/>
          <w:szCs w:val="44"/>
          <w:highlight w:val="none"/>
          <w:lang w:val="en-US" w:eastAsia="zh-CN"/>
        </w:rPr>
        <w:t>关于2022年度乡村振兴项目支出绩效</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leftChars="0" w:firstLine="0" w:firstLineChars="0"/>
        <w:jc w:val="center"/>
        <w:textAlignment w:val="auto"/>
        <w:outlineLvl w:val="9"/>
        <w:rPr>
          <w:rFonts w:hint="eastAsia" w:ascii="方正小标宋简体" w:hAnsi="方正小标宋简体" w:eastAsia="方正小标宋简体" w:cs="方正小标宋简体"/>
          <w:b w:val="0"/>
          <w:bCs w:val="0"/>
          <w:color w:val="auto"/>
          <w:kern w:val="2"/>
          <w:sz w:val="44"/>
          <w:szCs w:val="44"/>
          <w:highlight w:val="none"/>
          <w:lang w:val="en-US" w:eastAsia="zh-CN"/>
        </w:rPr>
      </w:pPr>
      <w:r>
        <w:rPr>
          <w:rFonts w:hint="eastAsia" w:ascii="方正小标宋简体" w:hAnsi="方正小标宋简体" w:eastAsia="方正小标宋简体" w:cs="方正小标宋简体"/>
          <w:b w:val="0"/>
          <w:bCs w:val="0"/>
          <w:color w:val="auto"/>
          <w:kern w:val="2"/>
          <w:sz w:val="44"/>
          <w:szCs w:val="44"/>
          <w:highlight w:val="none"/>
          <w:lang w:val="en-US" w:eastAsia="zh-CN"/>
        </w:rPr>
        <w:t>自 评 报 告</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leftChars="0" w:firstLine="880" w:firstLineChars="200"/>
        <w:jc w:val="both"/>
        <w:textAlignment w:val="auto"/>
        <w:outlineLvl w:val="9"/>
        <w:rPr>
          <w:rFonts w:hint="eastAsia" w:ascii="宋体" w:hAnsi="宋体" w:eastAsia="方正小标宋简体" w:cs="方正小标宋简体"/>
          <w:b w:val="0"/>
          <w:bCs w:val="0"/>
          <w:color w:val="auto"/>
          <w:kern w:val="2"/>
          <w:sz w:val="44"/>
          <w:szCs w:val="44"/>
          <w:highlight w:val="none"/>
          <w:lang w:val="en-US" w:eastAsia="zh-CN"/>
        </w:rPr>
      </w:pPr>
    </w:p>
    <w:p>
      <w:pPr>
        <w:pStyle w:val="37"/>
        <w:keepNext w:val="0"/>
        <w:keepLines w:val="0"/>
        <w:pageBreakBefore w:val="0"/>
        <w:widowControl w:val="0"/>
        <w:shd w:val="clear"/>
        <w:kinsoku/>
        <w:wordWrap/>
        <w:overflowPunct/>
        <w:topLinePunct w:val="0"/>
        <w:autoSpaceDE/>
        <w:autoSpaceDN/>
        <w:bidi w:val="0"/>
        <w:adjustRightInd/>
        <w:snapToGrid/>
        <w:spacing w:line="576" w:lineRule="exact"/>
        <w:jc w:val="both"/>
        <w:textAlignment w:val="auto"/>
        <w:outlineLvl w:val="9"/>
        <w:rPr>
          <w:rFonts w:hint="eastAsia" w:ascii="宋体" w:hAnsi="宋体" w:eastAsia="仿宋_GB2312" w:cs="仿宋_GB2312"/>
          <w:color w:val="auto"/>
          <w:kern w:val="0"/>
          <w:sz w:val="32"/>
          <w:szCs w:val="32"/>
          <w:highlight w:val="none"/>
          <w:lang w:val="en-US" w:eastAsia="zh-CN" w:bidi="ar-SA"/>
        </w:rPr>
      </w:pPr>
      <w:r>
        <w:rPr>
          <w:rFonts w:hint="eastAsia" w:ascii="宋体" w:hAnsi="宋体" w:eastAsia="仿宋_GB2312" w:cs="仿宋_GB2312"/>
          <w:color w:val="auto"/>
          <w:kern w:val="0"/>
          <w:sz w:val="32"/>
          <w:szCs w:val="32"/>
          <w:highlight w:val="none"/>
          <w:lang w:val="en-US" w:eastAsia="zh-CN" w:bidi="ar-SA"/>
        </w:rPr>
        <w:t>市财政局绩效管理中心：</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outlineLvl w:val="9"/>
        <w:rPr>
          <w:rFonts w:hint="eastAsia" w:ascii="宋体" w:hAnsi="宋体" w:eastAsia="仿宋_GB2312" w:cs="仿宋_GB2312"/>
          <w:color w:val="auto"/>
          <w:kern w:val="0"/>
          <w:sz w:val="32"/>
          <w:szCs w:val="32"/>
          <w:highlight w:val="none"/>
          <w:lang w:val="en-US" w:eastAsia="zh-CN" w:bidi="ar-SA"/>
        </w:rPr>
      </w:pPr>
      <w:r>
        <w:rPr>
          <w:rFonts w:hint="eastAsia" w:ascii="宋体" w:hAnsi="宋体" w:eastAsia="仿宋_GB2312" w:cs="仿宋_GB2312"/>
          <w:color w:val="auto"/>
          <w:kern w:val="0"/>
          <w:sz w:val="32"/>
          <w:szCs w:val="32"/>
          <w:highlight w:val="none"/>
          <w:lang w:val="en-US" w:eastAsia="zh-CN" w:bidi="ar-SA"/>
        </w:rPr>
        <w:t>按照市财政局《关于开展2022年市级部门绩效自评工作的通知》（广财绩</w:t>
      </w:r>
      <w:r>
        <w:rPr>
          <w:rFonts w:hint="eastAsia" w:ascii="宋体" w:hAnsi="宋体" w:eastAsia="仿宋_GB2312" w:cs="仿宋_GB2312"/>
          <w:color w:val="auto"/>
          <w:kern w:val="0"/>
          <w:sz w:val="32"/>
          <w:szCs w:val="32"/>
          <w:highlight w:val="none"/>
          <w:lang w:val="zh-CN" w:eastAsia="zh-CN" w:bidi="ar-SA"/>
        </w:rPr>
        <w:t>〔202</w:t>
      </w:r>
      <w:r>
        <w:rPr>
          <w:rFonts w:hint="eastAsia" w:ascii="宋体" w:hAnsi="宋体" w:eastAsia="仿宋_GB2312" w:cs="仿宋_GB2312"/>
          <w:color w:val="auto"/>
          <w:kern w:val="0"/>
          <w:sz w:val="32"/>
          <w:szCs w:val="32"/>
          <w:highlight w:val="none"/>
          <w:lang w:val="en-US" w:eastAsia="zh-CN" w:bidi="ar-SA"/>
        </w:rPr>
        <w:t>3</w:t>
      </w:r>
      <w:r>
        <w:rPr>
          <w:rFonts w:hint="eastAsia" w:ascii="宋体" w:hAnsi="宋体" w:eastAsia="仿宋_GB2312" w:cs="仿宋_GB2312"/>
          <w:color w:val="auto"/>
          <w:kern w:val="0"/>
          <w:sz w:val="32"/>
          <w:szCs w:val="32"/>
          <w:highlight w:val="none"/>
          <w:lang w:val="zh-CN" w:eastAsia="zh-CN" w:bidi="ar-SA"/>
        </w:rPr>
        <w:t>〕</w:t>
      </w:r>
      <w:r>
        <w:rPr>
          <w:rFonts w:hint="eastAsia" w:ascii="宋体" w:hAnsi="宋体" w:eastAsia="仿宋_GB2312" w:cs="仿宋_GB2312"/>
          <w:color w:val="auto"/>
          <w:kern w:val="0"/>
          <w:sz w:val="32"/>
          <w:szCs w:val="32"/>
          <w:highlight w:val="none"/>
          <w:lang w:val="en-US" w:eastAsia="zh-CN" w:bidi="ar-SA"/>
        </w:rPr>
        <w:t>5</w:t>
      </w:r>
      <w:r>
        <w:rPr>
          <w:rFonts w:hint="eastAsia" w:ascii="宋体" w:hAnsi="宋体" w:eastAsia="仿宋_GB2312" w:cs="仿宋_GB2312"/>
          <w:color w:val="auto"/>
          <w:kern w:val="0"/>
          <w:sz w:val="32"/>
          <w:szCs w:val="32"/>
          <w:highlight w:val="none"/>
          <w:lang w:val="zh-CN" w:eastAsia="zh-CN" w:bidi="ar-SA"/>
        </w:rPr>
        <w:t>号</w:t>
      </w:r>
      <w:r>
        <w:rPr>
          <w:rFonts w:hint="eastAsia" w:ascii="宋体" w:hAnsi="宋体" w:eastAsia="仿宋_GB2312" w:cs="仿宋_GB2312"/>
          <w:color w:val="auto"/>
          <w:kern w:val="0"/>
          <w:sz w:val="32"/>
          <w:szCs w:val="32"/>
          <w:highlight w:val="none"/>
          <w:lang w:val="en-US" w:eastAsia="zh-CN" w:bidi="ar-SA"/>
        </w:rPr>
        <w:t>）文件精神和要求，我局结合单位财务管理实际，认真开展了2022年市级部门专项支出绩效评价工作，现将我单位乡村振兴专项工作经费自评工作报告如下：</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黑体" w:hAnsi="黑体" w:eastAsia="黑体" w:cs="黑体"/>
          <w:color w:val="auto"/>
          <w:kern w:val="0"/>
          <w:sz w:val="32"/>
          <w:szCs w:val="32"/>
          <w:highlight w:val="none"/>
          <w:lang w:val="zh-CN" w:eastAsia="zh-CN" w:bidi="ar-SA"/>
        </w:rPr>
      </w:pPr>
      <w:r>
        <w:rPr>
          <w:rFonts w:hint="eastAsia" w:ascii="黑体" w:hAnsi="黑体" w:eastAsia="黑体" w:cs="黑体"/>
          <w:color w:val="auto"/>
          <w:kern w:val="0"/>
          <w:sz w:val="32"/>
          <w:szCs w:val="32"/>
          <w:highlight w:val="none"/>
          <w:lang w:val="en-US" w:eastAsia="zh-CN" w:bidi="ar-SA"/>
        </w:rPr>
        <w:t>一、</w:t>
      </w:r>
      <w:r>
        <w:rPr>
          <w:rFonts w:hint="eastAsia" w:ascii="黑体" w:hAnsi="黑体" w:eastAsia="黑体" w:cs="黑体"/>
          <w:color w:val="auto"/>
          <w:kern w:val="0"/>
          <w:sz w:val="32"/>
          <w:szCs w:val="32"/>
          <w:highlight w:val="none"/>
          <w:lang w:val="zh-CN" w:eastAsia="zh-CN" w:bidi="ar-SA"/>
        </w:rPr>
        <w:t>项目概况</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outlineLvl w:val="9"/>
        <w:rPr>
          <w:rFonts w:hint="eastAsia" w:ascii="楷体_GB2312" w:hAnsi="楷体_GB2312" w:eastAsia="楷体_GB2312" w:cs="楷体_GB2312"/>
          <w:color w:val="auto"/>
          <w:kern w:val="0"/>
          <w:sz w:val="32"/>
          <w:szCs w:val="32"/>
          <w:highlight w:val="none"/>
          <w:lang w:val="zh-CN" w:eastAsia="zh-CN" w:bidi="ar-SA"/>
        </w:rPr>
      </w:pPr>
      <w:r>
        <w:rPr>
          <w:rFonts w:hint="eastAsia" w:ascii="楷体_GB2312" w:hAnsi="楷体_GB2312" w:eastAsia="楷体_GB2312" w:cs="楷体_GB2312"/>
          <w:color w:val="auto"/>
          <w:kern w:val="0"/>
          <w:sz w:val="32"/>
          <w:szCs w:val="32"/>
          <w:highlight w:val="none"/>
          <w:lang w:val="zh-CN" w:eastAsia="zh-CN" w:bidi="ar-SA"/>
        </w:rPr>
        <w:t>（一）项目基本情况</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outlineLvl w:val="9"/>
        <w:rPr>
          <w:rFonts w:hint="eastAsia" w:ascii="宋体" w:hAnsi="宋体" w:eastAsia="仿宋_GB2312" w:cs="仿宋_GB2312"/>
          <w:color w:val="auto"/>
          <w:kern w:val="0"/>
          <w:sz w:val="32"/>
          <w:szCs w:val="32"/>
          <w:highlight w:val="none"/>
          <w:lang w:val="zh-CN" w:eastAsia="zh-CN" w:bidi="ar-SA"/>
        </w:rPr>
      </w:pPr>
      <w:r>
        <w:rPr>
          <w:rFonts w:hint="eastAsia" w:ascii="宋体" w:hAnsi="宋体" w:eastAsia="仿宋_GB2312" w:cs="仿宋_GB2312"/>
          <w:color w:val="auto"/>
          <w:kern w:val="0"/>
          <w:sz w:val="32"/>
          <w:szCs w:val="32"/>
          <w:highlight w:val="none"/>
          <w:lang w:val="zh-CN" w:eastAsia="zh-CN" w:bidi="ar-SA"/>
        </w:rPr>
        <w:t>1</w:t>
      </w:r>
      <w:r>
        <w:rPr>
          <w:rFonts w:hint="eastAsia" w:ascii="宋体" w:hAnsi="宋体" w:eastAsia="仿宋_GB2312" w:cs="仿宋_GB2312"/>
          <w:color w:val="auto"/>
          <w:kern w:val="0"/>
          <w:sz w:val="32"/>
          <w:szCs w:val="32"/>
          <w:highlight w:val="none"/>
          <w:lang w:val="en-US" w:eastAsia="zh-CN" w:bidi="ar-SA"/>
        </w:rPr>
        <w:t>.</w:t>
      </w:r>
      <w:r>
        <w:rPr>
          <w:rFonts w:hint="eastAsia" w:ascii="宋体" w:hAnsi="宋体" w:eastAsia="仿宋_GB2312" w:cs="仿宋_GB2312"/>
          <w:color w:val="auto"/>
          <w:kern w:val="0"/>
          <w:sz w:val="32"/>
          <w:szCs w:val="32"/>
          <w:highlight w:val="none"/>
          <w:lang w:val="zh-CN" w:eastAsia="zh-CN" w:bidi="ar-SA"/>
        </w:rPr>
        <w:t>说明项目主管部门（单位）在该项目管理中的职能。</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outlineLvl w:val="9"/>
        <w:rPr>
          <w:rFonts w:hint="eastAsia" w:ascii="宋体" w:hAnsi="宋体" w:eastAsia="仿宋_GB2312" w:cs="仿宋_GB2312"/>
          <w:color w:val="auto"/>
          <w:kern w:val="0"/>
          <w:sz w:val="32"/>
          <w:szCs w:val="32"/>
          <w:highlight w:val="none"/>
          <w:lang w:val="zh-CN" w:eastAsia="zh-CN" w:bidi="ar-SA"/>
        </w:rPr>
      </w:pPr>
      <w:r>
        <w:rPr>
          <w:rFonts w:hint="eastAsia" w:ascii="宋体" w:hAnsi="宋体" w:eastAsia="仿宋_GB2312" w:cs="仿宋_GB2312"/>
          <w:color w:val="auto"/>
          <w:kern w:val="0"/>
          <w:sz w:val="32"/>
          <w:szCs w:val="32"/>
          <w:highlight w:val="none"/>
          <w:lang w:val="zh-CN" w:eastAsia="zh-CN" w:bidi="ar-SA"/>
        </w:rPr>
        <w:t>规范管理乡村振兴驻村帮扶项目资金，用于工作调研、规划编制、考察交流、日常工作运转以及驻村期间因公产生的差旅费等。</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outlineLvl w:val="9"/>
        <w:rPr>
          <w:rFonts w:hint="eastAsia" w:ascii="宋体" w:hAnsi="宋体" w:eastAsia="仿宋_GB2312" w:cs="仿宋_GB2312"/>
          <w:color w:val="auto"/>
          <w:kern w:val="0"/>
          <w:sz w:val="32"/>
          <w:szCs w:val="32"/>
          <w:highlight w:val="none"/>
          <w:lang w:val="en-US" w:eastAsia="zh-CN" w:bidi="ar-SA"/>
        </w:rPr>
      </w:pPr>
      <w:r>
        <w:rPr>
          <w:rFonts w:hint="eastAsia" w:ascii="宋体" w:hAnsi="宋体" w:eastAsia="仿宋_GB2312" w:cs="仿宋_GB2312"/>
          <w:color w:val="auto"/>
          <w:kern w:val="0"/>
          <w:sz w:val="32"/>
          <w:szCs w:val="32"/>
          <w:highlight w:val="none"/>
          <w:lang w:val="en-US" w:eastAsia="zh-CN" w:bidi="ar-SA"/>
        </w:rPr>
        <w:t>2.</w:t>
      </w:r>
      <w:r>
        <w:rPr>
          <w:rFonts w:hint="eastAsia" w:ascii="宋体" w:hAnsi="宋体" w:eastAsia="仿宋_GB2312" w:cs="仿宋_GB2312"/>
          <w:color w:val="auto"/>
          <w:kern w:val="0"/>
          <w:sz w:val="32"/>
          <w:szCs w:val="32"/>
          <w:highlight w:val="none"/>
          <w:lang w:val="zh-CN" w:eastAsia="zh-CN" w:bidi="ar-SA"/>
        </w:rPr>
        <w:t>项目立项、资金申报的依据。</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outlineLvl w:val="9"/>
        <w:rPr>
          <w:rFonts w:hint="default" w:ascii="宋体" w:hAnsi="宋体" w:eastAsia="仿宋_GB2312" w:cs="仿宋_GB2312"/>
          <w:color w:val="auto"/>
          <w:kern w:val="0"/>
          <w:sz w:val="32"/>
          <w:szCs w:val="32"/>
          <w:highlight w:val="none"/>
          <w:lang w:val="en-US" w:eastAsia="zh-CN" w:bidi="ar-SA"/>
        </w:rPr>
      </w:pPr>
      <w:r>
        <w:rPr>
          <w:rFonts w:hint="eastAsia" w:ascii="宋体" w:hAnsi="宋体" w:eastAsia="仿宋_GB2312" w:cs="仿宋_GB2312"/>
          <w:color w:val="auto"/>
          <w:kern w:val="0"/>
          <w:sz w:val="32"/>
          <w:szCs w:val="32"/>
          <w:highlight w:val="none"/>
          <w:lang w:val="en-US" w:eastAsia="zh-CN" w:bidi="ar-SA"/>
        </w:rPr>
        <w:t>根据中共四川省委组织部《关于印发四川省驻村第一书记和工作队管理办法的通知》（川组通</w:t>
      </w:r>
      <w:r>
        <w:rPr>
          <w:rFonts w:hint="eastAsia" w:ascii="宋体" w:hAnsi="宋体" w:eastAsia="仿宋_GB2312" w:cs="仿宋_GB2312"/>
          <w:color w:val="auto"/>
          <w:kern w:val="0"/>
          <w:sz w:val="32"/>
          <w:szCs w:val="32"/>
          <w:highlight w:val="none"/>
          <w:lang w:val="zh-CN" w:eastAsia="zh-CN" w:bidi="ar-SA"/>
        </w:rPr>
        <w:t>〔</w:t>
      </w:r>
      <w:r>
        <w:rPr>
          <w:rFonts w:hint="eastAsia" w:ascii="宋体" w:hAnsi="宋体" w:eastAsia="仿宋_GB2312" w:cs="仿宋_GB2312"/>
          <w:color w:val="auto"/>
          <w:kern w:val="0"/>
          <w:sz w:val="32"/>
          <w:szCs w:val="32"/>
          <w:highlight w:val="none"/>
          <w:lang w:val="en-US" w:eastAsia="zh-CN" w:bidi="ar-SA"/>
        </w:rPr>
        <w:t>2021</w:t>
      </w:r>
      <w:r>
        <w:rPr>
          <w:rFonts w:hint="eastAsia" w:ascii="宋体" w:hAnsi="宋体" w:eastAsia="仿宋_GB2312" w:cs="仿宋_GB2312"/>
          <w:color w:val="auto"/>
          <w:kern w:val="0"/>
          <w:sz w:val="32"/>
          <w:szCs w:val="32"/>
          <w:highlight w:val="none"/>
          <w:lang w:val="zh-CN" w:eastAsia="zh-CN" w:bidi="ar-SA"/>
        </w:rPr>
        <w:t>〕</w:t>
      </w:r>
      <w:r>
        <w:rPr>
          <w:rFonts w:hint="eastAsia" w:ascii="宋体" w:hAnsi="宋体" w:eastAsia="仿宋_GB2312" w:cs="仿宋_GB2312"/>
          <w:color w:val="auto"/>
          <w:kern w:val="0"/>
          <w:sz w:val="32"/>
          <w:szCs w:val="32"/>
          <w:highlight w:val="none"/>
          <w:lang w:val="en-US" w:eastAsia="zh-CN" w:bidi="ar-SA"/>
        </w:rPr>
        <w:t>75号）以及中共广元市经济合作和外事局机关委员会《关于进一步加强脱贫村、重点乡村驻村帮扶工作的通知》（广经合外事局机关党委</w:t>
      </w:r>
      <w:r>
        <w:rPr>
          <w:rFonts w:hint="eastAsia" w:ascii="宋体" w:hAnsi="宋体" w:eastAsia="仿宋_GB2312" w:cs="仿宋_GB2312"/>
          <w:color w:val="auto"/>
          <w:kern w:val="0"/>
          <w:sz w:val="32"/>
          <w:szCs w:val="32"/>
          <w:highlight w:val="none"/>
          <w:lang w:val="zh-CN" w:eastAsia="zh-CN" w:bidi="ar-SA"/>
        </w:rPr>
        <w:t>〔</w:t>
      </w:r>
      <w:r>
        <w:rPr>
          <w:rFonts w:hint="eastAsia" w:ascii="宋体" w:hAnsi="宋体" w:eastAsia="仿宋_GB2312" w:cs="仿宋_GB2312"/>
          <w:color w:val="auto"/>
          <w:kern w:val="0"/>
          <w:sz w:val="32"/>
          <w:szCs w:val="32"/>
          <w:highlight w:val="none"/>
          <w:lang w:val="en-US" w:eastAsia="zh-CN" w:bidi="ar-SA"/>
        </w:rPr>
        <w:t>2021</w:t>
      </w:r>
      <w:r>
        <w:rPr>
          <w:rFonts w:hint="eastAsia" w:ascii="宋体" w:hAnsi="宋体" w:eastAsia="仿宋_GB2312" w:cs="仿宋_GB2312"/>
          <w:color w:val="auto"/>
          <w:kern w:val="0"/>
          <w:sz w:val="32"/>
          <w:szCs w:val="32"/>
          <w:highlight w:val="none"/>
          <w:lang w:val="zh-CN" w:eastAsia="zh-CN" w:bidi="ar-SA"/>
        </w:rPr>
        <w:t>〕</w:t>
      </w:r>
      <w:r>
        <w:rPr>
          <w:rFonts w:hint="eastAsia" w:ascii="宋体" w:hAnsi="宋体" w:eastAsia="仿宋_GB2312" w:cs="仿宋_GB2312"/>
          <w:color w:val="auto"/>
          <w:kern w:val="0"/>
          <w:sz w:val="32"/>
          <w:szCs w:val="32"/>
          <w:highlight w:val="none"/>
          <w:lang w:val="en-US" w:eastAsia="zh-CN" w:bidi="ar-SA"/>
        </w:rPr>
        <w:t>6号）文件精神作为该项目立项依据。</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outlineLvl w:val="9"/>
        <w:rPr>
          <w:rFonts w:hint="eastAsia" w:ascii="宋体" w:hAnsi="宋体" w:eastAsia="仿宋_GB2312" w:cs="仿宋_GB2312"/>
          <w:color w:val="auto"/>
          <w:kern w:val="0"/>
          <w:sz w:val="32"/>
          <w:szCs w:val="32"/>
          <w:highlight w:val="none"/>
          <w:lang w:val="en-US" w:eastAsia="zh-CN" w:bidi="ar-SA"/>
        </w:rPr>
      </w:pPr>
      <w:r>
        <w:rPr>
          <w:rFonts w:hint="eastAsia" w:ascii="宋体" w:hAnsi="宋体" w:eastAsia="仿宋_GB2312" w:cs="仿宋_GB2312"/>
          <w:color w:val="auto"/>
          <w:kern w:val="0"/>
          <w:sz w:val="32"/>
          <w:szCs w:val="32"/>
          <w:highlight w:val="none"/>
          <w:lang w:val="en-US" w:eastAsia="zh-CN" w:bidi="ar-SA"/>
        </w:rPr>
        <w:t>3.</w:t>
      </w:r>
      <w:r>
        <w:rPr>
          <w:rFonts w:hint="eastAsia" w:ascii="宋体" w:hAnsi="宋体" w:eastAsia="仿宋_GB2312" w:cs="仿宋_GB2312"/>
          <w:color w:val="auto"/>
          <w:kern w:val="0"/>
          <w:sz w:val="32"/>
          <w:szCs w:val="32"/>
          <w:highlight w:val="none"/>
          <w:lang w:val="zh-CN" w:eastAsia="zh-CN" w:bidi="ar-SA"/>
        </w:rPr>
        <w:t>资金</w:t>
      </w:r>
      <w:r>
        <w:rPr>
          <w:rFonts w:hint="eastAsia" w:ascii="宋体" w:hAnsi="宋体" w:eastAsia="仿宋_GB2312" w:cs="仿宋_GB2312"/>
          <w:color w:val="auto"/>
          <w:kern w:val="0"/>
          <w:sz w:val="32"/>
          <w:szCs w:val="32"/>
          <w:highlight w:val="none"/>
          <w:lang w:val="en-US" w:eastAsia="zh-CN" w:bidi="ar-SA"/>
        </w:rPr>
        <w:t>或项目</w:t>
      </w:r>
      <w:r>
        <w:rPr>
          <w:rFonts w:hint="eastAsia" w:ascii="宋体" w:hAnsi="宋体" w:eastAsia="仿宋_GB2312" w:cs="仿宋_GB2312"/>
          <w:color w:val="auto"/>
          <w:kern w:val="0"/>
          <w:sz w:val="32"/>
          <w:szCs w:val="32"/>
          <w:highlight w:val="none"/>
          <w:lang w:val="zh-CN" w:eastAsia="zh-CN" w:bidi="ar-SA"/>
        </w:rPr>
        <w:t>管理办法制定情况，资金支持具体项目的条件、范围与支持方式概况。</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outlineLvl w:val="9"/>
        <w:rPr>
          <w:rFonts w:hint="default" w:ascii="宋体" w:hAnsi="宋体" w:eastAsia="仿宋_GB2312" w:cs="仿宋_GB2312"/>
          <w:color w:val="auto"/>
          <w:kern w:val="0"/>
          <w:sz w:val="32"/>
          <w:szCs w:val="32"/>
          <w:highlight w:val="none"/>
          <w:lang w:val="en-US" w:eastAsia="zh-CN" w:bidi="ar-SA"/>
        </w:rPr>
      </w:pPr>
      <w:r>
        <w:rPr>
          <w:rFonts w:hint="eastAsia" w:ascii="宋体" w:hAnsi="宋体" w:eastAsia="仿宋_GB2312" w:cs="仿宋_GB2312"/>
          <w:color w:val="auto"/>
          <w:kern w:val="0"/>
          <w:sz w:val="32"/>
          <w:szCs w:val="32"/>
          <w:highlight w:val="none"/>
          <w:lang w:val="en-US" w:eastAsia="zh-CN" w:bidi="ar-SA"/>
        </w:rPr>
        <w:t>根据中共四川省委组织部《关于印发四川省驻村第一书记和工作队管理办法的通知》（川组通</w:t>
      </w:r>
      <w:r>
        <w:rPr>
          <w:rFonts w:hint="eastAsia" w:ascii="宋体" w:hAnsi="宋体" w:eastAsia="仿宋_GB2312" w:cs="仿宋_GB2312"/>
          <w:color w:val="auto"/>
          <w:kern w:val="0"/>
          <w:sz w:val="32"/>
          <w:szCs w:val="32"/>
          <w:highlight w:val="none"/>
          <w:lang w:val="zh-CN" w:eastAsia="zh-CN" w:bidi="ar-SA"/>
        </w:rPr>
        <w:t>〔</w:t>
      </w:r>
      <w:r>
        <w:rPr>
          <w:rFonts w:hint="eastAsia" w:ascii="宋体" w:hAnsi="宋体" w:eastAsia="仿宋_GB2312" w:cs="仿宋_GB2312"/>
          <w:color w:val="auto"/>
          <w:kern w:val="0"/>
          <w:sz w:val="32"/>
          <w:szCs w:val="32"/>
          <w:highlight w:val="none"/>
          <w:lang w:val="en-US" w:eastAsia="zh-CN" w:bidi="ar-SA"/>
        </w:rPr>
        <w:t>2021</w:t>
      </w:r>
      <w:r>
        <w:rPr>
          <w:rFonts w:hint="eastAsia" w:ascii="宋体" w:hAnsi="宋体" w:eastAsia="仿宋_GB2312" w:cs="仿宋_GB2312"/>
          <w:color w:val="auto"/>
          <w:kern w:val="0"/>
          <w:sz w:val="32"/>
          <w:szCs w:val="32"/>
          <w:highlight w:val="none"/>
          <w:lang w:val="zh-CN" w:eastAsia="zh-CN" w:bidi="ar-SA"/>
        </w:rPr>
        <w:t>〕</w:t>
      </w:r>
      <w:r>
        <w:rPr>
          <w:rFonts w:hint="eastAsia" w:ascii="宋体" w:hAnsi="宋体" w:eastAsia="仿宋_GB2312" w:cs="仿宋_GB2312"/>
          <w:color w:val="auto"/>
          <w:kern w:val="0"/>
          <w:sz w:val="32"/>
          <w:szCs w:val="32"/>
          <w:highlight w:val="none"/>
          <w:lang w:val="en-US" w:eastAsia="zh-CN" w:bidi="ar-SA"/>
        </w:rPr>
        <w:t>75号）、中共广元市经济合作和外事局机关委员会《关于进一步加强脱贫村、重点乡村驻村帮扶工作的通知》（广经合外事局机关党委</w:t>
      </w:r>
      <w:r>
        <w:rPr>
          <w:rFonts w:hint="eastAsia" w:ascii="宋体" w:hAnsi="宋体" w:eastAsia="仿宋_GB2312" w:cs="仿宋_GB2312"/>
          <w:color w:val="auto"/>
          <w:kern w:val="0"/>
          <w:sz w:val="32"/>
          <w:szCs w:val="32"/>
          <w:highlight w:val="none"/>
          <w:lang w:val="zh-CN" w:eastAsia="zh-CN" w:bidi="ar-SA"/>
        </w:rPr>
        <w:t>〔</w:t>
      </w:r>
      <w:r>
        <w:rPr>
          <w:rFonts w:hint="eastAsia" w:ascii="宋体" w:hAnsi="宋体" w:eastAsia="仿宋_GB2312" w:cs="仿宋_GB2312"/>
          <w:color w:val="auto"/>
          <w:kern w:val="0"/>
          <w:sz w:val="32"/>
          <w:szCs w:val="32"/>
          <w:highlight w:val="none"/>
          <w:lang w:val="en-US" w:eastAsia="zh-CN" w:bidi="ar-SA"/>
        </w:rPr>
        <w:t>2021</w:t>
      </w:r>
      <w:r>
        <w:rPr>
          <w:rFonts w:hint="eastAsia" w:ascii="宋体" w:hAnsi="宋体" w:eastAsia="仿宋_GB2312" w:cs="仿宋_GB2312"/>
          <w:color w:val="auto"/>
          <w:kern w:val="0"/>
          <w:sz w:val="32"/>
          <w:szCs w:val="32"/>
          <w:highlight w:val="none"/>
          <w:lang w:val="zh-CN" w:eastAsia="zh-CN" w:bidi="ar-SA"/>
        </w:rPr>
        <w:t>〕</w:t>
      </w:r>
      <w:r>
        <w:rPr>
          <w:rFonts w:hint="eastAsia" w:ascii="宋体" w:hAnsi="宋体" w:eastAsia="仿宋_GB2312" w:cs="仿宋_GB2312"/>
          <w:color w:val="auto"/>
          <w:kern w:val="0"/>
          <w:sz w:val="32"/>
          <w:szCs w:val="32"/>
          <w:highlight w:val="none"/>
          <w:lang w:val="en-US" w:eastAsia="zh-CN" w:bidi="ar-SA"/>
        </w:rPr>
        <w:t>6号）文件精神以及</w:t>
      </w:r>
      <w:r>
        <w:rPr>
          <w:rFonts w:hint="eastAsia" w:ascii="宋体" w:hAnsi="宋体" w:eastAsia="仿宋_GB2312" w:cs="仿宋_GB2312"/>
          <w:color w:val="auto"/>
          <w:kern w:val="0"/>
          <w:sz w:val="32"/>
          <w:szCs w:val="32"/>
          <w:highlight w:val="none"/>
          <w:lang w:val="zh-CN" w:eastAsia="zh-CN" w:bidi="ar-SA"/>
        </w:rPr>
        <w:t>相关财务</w:t>
      </w:r>
      <w:r>
        <w:rPr>
          <w:rFonts w:hint="default" w:ascii="宋体" w:hAnsi="宋体" w:eastAsia="仿宋_GB2312" w:cs="仿宋_GB2312"/>
          <w:color w:val="auto"/>
          <w:kern w:val="0"/>
          <w:sz w:val="32"/>
          <w:szCs w:val="32"/>
          <w:highlight w:val="none"/>
          <w:lang w:val="en-US" w:eastAsia="zh-CN" w:bidi="ar-SA"/>
        </w:rPr>
        <w:t>管理制度，强化对</w:t>
      </w:r>
      <w:r>
        <w:rPr>
          <w:rFonts w:hint="eastAsia" w:ascii="宋体" w:hAnsi="宋体" w:eastAsia="仿宋_GB2312" w:cs="仿宋_GB2312"/>
          <w:color w:val="auto"/>
          <w:kern w:val="0"/>
          <w:sz w:val="32"/>
          <w:szCs w:val="32"/>
          <w:highlight w:val="none"/>
          <w:lang w:val="zh-CN" w:eastAsia="zh-CN" w:bidi="ar-SA"/>
        </w:rPr>
        <w:t>乡村振兴驻村帮扶</w:t>
      </w:r>
      <w:r>
        <w:rPr>
          <w:rFonts w:hint="eastAsia" w:ascii="宋体" w:hAnsi="宋体" w:eastAsia="仿宋_GB2312" w:cs="仿宋_GB2312"/>
          <w:color w:val="auto"/>
          <w:kern w:val="0"/>
          <w:sz w:val="32"/>
          <w:szCs w:val="32"/>
          <w:highlight w:val="none"/>
          <w:lang w:val="en-US" w:eastAsia="zh-CN" w:bidi="ar-SA"/>
        </w:rPr>
        <w:t>项目资金</w:t>
      </w:r>
      <w:r>
        <w:rPr>
          <w:rFonts w:hint="default" w:ascii="宋体" w:hAnsi="宋体" w:eastAsia="仿宋_GB2312" w:cs="仿宋_GB2312"/>
          <w:color w:val="auto"/>
          <w:kern w:val="0"/>
          <w:sz w:val="32"/>
          <w:szCs w:val="32"/>
          <w:highlight w:val="none"/>
          <w:lang w:val="en-US" w:eastAsia="zh-CN" w:bidi="ar-SA"/>
        </w:rPr>
        <w:t>的管理。</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outlineLvl w:val="9"/>
        <w:rPr>
          <w:rFonts w:hint="eastAsia" w:ascii="宋体" w:hAnsi="宋体" w:eastAsia="仿宋_GB2312" w:cs="仿宋_GB2312"/>
          <w:color w:val="auto"/>
          <w:kern w:val="0"/>
          <w:sz w:val="32"/>
          <w:szCs w:val="32"/>
          <w:highlight w:val="none"/>
          <w:lang w:val="zh-CN" w:eastAsia="zh-CN" w:bidi="ar-SA"/>
        </w:rPr>
      </w:pPr>
      <w:r>
        <w:rPr>
          <w:rFonts w:hint="eastAsia" w:ascii="宋体" w:hAnsi="宋体" w:eastAsia="仿宋_GB2312" w:cs="仿宋_GB2312"/>
          <w:color w:val="auto"/>
          <w:kern w:val="0"/>
          <w:sz w:val="32"/>
          <w:szCs w:val="32"/>
          <w:highlight w:val="none"/>
          <w:lang w:val="zh-CN" w:eastAsia="zh-CN" w:bidi="ar-SA"/>
        </w:rPr>
        <w:t>4</w:t>
      </w:r>
      <w:r>
        <w:rPr>
          <w:rFonts w:hint="eastAsia" w:ascii="宋体" w:hAnsi="宋体" w:eastAsia="仿宋_GB2312" w:cs="仿宋_GB2312"/>
          <w:color w:val="auto"/>
          <w:kern w:val="0"/>
          <w:sz w:val="32"/>
          <w:szCs w:val="32"/>
          <w:highlight w:val="none"/>
          <w:lang w:val="en-US" w:eastAsia="zh-CN" w:bidi="ar-SA"/>
        </w:rPr>
        <w:t>.</w:t>
      </w:r>
      <w:r>
        <w:rPr>
          <w:rFonts w:hint="eastAsia" w:ascii="宋体" w:hAnsi="宋体" w:eastAsia="仿宋_GB2312" w:cs="仿宋_GB2312"/>
          <w:color w:val="auto"/>
          <w:kern w:val="0"/>
          <w:sz w:val="32"/>
          <w:szCs w:val="32"/>
          <w:highlight w:val="none"/>
          <w:lang w:val="zh-CN" w:eastAsia="zh-CN" w:bidi="ar-SA"/>
        </w:rPr>
        <w:t>资金分配的原则及考虑因素。严格按照</w:t>
      </w:r>
      <w:r>
        <w:rPr>
          <w:rFonts w:hint="eastAsia" w:ascii="宋体" w:hAnsi="宋体" w:eastAsia="仿宋_GB2312" w:cs="仿宋_GB2312"/>
          <w:color w:val="auto"/>
          <w:kern w:val="0"/>
          <w:sz w:val="32"/>
          <w:szCs w:val="32"/>
          <w:highlight w:val="none"/>
          <w:lang w:val="en-US" w:eastAsia="zh-CN" w:bidi="ar-SA"/>
        </w:rPr>
        <w:t>中共四川省委组织部《关于印发四川省驻村第一书记和工作队管理办法的通知》（川组通</w:t>
      </w:r>
      <w:r>
        <w:rPr>
          <w:rFonts w:hint="eastAsia" w:ascii="宋体" w:hAnsi="宋体" w:eastAsia="仿宋_GB2312" w:cs="仿宋_GB2312"/>
          <w:color w:val="auto"/>
          <w:kern w:val="0"/>
          <w:sz w:val="32"/>
          <w:szCs w:val="32"/>
          <w:highlight w:val="none"/>
          <w:lang w:val="zh-CN" w:eastAsia="zh-CN" w:bidi="ar-SA"/>
        </w:rPr>
        <w:t>〔</w:t>
      </w:r>
      <w:r>
        <w:rPr>
          <w:rFonts w:hint="eastAsia" w:ascii="宋体" w:hAnsi="宋体" w:eastAsia="仿宋_GB2312" w:cs="仿宋_GB2312"/>
          <w:color w:val="auto"/>
          <w:kern w:val="0"/>
          <w:sz w:val="32"/>
          <w:szCs w:val="32"/>
          <w:highlight w:val="none"/>
          <w:lang w:val="en-US" w:eastAsia="zh-CN" w:bidi="ar-SA"/>
        </w:rPr>
        <w:t>2021</w:t>
      </w:r>
      <w:r>
        <w:rPr>
          <w:rFonts w:hint="eastAsia" w:ascii="宋体" w:hAnsi="宋体" w:eastAsia="仿宋_GB2312" w:cs="仿宋_GB2312"/>
          <w:color w:val="auto"/>
          <w:kern w:val="0"/>
          <w:sz w:val="32"/>
          <w:szCs w:val="32"/>
          <w:highlight w:val="none"/>
          <w:lang w:val="zh-CN" w:eastAsia="zh-CN" w:bidi="ar-SA"/>
        </w:rPr>
        <w:t>〕</w:t>
      </w:r>
      <w:r>
        <w:rPr>
          <w:rFonts w:hint="eastAsia" w:ascii="宋体" w:hAnsi="宋体" w:eastAsia="仿宋_GB2312" w:cs="仿宋_GB2312"/>
          <w:color w:val="auto"/>
          <w:kern w:val="0"/>
          <w:sz w:val="32"/>
          <w:szCs w:val="32"/>
          <w:highlight w:val="none"/>
          <w:lang w:val="en-US" w:eastAsia="zh-CN" w:bidi="ar-SA"/>
        </w:rPr>
        <w:t>75号）、中共广元市经济合作和外事局机关委员会《关于进一步加强脱贫村、重点乡村驻村帮扶工作的通知》（广经合外事局机关党委</w:t>
      </w:r>
      <w:r>
        <w:rPr>
          <w:rFonts w:hint="eastAsia" w:ascii="宋体" w:hAnsi="宋体" w:eastAsia="仿宋_GB2312" w:cs="仿宋_GB2312"/>
          <w:color w:val="auto"/>
          <w:kern w:val="0"/>
          <w:sz w:val="32"/>
          <w:szCs w:val="32"/>
          <w:highlight w:val="none"/>
          <w:lang w:val="zh-CN" w:eastAsia="zh-CN" w:bidi="ar-SA"/>
        </w:rPr>
        <w:t>〔202</w:t>
      </w:r>
      <w:r>
        <w:rPr>
          <w:rFonts w:hint="eastAsia" w:ascii="宋体" w:hAnsi="宋体" w:eastAsia="仿宋_GB2312" w:cs="仿宋_GB2312"/>
          <w:color w:val="auto"/>
          <w:kern w:val="0"/>
          <w:sz w:val="32"/>
          <w:szCs w:val="32"/>
          <w:highlight w:val="none"/>
          <w:lang w:val="en-US" w:eastAsia="zh-CN" w:bidi="ar-SA"/>
        </w:rPr>
        <w:t>1</w:t>
      </w:r>
      <w:r>
        <w:rPr>
          <w:rFonts w:hint="eastAsia" w:ascii="宋体" w:hAnsi="宋体" w:eastAsia="仿宋_GB2312" w:cs="仿宋_GB2312"/>
          <w:color w:val="auto"/>
          <w:kern w:val="0"/>
          <w:sz w:val="32"/>
          <w:szCs w:val="32"/>
          <w:highlight w:val="none"/>
          <w:lang w:val="zh-CN" w:eastAsia="zh-CN" w:bidi="ar-SA"/>
        </w:rPr>
        <w:t>〕</w:t>
      </w:r>
      <w:r>
        <w:rPr>
          <w:rFonts w:hint="eastAsia" w:ascii="宋体" w:hAnsi="宋体" w:eastAsia="仿宋_GB2312" w:cs="仿宋_GB2312"/>
          <w:color w:val="auto"/>
          <w:kern w:val="0"/>
          <w:sz w:val="32"/>
          <w:szCs w:val="32"/>
          <w:highlight w:val="none"/>
          <w:lang w:val="en-US" w:eastAsia="zh-CN" w:bidi="ar-SA"/>
        </w:rPr>
        <w:t>6号）要求，根据乡村振兴驻村帮扶实际进行分配。</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outlineLvl w:val="9"/>
        <w:rPr>
          <w:rFonts w:hint="eastAsia" w:ascii="楷体_GB2312" w:hAnsi="楷体_GB2312" w:eastAsia="楷体_GB2312" w:cs="楷体_GB2312"/>
          <w:color w:val="auto"/>
          <w:kern w:val="0"/>
          <w:sz w:val="32"/>
          <w:szCs w:val="32"/>
          <w:highlight w:val="none"/>
          <w:lang w:val="zh-CN" w:eastAsia="zh-CN" w:bidi="ar-SA"/>
        </w:rPr>
      </w:pPr>
      <w:r>
        <w:rPr>
          <w:rFonts w:hint="eastAsia" w:ascii="楷体_GB2312" w:hAnsi="楷体_GB2312" w:eastAsia="楷体_GB2312" w:cs="楷体_GB2312"/>
          <w:color w:val="auto"/>
          <w:kern w:val="0"/>
          <w:sz w:val="32"/>
          <w:szCs w:val="32"/>
          <w:highlight w:val="none"/>
          <w:lang w:val="zh-CN" w:eastAsia="zh-CN" w:bidi="ar-SA"/>
        </w:rPr>
        <w:t>（二）项目绩效目标</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outlineLvl w:val="9"/>
        <w:rPr>
          <w:rFonts w:hint="eastAsia" w:ascii="宋体" w:hAnsi="宋体" w:eastAsia="仿宋_GB2312" w:cs="仿宋_GB2312"/>
          <w:color w:val="auto"/>
          <w:kern w:val="0"/>
          <w:sz w:val="32"/>
          <w:szCs w:val="32"/>
          <w:highlight w:val="none"/>
          <w:lang w:val="zh-CN" w:eastAsia="zh-CN" w:bidi="ar-SA"/>
        </w:rPr>
      </w:pPr>
      <w:r>
        <w:rPr>
          <w:rFonts w:hint="eastAsia" w:ascii="宋体" w:hAnsi="宋体" w:eastAsia="仿宋_GB2312" w:cs="仿宋_GB2312"/>
          <w:color w:val="auto"/>
          <w:kern w:val="0"/>
          <w:sz w:val="32"/>
          <w:szCs w:val="32"/>
          <w:highlight w:val="none"/>
          <w:lang w:val="zh-CN" w:eastAsia="zh-CN" w:bidi="ar-SA"/>
        </w:rPr>
        <w:t>1</w:t>
      </w:r>
      <w:r>
        <w:rPr>
          <w:rFonts w:hint="eastAsia" w:ascii="宋体" w:hAnsi="宋体" w:eastAsia="仿宋_GB2312" w:cs="仿宋_GB2312"/>
          <w:color w:val="auto"/>
          <w:kern w:val="0"/>
          <w:sz w:val="32"/>
          <w:szCs w:val="32"/>
          <w:highlight w:val="none"/>
          <w:lang w:val="en-US" w:eastAsia="zh-CN" w:bidi="ar-SA"/>
        </w:rPr>
        <w:t>.</w:t>
      </w:r>
      <w:r>
        <w:rPr>
          <w:rFonts w:hint="eastAsia" w:ascii="宋体" w:hAnsi="宋体" w:eastAsia="仿宋_GB2312" w:cs="仿宋_GB2312"/>
          <w:color w:val="auto"/>
          <w:kern w:val="0"/>
          <w:sz w:val="32"/>
          <w:szCs w:val="32"/>
          <w:highlight w:val="none"/>
          <w:lang w:val="zh-CN" w:eastAsia="zh-CN" w:bidi="ar-SA"/>
        </w:rPr>
        <w:t>项目主要内容。</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outlineLvl w:val="9"/>
        <w:rPr>
          <w:rFonts w:hint="eastAsia" w:ascii="宋体" w:hAnsi="宋体" w:eastAsia="仿宋_GB2312" w:cs="仿宋_GB2312"/>
          <w:color w:val="auto"/>
          <w:kern w:val="0"/>
          <w:sz w:val="32"/>
          <w:szCs w:val="32"/>
          <w:highlight w:val="none"/>
          <w:lang w:val="zh-CN" w:eastAsia="zh-CN" w:bidi="ar-SA"/>
        </w:rPr>
      </w:pPr>
      <w:r>
        <w:rPr>
          <w:rFonts w:hint="eastAsia" w:ascii="宋体" w:hAnsi="宋体" w:eastAsia="仿宋_GB2312" w:cs="仿宋_GB2312"/>
          <w:color w:val="auto"/>
          <w:kern w:val="0"/>
          <w:sz w:val="32"/>
          <w:szCs w:val="32"/>
          <w:highlight w:val="none"/>
          <w:lang w:val="zh-CN" w:eastAsia="zh-CN" w:bidi="ar-SA"/>
        </w:rPr>
        <w:t>规范管理乡村振兴驻村帮扶项目资金，用于与乡村振兴工作相关的工作调研、日常工作运转以及驻村期间因公产生的差旅费等。保证高质量完成乡村振兴工作任务，巩固脱贫攻坚工作质量成果。</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outlineLvl w:val="9"/>
        <w:rPr>
          <w:rFonts w:hint="eastAsia" w:ascii="宋体" w:hAnsi="宋体" w:eastAsia="仿宋_GB2312" w:cs="仿宋_GB2312"/>
          <w:color w:val="auto"/>
          <w:kern w:val="0"/>
          <w:sz w:val="32"/>
          <w:szCs w:val="32"/>
          <w:highlight w:val="none"/>
          <w:lang w:val="en-US" w:eastAsia="zh-CN" w:bidi="ar-SA"/>
        </w:rPr>
      </w:pPr>
      <w:r>
        <w:rPr>
          <w:rFonts w:hint="eastAsia" w:ascii="宋体" w:hAnsi="宋体" w:eastAsia="仿宋_GB2312" w:cs="仿宋_GB2312"/>
          <w:color w:val="auto"/>
          <w:kern w:val="0"/>
          <w:sz w:val="32"/>
          <w:szCs w:val="32"/>
          <w:highlight w:val="none"/>
          <w:lang w:val="zh-CN" w:eastAsia="zh-CN" w:bidi="ar-SA"/>
        </w:rPr>
        <w:t>项目应实现的具体绩效目标，</w:t>
      </w:r>
      <w:r>
        <w:rPr>
          <w:rFonts w:hint="eastAsia" w:ascii="宋体" w:hAnsi="宋体" w:eastAsia="仿宋_GB2312" w:cs="仿宋_GB2312"/>
          <w:color w:val="auto"/>
          <w:kern w:val="0"/>
          <w:sz w:val="32"/>
          <w:szCs w:val="32"/>
          <w:highlight w:val="none"/>
          <w:lang w:val="en-US" w:eastAsia="zh-CN" w:bidi="ar-SA"/>
        </w:rPr>
        <w:t>包括但不限于：保障驻村工作队有效履行职责任务；</w:t>
      </w:r>
      <w:r>
        <w:rPr>
          <w:rFonts w:hint="eastAsia" w:ascii="宋体" w:hAnsi="宋体" w:eastAsia="仿宋_GB2312" w:cs="仿宋_GB2312"/>
          <w:color w:val="auto"/>
          <w:kern w:val="0"/>
          <w:sz w:val="32"/>
          <w:szCs w:val="32"/>
          <w:highlight w:val="none"/>
          <w:lang w:val="zh-CN" w:eastAsia="zh-CN" w:bidi="ar-SA"/>
        </w:rPr>
        <w:t>为</w:t>
      </w:r>
      <w:r>
        <w:rPr>
          <w:rFonts w:hint="eastAsia" w:ascii="宋体" w:hAnsi="宋体" w:eastAsia="仿宋_GB2312" w:cs="仿宋_GB2312"/>
          <w:color w:val="auto"/>
          <w:kern w:val="0"/>
          <w:sz w:val="32"/>
          <w:szCs w:val="32"/>
          <w:highlight w:val="none"/>
          <w:lang w:val="en-US" w:eastAsia="zh-CN" w:bidi="ar-SA"/>
        </w:rPr>
        <w:t>3名</w:t>
      </w:r>
      <w:r>
        <w:rPr>
          <w:rFonts w:hint="eastAsia" w:ascii="宋体" w:hAnsi="宋体" w:eastAsia="仿宋_GB2312" w:cs="仿宋_GB2312"/>
          <w:color w:val="auto"/>
          <w:kern w:val="0"/>
          <w:sz w:val="32"/>
          <w:szCs w:val="32"/>
          <w:highlight w:val="none"/>
          <w:lang w:val="zh-CN" w:eastAsia="zh-CN" w:bidi="ar-SA"/>
        </w:rPr>
        <w:t>驻村工作队人员购买人身意外伤害保险；巩固</w:t>
      </w:r>
      <w:r>
        <w:rPr>
          <w:rFonts w:hint="default" w:ascii="宋体" w:hAnsi="宋体" w:eastAsia="仿宋_GB2312" w:cs="仿宋_GB2312"/>
          <w:color w:val="auto"/>
          <w:kern w:val="0"/>
          <w:sz w:val="32"/>
          <w:szCs w:val="32"/>
          <w:highlight w:val="none"/>
          <w:lang w:val="zh-CN" w:eastAsia="zh-CN" w:bidi="ar-SA"/>
        </w:rPr>
        <w:t>贫困村</w:t>
      </w:r>
      <w:r>
        <w:rPr>
          <w:rFonts w:hint="eastAsia" w:ascii="宋体" w:hAnsi="宋体" w:eastAsia="仿宋_GB2312" w:cs="仿宋_GB2312"/>
          <w:color w:val="auto"/>
          <w:kern w:val="0"/>
          <w:sz w:val="32"/>
          <w:szCs w:val="32"/>
          <w:highlight w:val="none"/>
          <w:lang w:val="zh-CN" w:eastAsia="zh-CN" w:bidi="ar-SA"/>
        </w:rPr>
        <w:t>与非贫困村脱贫攻坚成果。</w:t>
      </w:r>
      <w:r>
        <w:rPr>
          <w:rFonts w:hint="eastAsia" w:ascii="宋体" w:hAnsi="宋体" w:eastAsia="仿宋_GB2312" w:cs="仿宋_GB2312"/>
          <w:color w:val="auto"/>
          <w:kern w:val="0"/>
          <w:sz w:val="32"/>
          <w:szCs w:val="32"/>
          <w:highlight w:val="none"/>
          <w:lang w:val="en-US" w:eastAsia="zh-CN" w:bidi="ar-SA"/>
        </w:rPr>
        <w:t xml:space="preserve">  </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outlineLvl w:val="9"/>
        <w:rPr>
          <w:rFonts w:hint="eastAsia" w:ascii="宋体" w:hAnsi="宋体" w:eastAsia="仿宋_GB2312" w:cs="仿宋_GB2312"/>
          <w:color w:val="auto"/>
          <w:kern w:val="0"/>
          <w:sz w:val="32"/>
          <w:szCs w:val="32"/>
          <w:highlight w:val="none"/>
          <w:lang w:val="zh-CN" w:eastAsia="zh-CN" w:bidi="ar-SA"/>
        </w:rPr>
      </w:pPr>
      <w:r>
        <w:rPr>
          <w:rFonts w:hint="eastAsia" w:ascii="宋体" w:hAnsi="宋体" w:eastAsia="仿宋_GB2312" w:cs="仿宋_GB2312"/>
          <w:color w:val="auto"/>
          <w:kern w:val="0"/>
          <w:sz w:val="32"/>
          <w:szCs w:val="32"/>
          <w:highlight w:val="none"/>
          <w:lang w:val="en-US" w:eastAsia="zh-CN" w:bidi="ar-SA"/>
        </w:rPr>
        <w:t>2.</w:t>
      </w:r>
      <w:r>
        <w:rPr>
          <w:rFonts w:hint="eastAsia" w:ascii="宋体" w:hAnsi="宋体" w:eastAsia="仿宋_GB2312" w:cs="仿宋_GB2312"/>
          <w:color w:val="auto"/>
          <w:kern w:val="0"/>
          <w:sz w:val="32"/>
          <w:szCs w:val="32"/>
          <w:highlight w:val="none"/>
          <w:lang w:val="zh-CN" w:eastAsia="zh-CN" w:bidi="ar-SA"/>
        </w:rPr>
        <w:t>分析评价申报内容是否与实际相符，申报目标是否合理可行。该目标制定根据实际情况出发，目标制定合理可行。</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outlineLvl w:val="9"/>
        <w:rPr>
          <w:rFonts w:hint="eastAsia" w:ascii="楷体_GB2312" w:hAnsi="楷体_GB2312" w:eastAsia="楷体_GB2312" w:cs="楷体_GB2312"/>
          <w:color w:val="auto"/>
          <w:kern w:val="0"/>
          <w:sz w:val="32"/>
          <w:szCs w:val="32"/>
          <w:highlight w:val="none"/>
          <w:lang w:val="zh-CN" w:eastAsia="zh-CN" w:bidi="ar-SA"/>
        </w:rPr>
      </w:pPr>
      <w:r>
        <w:rPr>
          <w:rFonts w:hint="eastAsia" w:ascii="楷体_GB2312" w:hAnsi="楷体_GB2312" w:eastAsia="楷体_GB2312" w:cs="楷体_GB2312"/>
          <w:color w:val="auto"/>
          <w:kern w:val="0"/>
          <w:sz w:val="32"/>
          <w:szCs w:val="32"/>
          <w:highlight w:val="none"/>
          <w:lang w:val="zh-CN" w:eastAsia="zh-CN" w:bidi="ar-SA"/>
        </w:rPr>
        <w:t>（三）项目自评步骤及方法</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outlineLvl w:val="9"/>
        <w:rPr>
          <w:rFonts w:hint="eastAsia" w:ascii="宋体" w:hAnsi="宋体" w:eastAsia="仿宋_GB2312" w:cs="仿宋_GB2312"/>
          <w:color w:val="auto"/>
          <w:kern w:val="0"/>
          <w:sz w:val="32"/>
          <w:szCs w:val="32"/>
          <w:highlight w:val="none"/>
          <w:lang w:val="en-US" w:eastAsia="zh-CN" w:bidi="ar-SA"/>
        </w:rPr>
      </w:pPr>
      <w:r>
        <w:rPr>
          <w:rFonts w:hint="eastAsia" w:ascii="宋体" w:hAnsi="宋体" w:eastAsia="仿宋_GB2312" w:cs="仿宋_GB2312"/>
          <w:color w:val="auto"/>
          <w:kern w:val="0"/>
          <w:sz w:val="32"/>
          <w:szCs w:val="32"/>
          <w:highlight w:val="none"/>
          <w:lang w:val="en-US" w:eastAsia="zh-CN" w:bidi="ar-SA"/>
        </w:rPr>
        <w:t>1.强化组织领导。为做好部门财政支出绩效评价自查工作，成立了由局主要领导为组长，党组成员、财务分管领导为副组长，财务人员为成员的乡村振兴项目支出绩效评价工作领导小组，由财务分管领导牵头负责部门财政支出绩效评价自查各项工作。</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outlineLvl w:val="9"/>
        <w:rPr>
          <w:rFonts w:hint="eastAsia" w:ascii="宋体" w:hAnsi="宋体" w:eastAsia="仿宋_GB2312" w:cs="仿宋_GB2312"/>
          <w:color w:val="auto"/>
          <w:kern w:val="0"/>
          <w:sz w:val="32"/>
          <w:szCs w:val="32"/>
          <w:highlight w:val="none"/>
          <w:lang w:val="zh-CN" w:eastAsia="zh-CN" w:bidi="ar-SA"/>
        </w:rPr>
      </w:pPr>
      <w:r>
        <w:rPr>
          <w:rFonts w:hint="eastAsia" w:ascii="宋体" w:hAnsi="宋体" w:eastAsia="仿宋_GB2312" w:cs="仿宋_GB2312"/>
          <w:color w:val="auto"/>
          <w:kern w:val="0"/>
          <w:sz w:val="32"/>
          <w:szCs w:val="32"/>
          <w:highlight w:val="none"/>
          <w:lang w:val="en-US" w:eastAsia="zh-CN" w:bidi="ar-SA"/>
        </w:rPr>
        <w:t>2.实施步骤分为两个阶段：一</w:t>
      </w:r>
      <w:r>
        <w:rPr>
          <w:rFonts w:hint="eastAsia" w:ascii="宋体" w:hAnsi="宋体" w:eastAsia="仿宋_GB2312" w:cs="仿宋_GB2312"/>
          <w:color w:val="auto"/>
          <w:kern w:val="0"/>
          <w:sz w:val="32"/>
          <w:szCs w:val="32"/>
          <w:highlight w:val="none"/>
          <w:lang w:val="zh-CN" w:eastAsia="zh-CN" w:bidi="ar-SA"/>
        </w:rPr>
        <w:t>是前期准备阶段。认真组织学习</w:t>
      </w:r>
      <w:r>
        <w:rPr>
          <w:rFonts w:hint="eastAsia" w:ascii="宋体" w:hAnsi="宋体" w:eastAsia="仿宋_GB2312" w:cs="仿宋_GB2312"/>
          <w:color w:val="auto"/>
          <w:kern w:val="0"/>
          <w:sz w:val="32"/>
          <w:szCs w:val="32"/>
          <w:highlight w:val="none"/>
          <w:lang w:val="en-US" w:eastAsia="zh-CN" w:bidi="ar-SA"/>
        </w:rPr>
        <w:t>市财政局《关于开展2022年市级部门绩效自评工作的通知》（广财绩</w:t>
      </w:r>
      <w:r>
        <w:rPr>
          <w:rFonts w:hint="eastAsia" w:ascii="宋体" w:hAnsi="宋体" w:eastAsia="仿宋_GB2312" w:cs="仿宋_GB2312"/>
          <w:color w:val="auto"/>
          <w:kern w:val="0"/>
          <w:sz w:val="32"/>
          <w:szCs w:val="32"/>
          <w:highlight w:val="none"/>
          <w:lang w:val="zh-CN" w:eastAsia="zh-CN" w:bidi="ar-SA"/>
        </w:rPr>
        <w:t>〔202</w:t>
      </w:r>
      <w:r>
        <w:rPr>
          <w:rFonts w:hint="eastAsia" w:ascii="宋体" w:hAnsi="宋体" w:eastAsia="仿宋_GB2312" w:cs="仿宋_GB2312"/>
          <w:color w:val="auto"/>
          <w:kern w:val="0"/>
          <w:sz w:val="32"/>
          <w:szCs w:val="32"/>
          <w:highlight w:val="none"/>
          <w:lang w:val="en-US" w:eastAsia="zh-CN" w:bidi="ar-SA"/>
        </w:rPr>
        <w:t>3</w:t>
      </w:r>
      <w:r>
        <w:rPr>
          <w:rFonts w:hint="eastAsia" w:ascii="宋体" w:hAnsi="宋体" w:eastAsia="仿宋_GB2312" w:cs="仿宋_GB2312"/>
          <w:color w:val="auto"/>
          <w:kern w:val="0"/>
          <w:sz w:val="32"/>
          <w:szCs w:val="32"/>
          <w:highlight w:val="none"/>
          <w:lang w:val="zh-CN" w:eastAsia="zh-CN" w:bidi="ar-SA"/>
        </w:rPr>
        <w:t>〕</w:t>
      </w:r>
      <w:r>
        <w:rPr>
          <w:rFonts w:hint="eastAsia" w:ascii="宋体" w:hAnsi="宋体" w:eastAsia="仿宋_GB2312" w:cs="仿宋_GB2312"/>
          <w:color w:val="auto"/>
          <w:kern w:val="0"/>
          <w:sz w:val="32"/>
          <w:szCs w:val="32"/>
          <w:highlight w:val="none"/>
          <w:lang w:val="en-US" w:eastAsia="zh-CN" w:bidi="ar-SA"/>
        </w:rPr>
        <w:t>5</w:t>
      </w:r>
      <w:r>
        <w:rPr>
          <w:rFonts w:hint="eastAsia" w:ascii="宋体" w:hAnsi="宋体" w:eastAsia="仿宋_GB2312" w:cs="仿宋_GB2312"/>
          <w:color w:val="auto"/>
          <w:kern w:val="0"/>
          <w:sz w:val="32"/>
          <w:szCs w:val="32"/>
          <w:highlight w:val="none"/>
          <w:lang w:val="zh-CN" w:eastAsia="zh-CN" w:bidi="ar-SA"/>
        </w:rPr>
        <w:t>号</w:t>
      </w:r>
      <w:r>
        <w:rPr>
          <w:rFonts w:hint="eastAsia" w:ascii="宋体" w:hAnsi="宋体" w:eastAsia="仿宋_GB2312" w:cs="仿宋_GB2312"/>
          <w:color w:val="auto"/>
          <w:kern w:val="0"/>
          <w:sz w:val="32"/>
          <w:szCs w:val="32"/>
          <w:highlight w:val="none"/>
          <w:lang w:val="en-US" w:eastAsia="zh-CN" w:bidi="ar-SA"/>
        </w:rPr>
        <w:t>）</w:t>
      </w:r>
      <w:r>
        <w:rPr>
          <w:rFonts w:hint="eastAsia" w:ascii="宋体" w:hAnsi="宋体" w:eastAsia="仿宋_GB2312" w:cs="仿宋_GB2312"/>
          <w:color w:val="auto"/>
          <w:kern w:val="0"/>
          <w:sz w:val="32"/>
          <w:szCs w:val="32"/>
          <w:highlight w:val="none"/>
          <w:lang w:val="zh-CN" w:eastAsia="zh-CN" w:bidi="ar-SA"/>
        </w:rPr>
        <w:t>文件精神和要求，提高对开展支出绩效评价工作的认识，统一思想，确保自查工作的顺利开展。二是自查工作阶段。对乡村振兴驻村帮扶项目资金收入、支出、预算编制、财务管理、项目资金使用投入产出等情况进行认真的自查，撰写《自查报告》。</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二、项目资金申报及使用情况</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outlineLvl w:val="9"/>
        <w:rPr>
          <w:rFonts w:hint="eastAsia" w:ascii="楷体_GB2312" w:hAnsi="楷体_GB2312" w:eastAsia="楷体_GB2312" w:cs="楷体_GB2312"/>
          <w:color w:val="auto"/>
          <w:kern w:val="0"/>
          <w:sz w:val="32"/>
          <w:szCs w:val="32"/>
          <w:highlight w:val="none"/>
          <w:lang w:val="zh-CN" w:eastAsia="zh-CN" w:bidi="ar-SA"/>
        </w:rPr>
      </w:pPr>
      <w:r>
        <w:rPr>
          <w:rFonts w:hint="eastAsia" w:ascii="楷体_GB2312" w:hAnsi="楷体_GB2312" w:eastAsia="楷体_GB2312" w:cs="楷体_GB2312"/>
          <w:color w:val="auto"/>
          <w:kern w:val="0"/>
          <w:sz w:val="32"/>
          <w:szCs w:val="32"/>
          <w:highlight w:val="none"/>
          <w:lang w:val="zh-CN" w:eastAsia="zh-CN" w:bidi="ar-SA"/>
        </w:rPr>
        <w:t>（一）项目资金申报及批复情况</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outlineLvl w:val="9"/>
        <w:rPr>
          <w:rFonts w:hint="eastAsia" w:ascii="宋体" w:hAnsi="宋体" w:eastAsia="仿宋_GB2312" w:cs="仿宋_GB2312"/>
          <w:color w:val="auto"/>
          <w:kern w:val="0"/>
          <w:sz w:val="32"/>
          <w:szCs w:val="32"/>
          <w:highlight w:val="none"/>
          <w:lang w:val="en-US" w:eastAsia="zh-CN" w:bidi="ar-SA"/>
        </w:rPr>
      </w:pPr>
      <w:r>
        <w:rPr>
          <w:rFonts w:hint="eastAsia" w:ascii="宋体" w:hAnsi="宋体" w:eastAsia="仿宋_GB2312" w:cs="仿宋_GB2312"/>
          <w:color w:val="auto"/>
          <w:kern w:val="0"/>
          <w:sz w:val="32"/>
          <w:szCs w:val="32"/>
          <w:highlight w:val="none"/>
          <w:lang w:val="en-US" w:eastAsia="zh-CN" w:bidi="ar-SA"/>
        </w:rPr>
        <w:t>2022年我单位共申报乡村振兴项目资金5.46万元，共批复该项目资金5.46万元。</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outlineLvl w:val="9"/>
        <w:rPr>
          <w:rFonts w:hint="eastAsia" w:ascii="楷体_GB2312" w:hAnsi="楷体_GB2312" w:eastAsia="楷体_GB2312" w:cs="楷体_GB2312"/>
          <w:color w:val="auto"/>
          <w:kern w:val="0"/>
          <w:sz w:val="32"/>
          <w:szCs w:val="32"/>
          <w:highlight w:val="none"/>
          <w:lang w:val="zh-CN" w:eastAsia="zh-CN" w:bidi="ar-SA"/>
        </w:rPr>
      </w:pPr>
      <w:r>
        <w:rPr>
          <w:rFonts w:hint="eastAsia" w:ascii="楷体_GB2312" w:hAnsi="楷体_GB2312" w:eastAsia="楷体_GB2312" w:cs="楷体_GB2312"/>
          <w:color w:val="auto"/>
          <w:kern w:val="0"/>
          <w:sz w:val="32"/>
          <w:szCs w:val="32"/>
          <w:highlight w:val="none"/>
          <w:lang w:val="zh-CN" w:eastAsia="zh-CN" w:bidi="ar-SA"/>
        </w:rPr>
        <w:t>（二）资金计划、到位及使用情况</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outlineLvl w:val="9"/>
        <w:rPr>
          <w:rFonts w:hint="eastAsia" w:ascii="宋体" w:hAnsi="宋体" w:eastAsia="仿宋_GB2312" w:cs="仿宋_GB2312"/>
          <w:color w:val="auto"/>
          <w:kern w:val="0"/>
          <w:sz w:val="32"/>
          <w:szCs w:val="32"/>
          <w:highlight w:val="none"/>
          <w:lang w:val="en-US" w:eastAsia="zh-CN" w:bidi="ar-SA"/>
        </w:rPr>
      </w:pPr>
      <w:r>
        <w:rPr>
          <w:rFonts w:hint="eastAsia" w:ascii="宋体" w:hAnsi="宋体" w:eastAsia="仿宋_GB2312" w:cs="仿宋_GB2312"/>
          <w:color w:val="auto"/>
          <w:kern w:val="0"/>
          <w:sz w:val="32"/>
          <w:szCs w:val="32"/>
          <w:highlight w:val="none"/>
          <w:lang w:val="zh-CN" w:eastAsia="zh-CN" w:bidi="ar-SA"/>
        </w:rPr>
        <w:t>1</w:t>
      </w:r>
      <w:r>
        <w:rPr>
          <w:rFonts w:hint="eastAsia" w:ascii="宋体" w:hAnsi="宋体" w:eastAsia="仿宋_GB2312" w:cs="仿宋_GB2312"/>
          <w:color w:val="auto"/>
          <w:kern w:val="0"/>
          <w:sz w:val="32"/>
          <w:szCs w:val="32"/>
          <w:highlight w:val="none"/>
          <w:lang w:val="en-US" w:eastAsia="zh-CN" w:bidi="ar-SA"/>
        </w:rPr>
        <w:t>.</w:t>
      </w:r>
      <w:r>
        <w:rPr>
          <w:rFonts w:hint="eastAsia" w:ascii="宋体" w:hAnsi="宋体" w:eastAsia="仿宋_GB2312" w:cs="仿宋_GB2312"/>
          <w:color w:val="auto"/>
          <w:kern w:val="0"/>
          <w:sz w:val="32"/>
          <w:szCs w:val="32"/>
          <w:highlight w:val="none"/>
          <w:lang w:val="zh-CN" w:eastAsia="zh-CN" w:bidi="ar-SA"/>
        </w:rPr>
        <w:t>资金计划。全年共计划使用该项目资金</w:t>
      </w:r>
      <w:r>
        <w:rPr>
          <w:rFonts w:hint="eastAsia" w:ascii="宋体" w:hAnsi="宋体" w:eastAsia="仿宋_GB2312" w:cs="仿宋_GB2312"/>
          <w:color w:val="auto"/>
          <w:kern w:val="0"/>
          <w:sz w:val="32"/>
          <w:szCs w:val="32"/>
          <w:highlight w:val="none"/>
          <w:lang w:val="en-US" w:eastAsia="zh-CN" w:bidi="ar-SA"/>
        </w:rPr>
        <w:t>5.46万元。</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outlineLvl w:val="9"/>
        <w:rPr>
          <w:rFonts w:hint="eastAsia" w:ascii="宋体" w:hAnsi="宋体" w:eastAsia="仿宋_GB2312" w:cs="仿宋_GB2312"/>
          <w:color w:val="auto"/>
          <w:kern w:val="0"/>
          <w:sz w:val="32"/>
          <w:szCs w:val="32"/>
          <w:highlight w:val="none"/>
          <w:lang w:val="zh-CN" w:eastAsia="zh-CN" w:bidi="ar-SA"/>
        </w:rPr>
      </w:pPr>
      <w:r>
        <w:rPr>
          <w:rFonts w:hint="eastAsia" w:ascii="宋体" w:hAnsi="宋体" w:eastAsia="仿宋_GB2312" w:cs="仿宋_GB2312"/>
          <w:color w:val="auto"/>
          <w:kern w:val="0"/>
          <w:sz w:val="32"/>
          <w:szCs w:val="32"/>
          <w:highlight w:val="none"/>
          <w:lang w:val="zh-CN" w:eastAsia="zh-CN" w:bidi="ar-SA"/>
        </w:rPr>
        <w:t>2</w:t>
      </w:r>
      <w:r>
        <w:rPr>
          <w:rFonts w:hint="eastAsia" w:ascii="宋体" w:hAnsi="宋体" w:eastAsia="仿宋_GB2312" w:cs="仿宋_GB2312"/>
          <w:color w:val="auto"/>
          <w:kern w:val="0"/>
          <w:sz w:val="32"/>
          <w:szCs w:val="32"/>
          <w:highlight w:val="none"/>
          <w:lang w:val="en-US" w:eastAsia="zh-CN" w:bidi="ar-SA"/>
        </w:rPr>
        <w:t>.</w:t>
      </w:r>
      <w:r>
        <w:rPr>
          <w:rFonts w:hint="eastAsia" w:ascii="宋体" w:hAnsi="宋体" w:eastAsia="仿宋_GB2312" w:cs="仿宋_GB2312"/>
          <w:color w:val="auto"/>
          <w:kern w:val="0"/>
          <w:sz w:val="32"/>
          <w:szCs w:val="32"/>
          <w:highlight w:val="none"/>
          <w:lang w:val="zh-CN" w:eastAsia="zh-CN" w:bidi="ar-SA"/>
        </w:rPr>
        <w:t>资金到位。全年到位资金</w:t>
      </w:r>
      <w:r>
        <w:rPr>
          <w:rFonts w:hint="eastAsia" w:ascii="宋体" w:hAnsi="宋体" w:eastAsia="仿宋_GB2312" w:cs="仿宋_GB2312"/>
          <w:color w:val="auto"/>
          <w:kern w:val="0"/>
          <w:sz w:val="32"/>
          <w:szCs w:val="32"/>
          <w:highlight w:val="none"/>
          <w:lang w:val="en-US" w:eastAsia="zh-CN" w:bidi="ar-SA"/>
        </w:rPr>
        <w:t>5.46万元</w:t>
      </w:r>
      <w:r>
        <w:rPr>
          <w:rFonts w:hint="eastAsia" w:ascii="宋体" w:hAnsi="宋体" w:eastAsia="仿宋_GB2312" w:cs="仿宋_GB2312"/>
          <w:color w:val="auto"/>
          <w:kern w:val="0"/>
          <w:sz w:val="32"/>
          <w:szCs w:val="32"/>
          <w:highlight w:val="none"/>
          <w:lang w:val="zh-CN" w:eastAsia="zh-CN" w:bidi="ar-SA"/>
        </w:rPr>
        <w:t>。</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outlineLvl w:val="9"/>
        <w:rPr>
          <w:rFonts w:hint="eastAsia" w:ascii="宋体" w:hAnsi="宋体" w:eastAsia="仿宋_GB2312" w:cs="仿宋_GB2312"/>
          <w:color w:val="auto"/>
          <w:kern w:val="0"/>
          <w:sz w:val="32"/>
          <w:szCs w:val="32"/>
          <w:highlight w:val="none"/>
          <w:lang w:val="zh-CN" w:eastAsia="zh-CN" w:bidi="ar-SA"/>
        </w:rPr>
      </w:pPr>
      <w:r>
        <w:rPr>
          <w:rFonts w:hint="eastAsia" w:ascii="宋体" w:hAnsi="宋体" w:eastAsia="仿宋_GB2312" w:cs="仿宋_GB2312"/>
          <w:color w:val="auto"/>
          <w:kern w:val="0"/>
          <w:sz w:val="32"/>
          <w:szCs w:val="32"/>
          <w:highlight w:val="none"/>
          <w:lang w:val="zh-CN" w:eastAsia="zh-CN" w:bidi="ar-SA"/>
        </w:rPr>
        <w:t>3</w:t>
      </w:r>
      <w:r>
        <w:rPr>
          <w:rFonts w:hint="eastAsia" w:ascii="宋体" w:hAnsi="宋体" w:eastAsia="仿宋_GB2312" w:cs="仿宋_GB2312"/>
          <w:color w:val="auto"/>
          <w:kern w:val="0"/>
          <w:sz w:val="32"/>
          <w:szCs w:val="32"/>
          <w:highlight w:val="none"/>
          <w:lang w:val="en-US" w:eastAsia="zh-CN" w:bidi="ar-SA"/>
        </w:rPr>
        <w:t>.</w:t>
      </w:r>
      <w:r>
        <w:rPr>
          <w:rFonts w:hint="eastAsia" w:ascii="宋体" w:hAnsi="宋体" w:eastAsia="仿宋_GB2312" w:cs="仿宋_GB2312"/>
          <w:color w:val="auto"/>
          <w:kern w:val="0"/>
          <w:sz w:val="32"/>
          <w:szCs w:val="32"/>
          <w:highlight w:val="none"/>
          <w:lang w:val="zh-CN" w:eastAsia="zh-CN" w:bidi="ar-SA"/>
        </w:rPr>
        <w:t>资金使用。主要用于保障驻村工作队履行</w:t>
      </w:r>
      <w:r>
        <w:rPr>
          <w:rFonts w:hint="eastAsia" w:ascii="宋体" w:hAnsi="宋体" w:eastAsia="仿宋_GB2312" w:cs="仿宋_GB2312"/>
          <w:color w:val="auto"/>
          <w:kern w:val="0"/>
          <w:sz w:val="32"/>
          <w:szCs w:val="32"/>
          <w:highlight w:val="none"/>
          <w:lang w:val="en-US" w:eastAsia="zh-CN" w:bidi="ar-SA"/>
        </w:rPr>
        <w:t>职责任务、</w:t>
      </w:r>
      <w:r>
        <w:rPr>
          <w:rFonts w:hint="eastAsia" w:ascii="宋体" w:hAnsi="宋体" w:eastAsia="仿宋_GB2312" w:cs="仿宋_GB2312"/>
          <w:color w:val="auto"/>
          <w:kern w:val="0"/>
          <w:sz w:val="32"/>
          <w:szCs w:val="32"/>
          <w:highlight w:val="none"/>
          <w:lang w:val="zh-CN" w:eastAsia="zh-CN" w:bidi="ar-SA"/>
        </w:rPr>
        <w:t>购买人身意外伤害保险等，全年共支出该项目资金</w:t>
      </w:r>
      <w:r>
        <w:rPr>
          <w:rFonts w:hint="eastAsia" w:ascii="宋体" w:hAnsi="宋体" w:eastAsia="仿宋_GB2312" w:cs="仿宋_GB2312"/>
          <w:color w:val="auto"/>
          <w:kern w:val="0"/>
          <w:sz w:val="32"/>
          <w:szCs w:val="32"/>
          <w:highlight w:val="none"/>
          <w:lang w:val="en-US" w:eastAsia="zh-CN" w:bidi="ar-SA"/>
        </w:rPr>
        <w:t>5.46万元，预算执行率100%。在资金支付过程中严格按照该项目使用要求进行资金拨付，资金支付合法合规，与预算相符，无挤占、超标准使用该项目资金的情况。</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outlineLvl w:val="9"/>
        <w:rPr>
          <w:rFonts w:hint="eastAsia" w:ascii="楷体_GB2312" w:hAnsi="楷体_GB2312" w:eastAsia="楷体_GB2312" w:cs="楷体_GB2312"/>
          <w:color w:val="auto"/>
          <w:kern w:val="0"/>
          <w:sz w:val="32"/>
          <w:szCs w:val="32"/>
          <w:highlight w:val="none"/>
          <w:lang w:val="zh-CN" w:eastAsia="zh-CN" w:bidi="ar-SA"/>
        </w:rPr>
      </w:pPr>
      <w:r>
        <w:rPr>
          <w:rFonts w:hint="eastAsia" w:ascii="楷体_GB2312" w:hAnsi="楷体_GB2312" w:eastAsia="楷体_GB2312" w:cs="楷体_GB2312"/>
          <w:color w:val="auto"/>
          <w:kern w:val="0"/>
          <w:sz w:val="32"/>
          <w:szCs w:val="32"/>
          <w:highlight w:val="none"/>
          <w:lang w:val="zh-CN" w:eastAsia="zh-CN" w:bidi="ar-SA"/>
        </w:rPr>
        <w:t>（三）项目财务管理情况</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outlineLvl w:val="9"/>
        <w:rPr>
          <w:rFonts w:hint="eastAsia" w:ascii="宋体" w:hAnsi="宋体" w:eastAsia="仿宋_GB2312" w:cs="仿宋_GB2312"/>
          <w:color w:val="auto"/>
          <w:kern w:val="0"/>
          <w:sz w:val="32"/>
          <w:szCs w:val="32"/>
          <w:highlight w:val="none"/>
          <w:lang w:val="zh-CN" w:eastAsia="zh-CN" w:bidi="ar-SA"/>
        </w:rPr>
      </w:pPr>
      <w:r>
        <w:rPr>
          <w:rFonts w:hint="eastAsia" w:ascii="宋体" w:hAnsi="宋体" w:eastAsia="仿宋_GB2312" w:cs="仿宋_GB2312"/>
          <w:color w:val="auto"/>
          <w:kern w:val="0"/>
          <w:sz w:val="32"/>
          <w:szCs w:val="32"/>
          <w:highlight w:val="none"/>
          <w:lang w:val="zh-CN" w:eastAsia="zh-CN" w:bidi="ar-SA"/>
        </w:rPr>
        <w:t>我单位严格执行财务管理制度，按照“专款专用，注重实效”的原则进行管理。严格执行</w:t>
      </w:r>
      <w:r>
        <w:rPr>
          <w:rFonts w:hint="eastAsia" w:ascii="宋体" w:hAnsi="宋体" w:eastAsia="仿宋_GB2312" w:cs="仿宋_GB2312"/>
          <w:color w:val="auto"/>
          <w:kern w:val="0"/>
          <w:sz w:val="32"/>
          <w:szCs w:val="32"/>
          <w:highlight w:val="none"/>
          <w:lang w:val="en-US" w:eastAsia="zh-CN" w:bidi="ar-SA"/>
        </w:rPr>
        <w:t>财务</w:t>
      </w:r>
      <w:r>
        <w:rPr>
          <w:rFonts w:hint="eastAsia" w:ascii="宋体" w:hAnsi="宋体" w:eastAsia="仿宋_GB2312" w:cs="仿宋_GB2312"/>
          <w:color w:val="auto"/>
          <w:kern w:val="0"/>
          <w:sz w:val="32"/>
          <w:szCs w:val="32"/>
          <w:highlight w:val="none"/>
          <w:lang w:val="zh-CN" w:eastAsia="zh-CN" w:bidi="ar-SA"/>
        </w:rPr>
        <w:t>管理及资金支付制度，从制度上为规范资金管理提供保障，促进了资金使用管理的规范性、安全性和有效性。</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黑体" w:hAnsi="黑体" w:eastAsia="黑体" w:cs="黑体"/>
          <w:color w:val="auto"/>
          <w:kern w:val="0"/>
          <w:sz w:val="32"/>
          <w:szCs w:val="32"/>
          <w:highlight w:val="none"/>
          <w:lang w:val="zh-CN" w:eastAsia="zh-CN" w:bidi="ar-SA"/>
        </w:rPr>
      </w:pPr>
      <w:r>
        <w:rPr>
          <w:rFonts w:hint="eastAsia" w:ascii="黑体" w:hAnsi="黑体" w:eastAsia="黑体" w:cs="黑体"/>
          <w:color w:val="auto"/>
          <w:kern w:val="0"/>
          <w:sz w:val="32"/>
          <w:szCs w:val="32"/>
          <w:highlight w:val="none"/>
          <w:lang w:val="en-US" w:eastAsia="zh-CN" w:bidi="ar-SA"/>
        </w:rPr>
        <w:t>三、项目实施及管理情况</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outlineLvl w:val="9"/>
        <w:rPr>
          <w:rFonts w:hint="eastAsia" w:ascii="宋体" w:hAnsi="宋体" w:eastAsia="仿宋_GB2312" w:cs="仿宋_GB2312"/>
          <w:color w:val="auto"/>
          <w:kern w:val="0"/>
          <w:sz w:val="32"/>
          <w:szCs w:val="32"/>
          <w:highlight w:val="none"/>
          <w:lang w:val="zh-CN" w:eastAsia="zh-CN" w:bidi="ar-SA"/>
        </w:rPr>
      </w:pPr>
      <w:r>
        <w:rPr>
          <w:rFonts w:hint="eastAsia" w:ascii="楷体_GB2312" w:hAnsi="楷体_GB2312" w:eastAsia="楷体_GB2312" w:cs="楷体_GB2312"/>
          <w:color w:val="auto"/>
          <w:kern w:val="0"/>
          <w:sz w:val="32"/>
          <w:szCs w:val="32"/>
          <w:highlight w:val="none"/>
          <w:lang w:val="zh-CN" w:eastAsia="zh-CN" w:bidi="ar-SA"/>
        </w:rPr>
        <w:t>（一）项目组织架构及实施流程。</w:t>
      </w:r>
      <w:r>
        <w:rPr>
          <w:rFonts w:hint="eastAsia" w:ascii="宋体" w:hAnsi="宋体" w:eastAsia="仿宋_GB2312" w:cs="仿宋_GB2312"/>
          <w:color w:val="auto"/>
          <w:kern w:val="0"/>
          <w:sz w:val="32"/>
          <w:szCs w:val="32"/>
          <w:highlight w:val="none"/>
          <w:lang w:val="zh-CN" w:eastAsia="zh-CN" w:bidi="ar-SA"/>
        </w:rPr>
        <w:t>根据财务内控管理，制定</w:t>
      </w:r>
      <w:r>
        <w:rPr>
          <w:rFonts w:hint="default" w:ascii="宋体" w:hAnsi="宋体" w:eastAsia="仿宋_GB2312" w:cs="仿宋_GB2312"/>
          <w:color w:val="auto"/>
          <w:kern w:val="0"/>
          <w:sz w:val="32"/>
          <w:szCs w:val="32"/>
          <w:highlight w:val="none"/>
          <w:lang w:val="en-US" w:eastAsia="zh-CN" w:bidi="ar-SA"/>
        </w:rPr>
        <w:t>《市</w:t>
      </w:r>
      <w:r>
        <w:rPr>
          <w:rFonts w:hint="eastAsia" w:ascii="宋体" w:hAnsi="宋体" w:eastAsia="仿宋_GB2312" w:cs="仿宋_GB2312"/>
          <w:color w:val="auto"/>
          <w:kern w:val="0"/>
          <w:sz w:val="32"/>
          <w:szCs w:val="32"/>
          <w:highlight w:val="none"/>
          <w:lang w:val="en-US" w:eastAsia="zh-CN" w:bidi="ar-SA"/>
        </w:rPr>
        <w:t>经济合作局</w:t>
      </w:r>
      <w:r>
        <w:rPr>
          <w:rFonts w:hint="default" w:ascii="宋体" w:hAnsi="宋体" w:eastAsia="仿宋_GB2312" w:cs="仿宋_GB2312"/>
          <w:color w:val="auto"/>
          <w:kern w:val="0"/>
          <w:sz w:val="32"/>
          <w:szCs w:val="32"/>
          <w:highlight w:val="none"/>
          <w:lang w:val="en-US" w:eastAsia="zh-CN" w:bidi="ar-SA"/>
        </w:rPr>
        <w:t>财务管理办法》等管理制度，强化对</w:t>
      </w:r>
      <w:r>
        <w:rPr>
          <w:rFonts w:hint="eastAsia" w:ascii="宋体" w:hAnsi="宋体" w:eastAsia="仿宋_GB2312" w:cs="仿宋_GB2312"/>
          <w:color w:val="auto"/>
          <w:kern w:val="0"/>
          <w:sz w:val="32"/>
          <w:szCs w:val="32"/>
          <w:highlight w:val="none"/>
          <w:lang w:val="zh-CN" w:eastAsia="zh-CN" w:bidi="ar-SA"/>
        </w:rPr>
        <w:t>乡村振兴驻村帮扶</w:t>
      </w:r>
      <w:r>
        <w:rPr>
          <w:rFonts w:hint="eastAsia" w:ascii="宋体" w:hAnsi="宋体" w:eastAsia="仿宋_GB2312" w:cs="仿宋_GB2312"/>
          <w:color w:val="auto"/>
          <w:kern w:val="0"/>
          <w:sz w:val="32"/>
          <w:szCs w:val="32"/>
          <w:highlight w:val="none"/>
          <w:lang w:val="en-US" w:eastAsia="zh-CN" w:bidi="ar-SA"/>
        </w:rPr>
        <w:t>项目资金</w:t>
      </w:r>
      <w:r>
        <w:rPr>
          <w:rFonts w:hint="default" w:ascii="宋体" w:hAnsi="宋体" w:eastAsia="仿宋_GB2312" w:cs="仿宋_GB2312"/>
          <w:color w:val="auto"/>
          <w:kern w:val="0"/>
          <w:sz w:val="32"/>
          <w:szCs w:val="32"/>
          <w:highlight w:val="none"/>
          <w:lang w:val="en-US" w:eastAsia="zh-CN" w:bidi="ar-SA"/>
        </w:rPr>
        <w:t>的管理。</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outlineLvl w:val="9"/>
        <w:rPr>
          <w:rFonts w:hint="eastAsia" w:ascii="宋体" w:hAnsi="宋体" w:eastAsia="仿宋_GB2312" w:cs="仿宋_GB2312"/>
          <w:color w:val="auto"/>
          <w:kern w:val="0"/>
          <w:sz w:val="32"/>
          <w:szCs w:val="32"/>
          <w:highlight w:val="none"/>
          <w:lang w:val="zh-CN" w:eastAsia="zh-CN" w:bidi="ar-SA"/>
        </w:rPr>
      </w:pPr>
      <w:r>
        <w:rPr>
          <w:rFonts w:hint="eastAsia" w:ascii="楷体_GB2312" w:hAnsi="楷体_GB2312" w:eastAsia="楷体_GB2312" w:cs="楷体_GB2312"/>
          <w:color w:val="auto"/>
          <w:kern w:val="0"/>
          <w:sz w:val="32"/>
          <w:szCs w:val="32"/>
          <w:highlight w:val="none"/>
          <w:lang w:val="zh-CN" w:eastAsia="zh-CN" w:bidi="ar-SA"/>
        </w:rPr>
        <w:t>（二）项目管理情况。</w:t>
      </w:r>
      <w:r>
        <w:rPr>
          <w:rFonts w:hint="eastAsia" w:ascii="宋体" w:hAnsi="宋体" w:eastAsia="仿宋_GB2312" w:cs="仿宋_GB2312"/>
          <w:color w:val="auto"/>
          <w:kern w:val="0"/>
          <w:sz w:val="32"/>
          <w:szCs w:val="32"/>
          <w:highlight w:val="none"/>
          <w:lang w:val="zh-CN" w:eastAsia="zh-CN" w:bidi="ar-SA"/>
        </w:rPr>
        <w:t>根据相关财务</w:t>
      </w:r>
      <w:r>
        <w:rPr>
          <w:rFonts w:hint="default" w:ascii="宋体" w:hAnsi="宋体" w:eastAsia="仿宋_GB2312" w:cs="仿宋_GB2312"/>
          <w:color w:val="auto"/>
          <w:kern w:val="0"/>
          <w:sz w:val="32"/>
          <w:szCs w:val="32"/>
          <w:highlight w:val="none"/>
          <w:lang w:val="en-US" w:eastAsia="zh-CN" w:bidi="ar-SA"/>
        </w:rPr>
        <w:t>管理制度</w:t>
      </w:r>
      <w:r>
        <w:rPr>
          <w:rFonts w:hint="eastAsia" w:ascii="宋体" w:hAnsi="宋体" w:eastAsia="仿宋_GB2312" w:cs="仿宋_GB2312"/>
          <w:color w:val="auto"/>
          <w:kern w:val="0"/>
          <w:sz w:val="32"/>
          <w:szCs w:val="32"/>
          <w:highlight w:val="none"/>
          <w:lang w:val="en-US" w:eastAsia="zh-CN" w:bidi="ar-SA"/>
        </w:rPr>
        <w:t>及中共广元市经济合作和外事局机关委员会《关于进一步加强脱贫村、重点乡村驻村帮扶工作的通知》（广经合外事局机关党委</w:t>
      </w:r>
      <w:r>
        <w:rPr>
          <w:rFonts w:hint="eastAsia" w:ascii="宋体" w:hAnsi="宋体" w:eastAsia="仿宋_GB2312" w:cs="仿宋_GB2312"/>
          <w:color w:val="auto"/>
          <w:kern w:val="0"/>
          <w:sz w:val="32"/>
          <w:szCs w:val="32"/>
          <w:highlight w:val="none"/>
          <w:lang w:val="zh-CN" w:eastAsia="zh-CN" w:bidi="ar-SA"/>
        </w:rPr>
        <w:t>〔</w:t>
      </w:r>
      <w:r>
        <w:rPr>
          <w:rFonts w:hint="eastAsia" w:ascii="宋体" w:hAnsi="宋体" w:eastAsia="仿宋_GB2312" w:cs="仿宋_GB2312"/>
          <w:color w:val="auto"/>
          <w:kern w:val="0"/>
          <w:sz w:val="32"/>
          <w:szCs w:val="32"/>
          <w:highlight w:val="none"/>
          <w:lang w:val="en-US" w:eastAsia="zh-CN" w:bidi="ar-SA"/>
        </w:rPr>
        <w:t>2021</w:t>
      </w:r>
      <w:r>
        <w:rPr>
          <w:rFonts w:hint="eastAsia" w:ascii="宋体" w:hAnsi="宋体" w:eastAsia="仿宋_GB2312" w:cs="仿宋_GB2312"/>
          <w:color w:val="auto"/>
          <w:kern w:val="0"/>
          <w:sz w:val="32"/>
          <w:szCs w:val="32"/>
          <w:highlight w:val="none"/>
          <w:lang w:val="zh-CN" w:eastAsia="zh-CN" w:bidi="ar-SA"/>
        </w:rPr>
        <w:t>〕</w:t>
      </w:r>
      <w:r>
        <w:rPr>
          <w:rFonts w:hint="eastAsia" w:ascii="宋体" w:hAnsi="宋体" w:eastAsia="仿宋_GB2312" w:cs="仿宋_GB2312"/>
          <w:color w:val="auto"/>
          <w:kern w:val="0"/>
          <w:sz w:val="32"/>
          <w:szCs w:val="32"/>
          <w:highlight w:val="none"/>
          <w:lang w:val="en-US" w:eastAsia="zh-CN" w:bidi="ar-SA"/>
        </w:rPr>
        <w:t>6号）、中共四川省委组织部《关于印发四川省驻村第一书记和工作队管理办法的通知》（川组通</w:t>
      </w:r>
      <w:r>
        <w:rPr>
          <w:rFonts w:hint="eastAsia" w:ascii="宋体" w:hAnsi="宋体" w:eastAsia="仿宋_GB2312" w:cs="仿宋_GB2312"/>
          <w:color w:val="auto"/>
          <w:kern w:val="0"/>
          <w:sz w:val="32"/>
          <w:szCs w:val="32"/>
          <w:highlight w:val="none"/>
          <w:lang w:val="zh-CN" w:eastAsia="zh-CN" w:bidi="ar-SA"/>
        </w:rPr>
        <w:t>〔</w:t>
      </w:r>
      <w:r>
        <w:rPr>
          <w:rFonts w:hint="eastAsia" w:ascii="宋体" w:hAnsi="宋体" w:eastAsia="仿宋_GB2312" w:cs="仿宋_GB2312"/>
          <w:color w:val="auto"/>
          <w:kern w:val="0"/>
          <w:sz w:val="32"/>
          <w:szCs w:val="32"/>
          <w:highlight w:val="none"/>
          <w:lang w:val="en-US" w:eastAsia="zh-CN" w:bidi="ar-SA"/>
        </w:rPr>
        <w:t>2021</w:t>
      </w:r>
      <w:r>
        <w:rPr>
          <w:rFonts w:hint="eastAsia" w:ascii="宋体" w:hAnsi="宋体" w:eastAsia="仿宋_GB2312" w:cs="仿宋_GB2312"/>
          <w:color w:val="auto"/>
          <w:kern w:val="0"/>
          <w:sz w:val="32"/>
          <w:szCs w:val="32"/>
          <w:highlight w:val="none"/>
          <w:lang w:val="zh-CN" w:eastAsia="zh-CN" w:bidi="ar-SA"/>
        </w:rPr>
        <w:t>〕</w:t>
      </w:r>
      <w:r>
        <w:rPr>
          <w:rFonts w:hint="eastAsia" w:ascii="宋体" w:hAnsi="宋体" w:eastAsia="仿宋_GB2312" w:cs="仿宋_GB2312"/>
          <w:color w:val="auto"/>
          <w:kern w:val="0"/>
          <w:sz w:val="32"/>
          <w:szCs w:val="32"/>
          <w:highlight w:val="none"/>
          <w:lang w:val="en-US" w:eastAsia="zh-CN" w:bidi="ar-SA"/>
        </w:rPr>
        <w:t>75号）要求</w:t>
      </w:r>
      <w:r>
        <w:rPr>
          <w:rFonts w:hint="default" w:ascii="宋体" w:hAnsi="宋体" w:eastAsia="仿宋_GB2312" w:cs="仿宋_GB2312"/>
          <w:color w:val="auto"/>
          <w:kern w:val="0"/>
          <w:sz w:val="32"/>
          <w:szCs w:val="32"/>
          <w:highlight w:val="none"/>
          <w:lang w:val="en-US" w:eastAsia="zh-CN" w:bidi="ar-SA"/>
        </w:rPr>
        <w:t>，强化对</w:t>
      </w:r>
      <w:r>
        <w:rPr>
          <w:rFonts w:hint="eastAsia" w:ascii="宋体" w:hAnsi="宋体" w:eastAsia="仿宋_GB2312" w:cs="仿宋_GB2312"/>
          <w:color w:val="auto"/>
          <w:kern w:val="0"/>
          <w:sz w:val="32"/>
          <w:szCs w:val="32"/>
          <w:highlight w:val="none"/>
          <w:lang w:val="zh-CN" w:eastAsia="zh-CN" w:bidi="ar-SA"/>
        </w:rPr>
        <w:t>脱贫攻坚驻村帮扶</w:t>
      </w:r>
      <w:r>
        <w:rPr>
          <w:rFonts w:hint="eastAsia" w:ascii="宋体" w:hAnsi="宋体" w:eastAsia="仿宋_GB2312" w:cs="仿宋_GB2312"/>
          <w:color w:val="auto"/>
          <w:kern w:val="0"/>
          <w:sz w:val="32"/>
          <w:szCs w:val="32"/>
          <w:highlight w:val="none"/>
          <w:lang w:val="en-US" w:eastAsia="zh-CN" w:bidi="ar-SA"/>
        </w:rPr>
        <w:t>项目资金</w:t>
      </w:r>
      <w:r>
        <w:rPr>
          <w:rFonts w:hint="default" w:ascii="宋体" w:hAnsi="宋体" w:eastAsia="仿宋_GB2312" w:cs="仿宋_GB2312"/>
          <w:color w:val="auto"/>
          <w:kern w:val="0"/>
          <w:sz w:val="32"/>
          <w:szCs w:val="32"/>
          <w:highlight w:val="none"/>
          <w:lang w:val="en-US" w:eastAsia="zh-CN" w:bidi="ar-SA"/>
        </w:rPr>
        <w:t>的管理</w:t>
      </w:r>
      <w:r>
        <w:rPr>
          <w:rFonts w:hint="eastAsia" w:ascii="宋体" w:hAnsi="宋体" w:eastAsia="仿宋_GB2312" w:cs="仿宋_GB2312"/>
          <w:color w:val="auto"/>
          <w:kern w:val="0"/>
          <w:sz w:val="32"/>
          <w:szCs w:val="32"/>
          <w:highlight w:val="none"/>
          <w:lang w:val="en-US" w:eastAsia="zh-CN" w:bidi="ar-SA"/>
        </w:rPr>
        <w:t>，保证专款专用，保证项目高效实施。</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outlineLvl w:val="9"/>
        <w:rPr>
          <w:rFonts w:hint="eastAsia" w:ascii="宋体" w:hAnsi="宋体" w:eastAsia="仿宋_GB2312" w:cs="仿宋_GB2312"/>
          <w:color w:val="auto"/>
          <w:kern w:val="0"/>
          <w:sz w:val="32"/>
          <w:szCs w:val="32"/>
          <w:highlight w:val="none"/>
          <w:lang w:val="zh-CN" w:eastAsia="zh-CN" w:bidi="ar-SA"/>
        </w:rPr>
      </w:pPr>
      <w:r>
        <w:rPr>
          <w:rFonts w:hint="eastAsia" w:ascii="楷体_GB2312" w:hAnsi="楷体_GB2312" w:eastAsia="楷体_GB2312" w:cs="楷体_GB2312"/>
          <w:color w:val="auto"/>
          <w:kern w:val="0"/>
          <w:sz w:val="32"/>
          <w:szCs w:val="32"/>
          <w:highlight w:val="none"/>
          <w:lang w:val="zh-CN" w:eastAsia="zh-CN" w:bidi="ar-SA"/>
        </w:rPr>
        <w:t>（三）项目监管情况。</w:t>
      </w:r>
      <w:r>
        <w:rPr>
          <w:rFonts w:hint="eastAsia" w:ascii="宋体" w:hAnsi="宋体" w:eastAsia="仿宋_GB2312" w:cs="仿宋_GB2312"/>
          <w:color w:val="auto"/>
          <w:kern w:val="0"/>
          <w:sz w:val="32"/>
          <w:szCs w:val="32"/>
          <w:highlight w:val="none"/>
          <w:lang w:val="en-US" w:eastAsia="zh-CN" w:bidi="ar-SA"/>
        </w:rPr>
        <w:t>我单位除严格遵守财经纪律以及相关管理制度以外，还配合市纪委监委派驻市政府办纪检组不定期抽查监督，确保项目使用合理、合规</w:t>
      </w:r>
      <w:r>
        <w:rPr>
          <w:rFonts w:hint="eastAsia" w:ascii="宋体" w:hAnsi="宋体" w:eastAsia="仿宋_GB2312" w:cs="仿宋_GB2312"/>
          <w:color w:val="auto"/>
          <w:kern w:val="0"/>
          <w:sz w:val="32"/>
          <w:szCs w:val="32"/>
          <w:highlight w:val="none"/>
          <w:lang w:val="zh-CN" w:eastAsia="zh-CN" w:bidi="ar-SA"/>
        </w:rPr>
        <w:t>。</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黑体" w:hAnsi="黑体" w:eastAsia="黑体" w:cs="黑体"/>
          <w:color w:val="auto"/>
          <w:kern w:val="0"/>
          <w:sz w:val="32"/>
          <w:szCs w:val="32"/>
          <w:highlight w:val="none"/>
          <w:lang w:val="zh-CN" w:eastAsia="zh-CN" w:bidi="ar-SA"/>
        </w:rPr>
      </w:pPr>
      <w:r>
        <w:rPr>
          <w:rFonts w:hint="eastAsia" w:ascii="黑体" w:hAnsi="黑体" w:eastAsia="黑体" w:cs="黑体"/>
          <w:color w:val="auto"/>
          <w:kern w:val="0"/>
          <w:sz w:val="32"/>
          <w:szCs w:val="32"/>
          <w:highlight w:val="none"/>
          <w:lang w:val="en-US" w:eastAsia="zh-CN" w:bidi="ar-SA"/>
        </w:rPr>
        <w:t>四、项目绩效情况</w:t>
      </w:r>
      <w:r>
        <w:rPr>
          <w:rFonts w:hint="eastAsia" w:ascii="黑体" w:hAnsi="黑体" w:eastAsia="黑体" w:cs="黑体"/>
          <w:color w:val="auto"/>
          <w:kern w:val="0"/>
          <w:sz w:val="32"/>
          <w:szCs w:val="32"/>
          <w:highlight w:val="none"/>
          <w:lang w:val="zh-CN" w:eastAsia="zh-CN" w:bidi="ar-SA"/>
        </w:rPr>
        <w:tab/>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outlineLvl w:val="9"/>
        <w:rPr>
          <w:rFonts w:hint="eastAsia" w:ascii="楷体_GB2312" w:hAnsi="楷体_GB2312" w:eastAsia="楷体_GB2312" w:cs="楷体_GB2312"/>
          <w:color w:val="auto"/>
          <w:kern w:val="0"/>
          <w:sz w:val="32"/>
          <w:szCs w:val="32"/>
          <w:highlight w:val="none"/>
          <w:lang w:val="zh-CN" w:eastAsia="zh-CN" w:bidi="ar-SA"/>
        </w:rPr>
      </w:pPr>
      <w:r>
        <w:rPr>
          <w:rFonts w:hint="eastAsia" w:ascii="楷体_GB2312" w:hAnsi="楷体_GB2312" w:eastAsia="楷体_GB2312" w:cs="楷体_GB2312"/>
          <w:color w:val="auto"/>
          <w:kern w:val="0"/>
          <w:sz w:val="32"/>
          <w:szCs w:val="32"/>
          <w:highlight w:val="none"/>
          <w:lang w:val="zh-CN" w:eastAsia="zh-CN" w:bidi="ar-SA"/>
        </w:rPr>
        <w:t>（一）项目完成情况</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outlineLvl w:val="9"/>
        <w:rPr>
          <w:rFonts w:hint="eastAsia" w:ascii="宋体" w:hAnsi="宋体" w:eastAsia="仿宋_GB2312" w:cs="仿宋_GB2312"/>
          <w:color w:val="auto"/>
          <w:kern w:val="0"/>
          <w:sz w:val="32"/>
          <w:szCs w:val="32"/>
          <w:highlight w:val="none"/>
          <w:lang w:val="en-US" w:eastAsia="zh-CN" w:bidi="ar-SA"/>
        </w:rPr>
      </w:pPr>
      <w:r>
        <w:rPr>
          <w:rFonts w:hint="eastAsia" w:ascii="宋体" w:hAnsi="宋体" w:eastAsia="仿宋_GB2312" w:cs="仿宋_GB2312"/>
          <w:color w:val="auto"/>
          <w:kern w:val="0"/>
          <w:sz w:val="32"/>
          <w:szCs w:val="32"/>
          <w:highlight w:val="none"/>
          <w:lang w:val="en-US" w:eastAsia="zh-CN" w:bidi="ar-SA"/>
        </w:rPr>
        <w:t>有效保障了驻村工作队履行“宣传党的政策、建强基层组织、推动乡村振兴、为民办事服务、提升治理水平”等职责任务。为驻村工作队人员购买人身意外伤害保险，</w:t>
      </w:r>
      <w:r>
        <w:rPr>
          <w:rFonts w:hint="default" w:ascii="宋体" w:hAnsi="宋体" w:eastAsia="仿宋_GB2312" w:cs="仿宋_GB2312"/>
          <w:color w:val="auto"/>
          <w:kern w:val="0"/>
          <w:sz w:val="32"/>
          <w:szCs w:val="32"/>
          <w:highlight w:val="none"/>
          <w:lang w:val="en-US" w:eastAsia="zh-CN" w:bidi="ar-SA"/>
        </w:rPr>
        <w:t>消除</w:t>
      </w:r>
      <w:r>
        <w:rPr>
          <w:rFonts w:hint="eastAsia" w:ascii="宋体" w:hAnsi="宋体" w:eastAsia="仿宋_GB2312" w:cs="仿宋_GB2312"/>
          <w:color w:val="auto"/>
          <w:kern w:val="0"/>
          <w:sz w:val="32"/>
          <w:szCs w:val="32"/>
          <w:highlight w:val="none"/>
          <w:lang w:val="en-US" w:eastAsia="zh-CN" w:bidi="ar-SA"/>
        </w:rPr>
        <w:t>了</w:t>
      </w:r>
      <w:r>
        <w:rPr>
          <w:rFonts w:hint="default" w:ascii="宋体" w:hAnsi="宋体" w:eastAsia="仿宋_GB2312" w:cs="仿宋_GB2312"/>
          <w:color w:val="auto"/>
          <w:kern w:val="0"/>
          <w:sz w:val="32"/>
          <w:szCs w:val="32"/>
          <w:highlight w:val="none"/>
          <w:lang w:val="en-US" w:eastAsia="zh-CN" w:bidi="ar-SA"/>
        </w:rPr>
        <w:t>驻村工作队</w:t>
      </w:r>
      <w:r>
        <w:rPr>
          <w:rFonts w:hint="eastAsia" w:ascii="宋体" w:hAnsi="宋体" w:eastAsia="仿宋_GB2312" w:cs="仿宋_GB2312"/>
          <w:color w:val="auto"/>
          <w:kern w:val="0"/>
          <w:sz w:val="32"/>
          <w:szCs w:val="32"/>
          <w:highlight w:val="none"/>
          <w:lang w:val="en-US" w:eastAsia="zh-CN" w:bidi="ar-SA"/>
        </w:rPr>
        <w:t>人员</w:t>
      </w:r>
      <w:r>
        <w:rPr>
          <w:rFonts w:hint="default" w:ascii="宋体" w:hAnsi="宋体" w:eastAsia="仿宋_GB2312" w:cs="仿宋_GB2312"/>
          <w:color w:val="auto"/>
          <w:kern w:val="0"/>
          <w:sz w:val="32"/>
          <w:szCs w:val="32"/>
          <w:highlight w:val="none"/>
          <w:lang w:val="en-US" w:eastAsia="zh-CN" w:bidi="ar-SA"/>
        </w:rPr>
        <w:t>及其家人的后顾之忧</w:t>
      </w:r>
      <w:r>
        <w:rPr>
          <w:rFonts w:hint="eastAsia" w:ascii="宋体" w:hAnsi="宋体" w:eastAsia="仿宋_GB2312" w:cs="仿宋_GB2312"/>
          <w:color w:val="auto"/>
          <w:kern w:val="0"/>
          <w:sz w:val="32"/>
          <w:szCs w:val="32"/>
          <w:highlight w:val="none"/>
          <w:lang w:val="en-US" w:eastAsia="zh-CN" w:bidi="ar-SA"/>
        </w:rPr>
        <w:t>。</w:t>
      </w:r>
      <w:r>
        <w:rPr>
          <w:rFonts w:hint="default" w:ascii="宋体" w:hAnsi="宋体" w:eastAsia="仿宋_GB2312" w:cs="仿宋_GB2312"/>
          <w:color w:val="auto"/>
          <w:kern w:val="0"/>
          <w:sz w:val="32"/>
          <w:szCs w:val="32"/>
          <w:highlight w:val="none"/>
          <w:lang w:val="en-US" w:eastAsia="zh-CN" w:bidi="ar-SA"/>
        </w:rPr>
        <w:t>高质量完成</w:t>
      </w:r>
      <w:r>
        <w:rPr>
          <w:rFonts w:hint="eastAsia" w:ascii="宋体" w:hAnsi="宋体" w:eastAsia="仿宋_GB2312" w:cs="仿宋_GB2312"/>
          <w:color w:val="auto"/>
          <w:kern w:val="0"/>
          <w:sz w:val="32"/>
          <w:szCs w:val="32"/>
          <w:highlight w:val="none"/>
          <w:lang w:val="en-US" w:eastAsia="zh-CN" w:bidi="ar-SA"/>
        </w:rPr>
        <w:t>乡村振兴工作</w:t>
      </w:r>
      <w:r>
        <w:rPr>
          <w:rFonts w:hint="default" w:ascii="宋体" w:hAnsi="宋体" w:eastAsia="仿宋_GB2312" w:cs="仿宋_GB2312"/>
          <w:color w:val="auto"/>
          <w:kern w:val="0"/>
          <w:sz w:val="32"/>
          <w:szCs w:val="32"/>
          <w:highlight w:val="none"/>
          <w:lang w:val="en-US" w:eastAsia="zh-CN" w:bidi="ar-SA"/>
        </w:rPr>
        <w:t>任务，</w:t>
      </w:r>
      <w:r>
        <w:rPr>
          <w:rFonts w:hint="eastAsia" w:ascii="宋体" w:hAnsi="宋体" w:eastAsia="仿宋_GB2312" w:cs="仿宋_GB2312"/>
          <w:color w:val="auto"/>
          <w:kern w:val="0"/>
          <w:sz w:val="32"/>
          <w:szCs w:val="32"/>
          <w:highlight w:val="none"/>
          <w:lang w:val="en-US" w:eastAsia="zh-CN" w:bidi="ar-SA"/>
        </w:rPr>
        <w:t>巩固脱贫攻坚工作成果。</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outlineLvl w:val="9"/>
        <w:rPr>
          <w:rFonts w:hint="eastAsia" w:ascii="楷体_GB2312" w:hAnsi="楷体_GB2312" w:eastAsia="楷体_GB2312" w:cs="楷体_GB2312"/>
          <w:color w:val="auto"/>
          <w:kern w:val="0"/>
          <w:sz w:val="32"/>
          <w:szCs w:val="32"/>
          <w:highlight w:val="none"/>
          <w:lang w:val="zh-CN" w:eastAsia="zh-CN" w:bidi="ar-SA"/>
        </w:rPr>
      </w:pPr>
      <w:r>
        <w:rPr>
          <w:rFonts w:hint="eastAsia" w:ascii="楷体_GB2312" w:hAnsi="楷体_GB2312" w:eastAsia="楷体_GB2312" w:cs="楷体_GB2312"/>
          <w:color w:val="auto"/>
          <w:kern w:val="0"/>
          <w:sz w:val="32"/>
          <w:szCs w:val="32"/>
          <w:highlight w:val="none"/>
          <w:lang w:val="zh-CN" w:eastAsia="zh-CN" w:bidi="ar-SA"/>
        </w:rPr>
        <w:t>（二）项目效益情况</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outlineLvl w:val="9"/>
        <w:rPr>
          <w:rFonts w:hint="default" w:ascii="宋体" w:hAnsi="宋体" w:eastAsia="仿宋_GB2312" w:cs="仿宋_GB2312"/>
          <w:color w:val="auto"/>
          <w:kern w:val="0"/>
          <w:sz w:val="32"/>
          <w:szCs w:val="32"/>
          <w:highlight w:val="none"/>
          <w:lang w:val="en-US" w:eastAsia="zh-CN" w:bidi="ar-SA"/>
        </w:rPr>
      </w:pPr>
      <w:r>
        <w:rPr>
          <w:rFonts w:hint="eastAsia" w:ascii="宋体" w:hAnsi="宋体" w:eastAsia="仿宋_GB2312" w:cs="仿宋_GB2312"/>
          <w:color w:val="auto"/>
          <w:kern w:val="0"/>
          <w:sz w:val="32"/>
          <w:szCs w:val="32"/>
          <w:highlight w:val="none"/>
          <w:lang w:val="en-US" w:eastAsia="zh-CN" w:bidi="ar-SA"/>
        </w:rPr>
        <w:t>我单位</w:t>
      </w:r>
      <w:r>
        <w:rPr>
          <w:rFonts w:hint="default" w:ascii="宋体" w:hAnsi="宋体" w:eastAsia="仿宋_GB2312" w:cs="仿宋_GB2312"/>
          <w:color w:val="auto"/>
          <w:kern w:val="0"/>
          <w:sz w:val="32"/>
          <w:szCs w:val="32"/>
          <w:highlight w:val="none"/>
          <w:lang w:val="en-US" w:eastAsia="zh-CN" w:bidi="ar-SA"/>
        </w:rPr>
        <w:t>选派3名优秀干部全脱产赴旺苍县大两镇新华村、金光村开展驻村帮扶</w:t>
      </w:r>
      <w:r>
        <w:rPr>
          <w:rFonts w:hint="eastAsia" w:ascii="宋体" w:hAnsi="宋体" w:eastAsia="仿宋_GB2312" w:cs="仿宋_GB2312"/>
          <w:color w:val="auto"/>
          <w:kern w:val="0"/>
          <w:sz w:val="32"/>
          <w:szCs w:val="32"/>
          <w:highlight w:val="none"/>
          <w:lang w:val="en-US" w:eastAsia="zh-CN" w:bidi="ar-SA"/>
        </w:rPr>
        <w:t>，</w:t>
      </w:r>
      <w:r>
        <w:rPr>
          <w:rFonts w:hint="default" w:ascii="宋体" w:hAnsi="宋体" w:eastAsia="仿宋_GB2312" w:cs="仿宋_GB2312"/>
          <w:color w:val="auto"/>
          <w:kern w:val="0"/>
          <w:sz w:val="32"/>
          <w:szCs w:val="32"/>
          <w:highlight w:val="none"/>
          <w:lang w:val="en-US" w:eastAsia="zh-CN" w:bidi="ar-SA"/>
        </w:rPr>
        <w:t>依托帮扶村资源禀赋和产业基础，有效开展产业振兴帮扶，</w:t>
      </w:r>
      <w:r>
        <w:rPr>
          <w:rFonts w:hint="eastAsia" w:ascii="宋体" w:hAnsi="宋体" w:eastAsia="仿宋_GB2312" w:cs="仿宋_GB2312"/>
          <w:color w:val="auto"/>
          <w:kern w:val="0"/>
          <w:sz w:val="32"/>
          <w:szCs w:val="32"/>
          <w:highlight w:val="none"/>
          <w:lang w:val="en-US" w:eastAsia="zh-CN" w:bidi="ar-SA"/>
        </w:rPr>
        <w:t>2022年期间</w:t>
      </w:r>
      <w:r>
        <w:rPr>
          <w:rFonts w:hint="default" w:ascii="宋体" w:hAnsi="宋体" w:eastAsia="仿宋_GB2312" w:cs="仿宋_GB2312"/>
          <w:color w:val="auto"/>
          <w:kern w:val="0"/>
          <w:sz w:val="32"/>
          <w:szCs w:val="32"/>
          <w:highlight w:val="none"/>
          <w:lang w:val="en-US" w:eastAsia="zh-CN" w:bidi="ar-SA"/>
        </w:rPr>
        <w:t>积极协调争取到20万元农业项目专项资金用于发展新华村中药材种植产业、金光村肉牛羊养殖产业。积极宣传政策，还为两个村争取到20万元交通项目资金用于修建村内错车道，“以购代扶</w:t>
      </w:r>
      <w:r>
        <w:rPr>
          <w:rFonts w:hint="eastAsia" w:ascii="宋体" w:hAnsi="宋体" w:eastAsia="仿宋_GB2312" w:cs="仿宋_GB2312"/>
          <w:color w:val="auto"/>
          <w:kern w:val="0"/>
          <w:sz w:val="32"/>
          <w:szCs w:val="32"/>
          <w:highlight w:val="none"/>
          <w:lang w:val="en-US" w:eastAsia="zh-CN" w:bidi="ar-SA"/>
        </w:rPr>
        <w:t>”13800元，</w:t>
      </w:r>
      <w:r>
        <w:rPr>
          <w:rFonts w:hint="default" w:ascii="宋体" w:hAnsi="宋体" w:eastAsia="仿宋_GB2312" w:cs="仿宋_GB2312"/>
          <w:color w:val="auto"/>
          <w:kern w:val="0"/>
          <w:sz w:val="32"/>
          <w:szCs w:val="32"/>
          <w:highlight w:val="none"/>
          <w:lang w:val="en-US" w:eastAsia="zh-CN" w:bidi="ar-SA"/>
        </w:rPr>
        <w:t>以实际行动巩固拓展脱贫攻坚成果，全面推进乡村振兴。</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五、评价结论及建议</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outlineLvl w:val="9"/>
        <w:rPr>
          <w:rFonts w:hint="eastAsia" w:ascii="楷体_GB2312" w:hAnsi="楷体_GB2312" w:eastAsia="楷体_GB2312" w:cs="楷体_GB2312"/>
          <w:color w:val="auto"/>
          <w:kern w:val="0"/>
          <w:sz w:val="32"/>
          <w:szCs w:val="32"/>
          <w:highlight w:val="none"/>
          <w:lang w:val="zh-CN" w:eastAsia="zh-CN" w:bidi="ar-SA"/>
        </w:rPr>
      </w:pPr>
      <w:r>
        <w:rPr>
          <w:rFonts w:hint="eastAsia" w:ascii="楷体_GB2312" w:hAnsi="楷体_GB2312" w:eastAsia="楷体_GB2312" w:cs="楷体_GB2312"/>
          <w:color w:val="auto"/>
          <w:kern w:val="0"/>
          <w:sz w:val="32"/>
          <w:szCs w:val="32"/>
          <w:highlight w:val="none"/>
          <w:lang w:val="zh-CN" w:eastAsia="zh-CN" w:bidi="ar-SA"/>
        </w:rPr>
        <w:t>（一）评价结论</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outlineLvl w:val="9"/>
        <w:rPr>
          <w:rFonts w:hint="eastAsia" w:ascii="宋体" w:hAnsi="宋体" w:eastAsia="仿宋_GB2312" w:cs="仿宋_GB2312"/>
          <w:color w:val="auto"/>
          <w:kern w:val="0"/>
          <w:sz w:val="32"/>
          <w:szCs w:val="32"/>
          <w:highlight w:val="none"/>
          <w:lang w:val="zh-CN" w:eastAsia="zh-CN" w:bidi="ar-SA"/>
        </w:rPr>
      </w:pPr>
      <w:r>
        <w:rPr>
          <w:rFonts w:hint="eastAsia" w:ascii="宋体" w:hAnsi="宋体" w:eastAsia="仿宋_GB2312" w:cs="仿宋_GB2312"/>
          <w:color w:val="auto"/>
          <w:kern w:val="0"/>
          <w:sz w:val="32"/>
          <w:szCs w:val="32"/>
          <w:highlight w:val="none"/>
          <w:lang w:val="zh-CN" w:eastAsia="zh-CN" w:bidi="ar-SA"/>
        </w:rPr>
        <w:t>202</w:t>
      </w:r>
      <w:r>
        <w:rPr>
          <w:rFonts w:hint="eastAsia" w:ascii="宋体" w:hAnsi="宋体" w:eastAsia="仿宋_GB2312" w:cs="仿宋_GB2312"/>
          <w:color w:val="auto"/>
          <w:kern w:val="0"/>
          <w:sz w:val="32"/>
          <w:szCs w:val="32"/>
          <w:highlight w:val="none"/>
          <w:lang w:val="en-US" w:eastAsia="zh-CN" w:bidi="ar-SA"/>
        </w:rPr>
        <w:t>2</w:t>
      </w:r>
      <w:r>
        <w:rPr>
          <w:rFonts w:hint="eastAsia" w:ascii="宋体" w:hAnsi="宋体" w:eastAsia="仿宋_GB2312" w:cs="仿宋_GB2312"/>
          <w:color w:val="auto"/>
          <w:kern w:val="0"/>
          <w:sz w:val="32"/>
          <w:szCs w:val="32"/>
          <w:highlight w:val="none"/>
          <w:lang w:val="zh-CN" w:eastAsia="zh-CN" w:bidi="ar-SA"/>
        </w:rPr>
        <w:t>年我单位乡村振兴支出绩效自查自评结果良好，全年基本支出保证了乡村振兴工作的正常运转，按照 202</w:t>
      </w:r>
      <w:r>
        <w:rPr>
          <w:rFonts w:hint="eastAsia" w:ascii="宋体" w:hAnsi="宋体" w:eastAsia="仿宋_GB2312" w:cs="仿宋_GB2312"/>
          <w:color w:val="auto"/>
          <w:kern w:val="0"/>
          <w:sz w:val="32"/>
          <w:szCs w:val="32"/>
          <w:highlight w:val="none"/>
          <w:lang w:val="en-US" w:eastAsia="zh-CN" w:bidi="ar-SA"/>
        </w:rPr>
        <w:t>2</w:t>
      </w:r>
      <w:r>
        <w:rPr>
          <w:rFonts w:hint="eastAsia" w:ascii="宋体" w:hAnsi="宋体" w:eastAsia="仿宋_GB2312" w:cs="仿宋_GB2312"/>
          <w:color w:val="auto"/>
          <w:kern w:val="0"/>
          <w:sz w:val="32"/>
          <w:szCs w:val="32"/>
          <w:highlight w:val="none"/>
          <w:lang w:val="zh-CN" w:eastAsia="zh-CN" w:bidi="ar-SA"/>
        </w:rPr>
        <w:t>年度部门</w:t>
      </w:r>
      <w:r>
        <w:rPr>
          <w:rFonts w:hint="eastAsia" w:ascii="宋体" w:hAnsi="宋体" w:eastAsia="仿宋_GB2312" w:cs="仿宋_GB2312"/>
          <w:color w:val="auto"/>
          <w:kern w:val="0"/>
          <w:sz w:val="32"/>
          <w:szCs w:val="32"/>
          <w:highlight w:val="none"/>
          <w:lang w:val="en-US" w:eastAsia="zh-CN" w:bidi="ar-SA"/>
        </w:rPr>
        <w:t xml:space="preserve"> 脱贫攻坚专项资金</w:t>
      </w:r>
      <w:r>
        <w:rPr>
          <w:rFonts w:hint="eastAsia" w:ascii="宋体" w:hAnsi="宋体" w:eastAsia="仿宋_GB2312" w:cs="仿宋_GB2312"/>
          <w:color w:val="auto"/>
          <w:kern w:val="0"/>
          <w:sz w:val="32"/>
          <w:szCs w:val="32"/>
          <w:highlight w:val="none"/>
          <w:lang w:val="zh-CN" w:eastAsia="zh-CN" w:bidi="ar-SA"/>
        </w:rPr>
        <w:t>支出绩效评价指标体系对我单位预算编制、预算执行、完成结果、信息公开、整改反馈等方面进行了自评，最终得分</w:t>
      </w:r>
      <w:r>
        <w:rPr>
          <w:rFonts w:hint="eastAsia" w:ascii="宋体" w:hAnsi="宋体" w:eastAsia="仿宋_GB2312" w:cs="仿宋_GB2312"/>
          <w:color w:val="auto"/>
          <w:kern w:val="0"/>
          <w:sz w:val="32"/>
          <w:szCs w:val="32"/>
          <w:highlight w:val="none"/>
          <w:lang w:val="en-US" w:eastAsia="zh-CN" w:bidi="ar-SA"/>
        </w:rPr>
        <w:t>98.5</w:t>
      </w:r>
      <w:r>
        <w:rPr>
          <w:rFonts w:hint="eastAsia" w:ascii="宋体" w:hAnsi="宋体" w:eastAsia="仿宋_GB2312" w:cs="仿宋_GB2312"/>
          <w:color w:val="auto"/>
          <w:kern w:val="0"/>
          <w:sz w:val="32"/>
          <w:szCs w:val="32"/>
          <w:highlight w:val="none"/>
          <w:lang w:val="zh-CN" w:eastAsia="zh-CN" w:bidi="ar-SA"/>
        </w:rPr>
        <w:t>分。</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outlineLvl w:val="9"/>
        <w:rPr>
          <w:rFonts w:hint="eastAsia" w:ascii="楷体_GB2312" w:hAnsi="楷体_GB2312" w:eastAsia="楷体_GB2312" w:cs="楷体_GB2312"/>
          <w:color w:val="auto"/>
          <w:kern w:val="0"/>
          <w:sz w:val="32"/>
          <w:szCs w:val="32"/>
          <w:highlight w:val="none"/>
          <w:lang w:val="zh-CN" w:eastAsia="zh-CN" w:bidi="ar-SA"/>
        </w:rPr>
      </w:pPr>
      <w:r>
        <w:rPr>
          <w:rFonts w:hint="eastAsia" w:ascii="楷体_GB2312" w:hAnsi="楷体_GB2312" w:eastAsia="楷体_GB2312" w:cs="楷体_GB2312"/>
          <w:color w:val="auto"/>
          <w:kern w:val="0"/>
          <w:sz w:val="32"/>
          <w:szCs w:val="32"/>
          <w:highlight w:val="none"/>
          <w:lang w:val="zh-CN" w:eastAsia="zh-CN" w:bidi="ar-SA"/>
        </w:rPr>
        <w:t>（二）存在的问题</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outlineLvl w:val="9"/>
        <w:rPr>
          <w:rFonts w:hint="default" w:ascii="宋体" w:hAnsi="宋体" w:eastAsia="仿宋_GB2312" w:cs="仿宋_GB2312"/>
          <w:color w:val="auto"/>
          <w:kern w:val="0"/>
          <w:sz w:val="32"/>
          <w:szCs w:val="32"/>
          <w:highlight w:val="none"/>
          <w:lang w:val="en-US" w:eastAsia="zh-CN" w:bidi="ar-SA"/>
        </w:rPr>
      </w:pPr>
      <w:r>
        <w:rPr>
          <w:rFonts w:hint="eastAsia" w:ascii="宋体" w:hAnsi="宋体" w:eastAsia="仿宋_GB2312" w:cs="仿宋_GB2312"/>
          <w:color w:val="auto"/>
          <w:kern w:val="0"/>
          <w:sz w:val="32"/>
          <w:szCs w:val="32"/>
          <w:highlight w:val="none"/>
          <w:lang w:val="zh-CN" w:eastAsia="zh-CN" w:bidi="ar-SA"/>
        </w:rPr>
        <w:t>预算绩效管理需进一步加强，设定的绩效目标还不够科学精准。</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outlineLvl w:val="9"/>
        <w:rPr>
          <w:rFonts w:hint="eastAsia" w:ascii="楷体_GB2312" w:hAnsi="楷体_GB2312" w:eastAsia="楷体_GB2312" w:cs="楷体_GB2312"/>
          <w:color w:val="auto"/>
          <w:kern w:val="0"/>
          <w:sz w:val="32"/>
          <w:szCs w:val="32"/>
          <w:highlight w:val="none"/>
          <w:lang w:val="zh-CN" w:eastAsia="zh-CN" w:bidi="ar-SA"/>
        </w:rPr>
      </w:pPr>
      <w:r>
        <w:rPr>
          <w:rFonts w:hint="eastAsia" w:ascii="楷体_GB2312" w:hAnsi="楷体_GB2312" w:eastAsia="楷体_GB2312" w:cs="楷体_GB2312"/>
          <w:color w:val="auto"/>
          <w:kern w:val="0"/>
          <w:sz w:val="32"/>
          <w:szCs w:val="32"/>
          <w:highlight w:val="none"/>
          <w:lang w:val="zh-CN" w:eastAsia="zh-CN" w:bidi="ar-SA"/>
        </w:rPr>
        <w:t>（三）相关建议</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outlineLvl w:val="9"/>
        <w:rPr>
          <w:rFonts w:hint="default" w:ascii="宋体" w:hAnsi="宋体" w:eastAsia="仿宋_GB2312" w:cs="仿宋_GB2312"/>
          <w:color w:val="auto"/>
          <w:kern w:val="0"/>
          <w:sz w:val="32"/>
          <w:szCs w:val="32"/>
          <w:highlight w:val="none"/>
          <w:lang w:val="en-US" w:eastAsia="zh-CN" w:bidi="ar-SA"/>
        </w:rPr>
      </w:pPr>
      <w:r>
        <w:rPr>
          <w:rFonts w:hint="eastAsia" w:ascii="宋体" w:hAnsi="宋体" w:eastAsia="仿宋_GB2312" w:cs="仿宋_GB2312"/>
          <w:color w:val="auto"/>
          <w:kern w:val="0"/>
          <w:sz w:val="32"/>
          <w:szCs w:val="32"/>
          <w:highlight w:val="none"/>
          <w:lang w:val="en-US" w:eastAsia="zh-CN" w:bidi="ar-SA"/>
        </w:rPr>
        <w:t>1.</w:t>
      </w:r>
      <w:r>
        <w:rPr>
          <w:rFonts w:hint="default" w:ascii="宋体" w:hAnsi="宋体" w:eastAsia="仿宋_GB2312" w:cs="仿宋_GB2312"/>
          <w:color w:val="auto"/>
          <w:kern w:val="0"/>
          <w:sz w:val="32"/>
          <w:szCs w:val="32"/>
          <w:highlight w:val="none"/>
          <w:lang w:val="en-US" w:eastAsia="zh-CN" w:bidi="ar-SA"/>
        </w:rPr>
        <w:t>进一步健全和完善财务管理制度及内部控制制度，创新管理手段，用新思路、新方法，改进完善财务管理方法。</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outlineLvl w:val="9"/>
        <w:rPr>
          <w:rFonts w:hint="eastAsia" w:ascii="宋体" w:hAnsi="宋体" w:eastAsia="仿宋_GB2312" w:cs="仿宋_GB2312"/>
          <w:color w:val="auto"/>
          <w:kern w:val="0"/>
          <w:sz w:val="32"/>
          <w:szCs w:val="32"/>
          <w:highlight w:val="none"/>
          <w:lang w:val="en-US" w:eastAsia="zh-CN" w:bidi="ar-SA"/>
        </w:rPr>
      </w:pPr>
      <w:r>
        <w:rPr>
          <w:rFonts w:hint="eastAsia" w:ascii="宋体" w:hAnsi="宋体" w:eastAsia="仿宋_GB2312" w:cs="仿宋_GB2312"/>
          <w:color w:val="auto"/>
          <w:kern w:val="0"/>
          <w:sz w:val="32"/>
          <w:szCs w:val="32"/>
          <w:highlight w:val="none"/>
          <w:lang w:val="en-US" w:eastAsia="zh-CN" w:bidi="ar-SA"/>
        </w:rPr>
        <w:t>2.</w:t>
      </w:r>
      <w:r>
        <w:rPr>
          <w:rFonts w:hint="default" w:ascii="宋体" w:hAnsi="宋体" w:eastAsia="仿宋_GB2312" w:cs="仿宋_GB2312"/>
          <w:color w:val="auto"/>
          <w:kern w:val="0"/>
          <w:sz w:val="32"/>
          <w:szCs w:val="32"/>
          <w:highlight w:val="none"/>
          <w:lang w:val="en-US" w:eastAsia="zh-CN" w:bidi="ar-SA"/>
        </w:rPr>
        <w:t>加强部门预算绩效管理的指导和培训，增强提高绩效管理业务人员绩效管理能力、专业素质和思想水平。</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outlineLvl w:val="9"/>
        <w:rPr>
          <w:rFonts w:hint="eastAsia" w:ascii="宋体" w:hAnsi="宋体" w:eastAsia="仿宋_GB2312" w:cs="仿宋_GB2312"/>
          <w:color w:val="auto"/>
          <w:kern w:val="0"/>
          <w:sz w:val="32"/>
          <w:szCs w:val="32"/>
          <w:highlight w:val="none"/>
          <w:lang w:val="en-US" w:eastAsia="zh-CN" w:bidi="ar-SA"/>
        </w:rPr>
      </w:pP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leftChars="0" w:firstLine="534" w:firstLineChars="200"/>
        <w:jc w:val="both"/>
        <w:textAlignment w:val="auto"/>
        <w:outlineLvl w:val="9"/>
        <w:rPr>
          <w:rFonts w:hint="eastAsia" w:ascii="宋体" w:hAnsi="宋体" w:eastAsia="仿宋_GB2312" w:cs="仿宋_GB2312"/>
          <w:color w:val="auto"/>
          <w:spacing w:val="-20"/>
          <w:w w:val="96"/>
          <w:kern w:val="0"/>
          <w:sz w:val="32"/>
          <w:szCs w:val="32"/>
          <w:highlight w:val="none"/>
          <w:lang w:val="en-US" w:eastAsia="zh-CN" w:bidi="ar-SA"/>
        </w:rPr>
      </w:pPr>
      <w:r>
        <w:rPr>
          <w:rFonts w:hint="eastAsia" w:ascii="宋体" w:hAnsi="宋体" w:eastAsia="仿宋_GB2312" w:cs="仿宋_GB2312"/>
          <w:color w:val="auto"/>
          <w:spacing w:val="-20"/>
          <w:w w:val="96"/>
          <w:kern w:val="0"/>
          <w:sz w:val="32"/>
          <w:szCs w:val="32"/>
          <w:highlight w:val="none"/>
          <w:lang w:val="en-US" w:eastAsia="zh-CN" w:bidi="ar-SA"/>
        </w:rPr>
        <w:t>附件：部门预算、专项资金预算项目支出绩效目标自评表（2022年度）</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outlineLvl w:val="9"/>
        <w:rPr>
          <w:rFonts w:hint="eastAsia" w:ascii="宋体" w:hAnsi="宋体" w:eastAsia="仿宋_GB2312" w:cs="仿宋_GB2312"/>
          <w:color w:val="auto"/>
          <w:kern w:val="0"/>
          <w:sz w:val="32"/>
          <w:szCs w:val="32"/>
          <w:highlight w:val="none"/>
          <w:lang w:val="en-US" w:eastAsia="zh-CN" w:bidi="ar-SA"/>
        </w:rPr>
        <w:sectPr>
          <w:pgSz w:w="11906" w:h="16838"/>
          <w:pgMar w:top="2098" w:right="1474" w:bottom="1984" w:left="1587" w:header="851" w:footer="1587" w:gutter="0"/>
          <w:pgNumType w:fmt="decimal"/>
          <w:cols w:space="0" w:num="1"/>
          <w:titlePg/>
          <w:rtlGutter w:val="0"/>
          <w:docGrid w:type="lines" w:linePitch="312" w:charSpace="0"/>
        </w:sectPr>
      </w:pPr>
    </w:p>
    <w:p>
      <w:pPr>
        <w:keepNext w:val="0"/>
        <w:keepLines w:val="0"/>
        <w:pageBreakBefore w:val="0"/>
        <w:shd w:val="clear"/>
        <w:kinsoku/>
        <w:wordWrap/>
        <w:overflowPunct/>
        <w:topLinePunct w:val="0"/>
        <w:autoSpaceDE/>
        <w:autoSpaceDN/>
        <w:bidi w:val="0"/>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附件</w:t>
      </w:r>
    </w:p>
    <w:p>
      <w:pPr>
        <w:pStyle w:val="2"/>
        <w:keepNext w:val="0"/>
        <w:keepLines w:val="0"/>
        <w:pageBreakBefore w:val="0"/>
        <w:shd w:val="clear"/>
        <w:kinsoku/>
        <w:wordWrap/>
        <w:overflowPunct/>
        <w:topLinePunct w:val="0"/>
        <w:autoSpaceDE/>
        <w:autoSpaceDN/>
        <w:bidi w:val="0"/>
        <w:jc w:val="center"/>
        <w:outlineLvl w:val="9"/>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部门预算、专项资金预算项目支出绩效目标自评表（2022年度）</w:t>
      </w:r>
    </w:p>
    <w:tbl>
      <w:tblPr>
        <w:tblStyle w:val="18"/>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16"/>
        <w:gridCol w:w="1576"/>
        <w:gridCol w:w="1274"/>
        <w:gridCol w:w="1098"/>
        <w:gridCol w:w="652"/>
        <w:gridCol w:w="870"/>
        <w:gridCol w:w="788"/>
        <w:gridCol w:w="1141"/>
        <w:gridCol w:w="801"/>
        <w:gridCol w:w="747"/>
        <w:gridCol w:w="1114"/>
        <w:gridCol w:w="32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9" w:hRule="atLeast"/>
        </w:trPr>
        <w:tc>
          <w:tcPr>
            <w:tcW w:w="10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项目名称</w:t>
            </w:r>
          </w:p>
        </w:tc>
        <w:tc>
          <w:tcPr>
            <w:tcW w:w="3953"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乡村振兴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40" w:hRule="atLeast"/>
        </w:trPr>
        <w:tc>
          <w:tcPr>
            <w:tcW w:w="10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主管部门（盖章）</w:t>
            </w:r>
          </w:p>
        </w:tc>
        <w:tc>
          <w:tcPr>
            <w:tcW w:w="1584"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广元市经济合作和外事局</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实施单位（盖章）</w:t>
            </w:r>
          </w:p>
        </w:tc>
        <w:tc>
          <w:tcPr>
            <w:tcW w:w="198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广元市经济合作和外事局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08" w:hRule="atLeast"/>
        </w:trPr>
        <w:tc>
          <w:tcPr>
            <w:tcW w:w="51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项目基本情况</w:t>
            </w:r>
          </w:p>
        </w:tc>
        <w:tc>
          <w:tcPr>
            <w:tcW w:w="5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1.项目年度目标完成情况</w:t>
            </w:r>
          </w:p>
        </w:tc>
        <w:tc>
          <w:tcPr>
            <w:tcW w:w="1584"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项目年度目标</w:t>
            </w:r>
          </w:p>
        </w:tc>
        <w:tc>
          <w:tcPr>
            <w:tcW w:w="236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3" w:hRule="atLeast"/>
        </w:trPr>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5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1584"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为驻村工作队履职提供坚强保障，有效推进乡村振兴、巩固拓展脱贫攻坚成果；为驻村工作队购买人身意外伤害保险，消除驻村工作队及其家人的后顾之忧；慰问困难群众等。</w:t>
            </w:r>
          </w:p>
        </w:tc>
        <w:tc>
          <w:tcPr>
            <w:tcW w:w="236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为驻村工作队员提供了坚强保障，有效的巩固了脱贫攻坚成果。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3" w:hRule="atLeast"/>
        </w:trPr>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2.项目实施内容及过程概述</w:t>
            </w:r>
          </w:p>
        </w:tc>
        <w:tc>
          <w:tcPr>
            <w:tcW w:w="3953"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84" w:hRule="atLeast"/>
        </w:trPr>
        <w:tc>
          <w:tcPr>
            <w:tcW w:w="51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预算执行情况（10分）</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年度预算数（万元）</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年初预算</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kern w:val="0"/>
                <w:sz w:val="21"/>
                <w:szCs w:val="21"/>
                <w:highlight w:val="none"/>
                <w:u w:val="none"/>
                <w:lang w:val="en-US" w:eastAsia="zh-CN" w:bidi="ar"/>
              </w:rPr>
            </w:pPr>
            <w:r>
              <w:rPr>
                <w:rFonts w:hint="eastAsia" w:ascii="宋体" w:hAnsi="宋体" w:eastAsia="宋体" w:cs="宋体"/>
                <w:b/>
                <w:bCs/>
                <w:i w:val="0"/>
                <w:iCs w:val="0"/>
                <w:color w:val="auto"/>
                <w:kern w:val="0"/>
                <w:sz w:val="21"/>
                <w:szCs w:val="21"/>
                <w:highlight w:val="none"/>
                <w:u w:val="none"/>
                <w:lang w:val="en-US" w:eastAsia="zh-CN" w:bidi="ar"/>
              </w:rPr>
              <w:t>调整后</w:t>
            </w:r>
          </w:p>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预算数</w:t>
            </w:r>
          </w:p>
        </w:tc>
        <w:tc>
          <w:tcPr>
            <w:tcW w:w="78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预算执行数</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kern w:val="0"/>
                <w:sz w:val="21"/>
                <w:szCs w:val="21"/>
                <w:highlight w:val="none"/>
                <w:u w:val="none"/>
                <w:lang w:val="en-US" w:eastAsia="zh-CN" w:bidi="ar"/>
              </w:rPr>
            </w:pPr>
            <w:r>
              <w:rPr>
                <w:rFonts w:hint="eastAsia" w:ascii="宋体" w:hAnsi="宋体" w:eastAsia="宋体" w:cs="宋体"/>
                <w:b/>
                <w:bCs/>
                <w:i w:val="0"/>
                <w:iCs w:val="0"/>
                <w:color w:val="auto"/>
                <w:kern w:val="0"/>
                <w:sz w:val="21"/>
                <w:szCs w:val="21"/>
                <w:highlight w:val="none"/>
                <w:u w:val="none"/>
                <w:lang w:val="en-US" w:eastAsia="zh-CN" w:bidi="ar"/>
              </w:rPr>
              <w:t>预算</w:t>
            </w:r>
          </w:p>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执行率</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权重%</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部门自评得分</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财政部门科室复评得分</w:t>
            </w:r>
          </w:p>
        </w:tc>
        <w:tc>
          <w:tcPr>
            <w:tcW w:w="10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总额</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5.46</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5.46</w:t>
            </w:r>
          </w:p>
        </w:tc>
        <w:tc>
          <w:tcPr>
            <w:tcW w:w="78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5.46</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100.00%</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10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1.预算执行率=预算执行数/调整后预算数，预算执行率未达到90%的需说明原因（100字以内）;</w:t>
            </w:r>
          </w:p>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41" w:hRule="atLeast"/>
        </w:trPr>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kern w:val="0"/>
                <w:sz w:val="21"/>
                <w:szCs w:val="21"/>
                <w:highlight w:val="none"/>
                <w:u w:val="none"/>
                <w:lang w:val="en-US" w:eastAsia="zh-CN" w:bidi="ar"/>
              </w:rPr>
            </w:pPr>
            <w:r>
              <w:rPr>
                <w:rFonts w:hint="eastAsia" w:ascii="宋体" w:hAnsi="宋体" w:eastAsia="宋体" w:cs="宋体"/>
                <w:b/>
                <w:bCs/>
                <w:i w:val="0"/>
                <w:iCs w:val="0"/>
                <w:color w:val="auto"/>
                <w:kern w:val="0"/>
                <w:sz w:val="21"/>
                <w:szCs w:val="21"/>
                <w:highlight w:val="none"/>
                <w:u w:val="none"/>
                <w:lang w:val="en-US" w:eastAsia="zh-CN" w:bidi="ar"/>
              </w:rPr>
              <w:t>其中：财政</w:t>
            </w:r>
          </w:p>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资金</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5.46</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5.46</w:t>
            </w:r>
          </w:p>
        </w:tc>
        <w:tc>
          <w:tcPr>
            <w:tcW w:w="78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5.46</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100.00%</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10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27" w:hRule="atLeast"/>
        </w:trPr>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财政专户管理资金</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78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10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单位资金</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78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10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其他资金</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78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10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20" w:hRule="atLeast"/>
        </w:trPr>
        <w:tc>
          <w:tcPr>
            <w:tcW w:w="51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kern w:val="0"/>
                <w:sz w:val="21"/>
                <w:szCs w:val="21"/>
                <w:highlight w:val="none"/>
                <w:u w:val="none"/>
                <w:lang w:val="en-US" w:eastAsia="zh-CN" w:bidi="ar"/>
              </w:rPr>
            </w:pPr>
            <w:r>
              <w:rPr>
                <w:rFonts w:hint="eastAsia" w:ascii="宋体" w:hAnsi="宋体" w:eastAsia="宋体" w:cs="宋体"/>
                <w:b/>
                <w:bCs/>
                <w:i w:val="0"/>
                <w:iCs w:val="0"/>
                <w:color w:val="auto"/>
                <w:kern w:val="0"/>
                <w:sz w:val="21"/>
                <w:szCs w:val="21"/>
                <w:highlight w:val="none"/>
                <w:u w:val="none"/>
                <w:lang w:val="en-US" w:eastAsia="zh-CN" w:bidi="ar"/>
              </w:rPr>
              <w:t>绩效指标</w:t>
            </w:r>
          </w:p>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（90分）</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一级指标</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二级指标</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三级指标</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指标性质</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指标值</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度量单位</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完成值</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权重</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部门自评得分</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财政部门科室复评得分</w:t>
            </w:r>
          </w:p>
        </w:tc>
        <w:tc>
          <w:tcPr>
            <w:tcW w:w="10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27" w:hRule="atLeast"/>
        </w:trPr>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产出指标</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数量指标</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驻村工作队员人数</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10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实际3人，年初申报有误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0" w:hRule="atLeast"/>
        </w:trPr>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效益指标</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社会效益</w:t>
            </w:r>
          </w:p>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指标</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集体经济收入</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60000</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元</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3000</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1083"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5" w:hRule="atLeast"/>
        </w:trPr>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产出指标</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时效指标</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完成时间</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2022</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年</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已完成</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1083"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5" w:hRule="atLeast"/>
        </w:trPr>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产出指标</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质量指标</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驻村工作队员年度考核</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定性</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优良中低差</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级</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优良</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1083"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5" w:hRule="atLeast"/>
        </w:trPr>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产出指标</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成本指标</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驻村工作队员生活补助</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13200</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元/年</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13200</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1083"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5" w:hRule="atLeast"/>
        </w:trPr>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效益指标</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可持续影响指标</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全村人均纯收入</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8000</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元</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6000</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10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年初申报有误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5" w:hRule="atLeast"/>
        </w:trPr>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b/>
                <w:bCs/>
                <w:i w:val="0"/>
                <w:iCs w:val="0"/>
                <w:color w:val="auto"/>
                <w:sz w:val="21"/>
                <w:szCs w:val="21"/>
                <w:highlight w:val="none"/>
                <w:u w:val="none"/>
              </w:rPr>
            </w:pP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满意度指标</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帮扶对象满意度指标</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帮扶对象满意度</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90</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90</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c>
          <w:tcPr>
            <w:tcW w:w="1083"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3016"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合计</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rPr>
                <w:rFonts w:hint="eastAsia" w:ascii="宋体" w:hAnsi="宋体" w:eastAsia="宋体" w:cs="宋体"/>
                <w:i w:val="0"/>
                <w:iCs w:val="0"/>
                <w:color w:val="auto"/>
                <w:sz w:val="21"/>
                <w:szCs w:val="21"/>
                <w:highlight w:val="none"/>
                <w:u w:val="none"/>
              </w:rPr>
            </w:pP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rPr>
                <w:rFonts w:hint="eastAsia" w:ascii="宋体" w:hAnsi="宋体" w:eastAsia="宋体" w:cs="宋体"/>
                <w:i w:val="0"/>
                <w:iCs w:val="0"/>
                <w:color w:val="auto"/>
                <w:sz w:val="21"/>
                <w:szCs w:val="21"/>
                <w:highlight w:val="none"/>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rPr>
                <w:rFonts w:hint="eastAsia" w:ascii="宋体" w:hAnsi="宋体" w:eastAsia="宋体" w:cs="宋体"/>
                <w:i w:val="0"/>
                <w:iCs w:val="0"/>
                <w:color w:val="auto"/>
                <w:sz w:val="21"/>
                <w:szCs w:val="21"/>
                <w:highlight w:val="none"/>
                <w:u w:val="none"/>
              </w:rPr>
            </w:pPr>
          </w:p>
        </w:tc>
        <w:tc>
          <w:tcPr>
            <w:tcW w:w="1083"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9" w:hRule="atLeast"/>
        </w:trPr>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部门（单位）自评结论</w:t>
            </w:r>
          </w:p>
        </w:tc>
        <w:tc>
          <w:tcPr>
            <w:tcW w:w="4487"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2022年我单位乡村振兴支出绩效自查自评结果良好，全年基本支出保证了乡村振兴工作的正常运转，按照 2022年度部门 脱贫攻坚专项资金支出绩效评价指标体系对我单位预算编制、预算执行、完成结果、信息公开、整改反馈等方面进行了自评。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55" w:hRule="atLeast"/>
        </w:trPr>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部门（单位）自评存在问题</w:t>
            </w:r>
          </w:p>
        </w:tc>
        <w:tc>
          <w:tcPr>
            <w:tcW w:w="4487"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预算绩效管理需进一步加强，设定的绩效目标还不够科学精准。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60" w:hRule="atLeast"/>
        </w:trPr>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部门（单位）自评改进措施</w:t>
            </w:r>
          </w:p>
        </w:tc>
        <w:tc>
          <w:tcPr>
            <w:tcW w:w="4487"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1、进一步健全和完善财务管理制度及内部控制制度，创新管理手段，用新思路、新方法，改进完善财务管理方法。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2、加强部门预算绩效管理的指导和培训，增强提高绩效管理业务人员绩效管理能力、专业素质和思想水平。</w:t>
            </w:r>
          </w:p>
        </w:tc>
      </w:tr>
    </w:tbl>
    <w:p>
      <w:pPr>
        <w:keepNext w:val="0"/>
        <w:keepLines w:val="0"/>
        <w:pageBreakBefore w:val="0"/>
        <w:widowControl w:val="0"/>
        <w:shd w:val="clear"/>
        <w:kinsoku/>
        <w:wordWrap/>
        <w:overflowPunct/>
        <w:topLinePunct w:val="0"/>
        <w:autoSpaceDE/>
        <w:autoSpaceDN/>
        <w:bidi w:val="0"/>
        <w:adjustRightInd/>
        <w:snapToGrid/>
        <w:spacing w:line="100" w:lineRule="exact"/>
        <w:textAlignment w:val="auto"/>
        <w:outlineLvl w:val="9"/>
        <w:rPr>
          <w:rStyle w:val="22"/>
          <w:rFonts w:ascii="黑体" w:hAnsi="黑体" w:eastAsia="黑体"/>
          <w:b w:val="0"/>
          <w:color w:val="auto"/>
          <w:highlight w:val="none"/>
        </w:rPr>
      </w:pPr>
    </w:p>
    <w:p>
      <w:pPr>
        <w:pStyle w:val="14"/>
        <w:keepNext w:val="0"/>
        <w:keepLines w:val="0"/>
        <w:pageBreakBefore w:val="0"/>
        <w:shd w:val="clear"/>
        <w:kinsoku/>
        <w:wordWrap/>
        <w:overflowPunct/>
        <w:topLinePunct w:val="0"/>
        <w:autoSpaceDE/>
        <w:autoSpaceDN/>
        <w:bidi w:val="0"/>
        <w:outlineLvl w:val="9"/>
        <w:rPr>
          <w:color w:val="auto"/>
          <w:highlight w:val="none"/>
        </w:rPr>
        <w:sectPr>
          <w:pgSz w:w="16838" w:h="11906" w:orient="landscape"/>
          <w:pgMar w:top="1134" w:right="1134" w:bottom="1134" w:left="1134" w:header="851" w:footer="992" w:gutter="0"/>
          <w:pgNumType w:fmt="decimal"/>
          <w:cols w:space="0" w:num="1"/>
          <w:titlePg/>
          <w:rtlGutter w:val="0"/>
          <w:docGrid w:type="lines" w:linePitch="321" w:charSpace="0"/>
        </w:sectPr>
      </w:pPr>
    </w:p>
    <w:p>
      <w:pPr>
        <w:keepNext w:val="0"/>
        <w:keepLines w:val="0"/>
        <w:pageBreakBefore w:val="0"/>
        <w:widowControl w:val="0"/>
        <w:shd w:val="clear"/>
        <w:kinsoku/>
        <w:wordWrap/>
        <w:overflowPunct/>
        <w:topLinePunct w:val="0"/>
        <w:autoSpaceDE/>
        <w:autoSpaceDN/>
        <w:bidi w:val="0"/>
        <w:adjustRightInd/>
        <w:snapToGrid/>
        <w:spacing w:line="576" w:lineRule="exact"/>
        <w:textAlignment w:val="auto"/>
        <w:outlineLvl w:val="9"/>
        <w:rPr>
          <w:color w:val="auto"/>
          <w:highlight w:val="none"/>
        </w:rPr>
      </w:pPr>
    </w:p>
    <w:p>
      <w:pPr>
        <w:pStyle w:val="37"/>
        <w:keepNext w:val="0"/>
        <w:keepLines w:val="0"/>
        <w:pageBreakBefore w:val="0"/>
        <w:widowControl w:val="0"/>
        <w:shd w:val="clear"/>
        <w:kinsoku/>
        <w:wordWrap/>
        <w:overflowPunct/>
        <w:topLinePunct w:val="0"/>
        <w:autoSpaceDE/>
        <w:autoSpaceDN/>
        <w:bidi w:val="0"/>
        <w:adjustRightInd/>
        <w:snapToGrid/>
        <w:spacing w:line="576" w:lineRule="exact"/>
        <w:jc w:val="center"/>
        <w:textAlignment w:val="auto"/>
        <w:outlineLvl w:val="9"/>
        <w:rPr>
          <w:rFonts w:hint="eastAsia" w:ascii="方正小标宋简体" w:hAnsi="方正小标宋简体" w:eastAsia="方正小标宋简体" w:cs="方正小标宋简体"/>
          <w:b w:val="0"/>
          <w:bCs w:val="0"/>
          <w:color w:val="auto"/>
          <w:kern w:val="2"/>
          <w:sz w:val="44"/>
          <w:szCs w:val="44"/>
          <w:highlight w:val="none"/>
          <w:lang w:val="en-US" w:eastAsia="zh-CN"/>
        </w:rPr>
      </w:pPr>
      <w:r>
        <w:rPr>
          <w:rFonts w:hint="eastAsia" w:ascii="方正小标宋简体" w:hAnsi="方正小标宋简体" w:eastAsia="方正小标宋简体" w:cs="方正小标宋简体"/>
          <w:b w:val="0"/>
          <w:bCs w:val="0"/>
          <w:color w:val="auto"/>
          <w:kern w:val="2"/>
          <w:sz w:val="44"/>
          <w:szCs w:val="44"/>
          <w:highlight w:val="none"/>
          <w:lang w:val="en-US" w:eastAsia="zh-CN"/>
        </w:rPr>
        <w:t>广元市经济合作和外事局</w:t>
      </w:r>
    </w:p>
    <w:p>
      <w:pPr>
        <w:pStyle w:val="37"/>
        <w:keepNext w:val="0"/>
        <w:keepLines w:val="0"/>
        <w:pageBreakBefore w:val="0"/>
        <w:widowControl w:val="0"/>
        <w:shd w:val="clear"/>
        <w:kinsoku/>
        <w:wordWrap/>
        <w:overflowPunct/>
        <w:topLinePunct w:val="0"/>
        <w:autoSpaceDE/>
        <w:autoSpaceDN/>
        <w:bidi w:val="0"/>
        <w:adjustRightInd/>
        <w:snapToGrid/>
        <w:spacing w:line="576" w:lineRule="exact"/>
        <w:jc w:val="center"/>
        <w:textAlignment w:val="auto"/>
        <w:outlineLvl w:val="9"/>
        <w:rPr>
          <w:rFonts w:hint="eastAsia" w:ascii="方正小标宋简体" w:hAnsi="方正小标宋简体" w:eastAsia="方正小标宋简体" w:cs="方正小标宋简体"/>
          <w:b w:val="0"/>
          <w:bCs w:val="0"/>
          <w:color w:val="auto"/>
          <w:kern w:val="2"/>
          <w:sz w:val="44"/>
          <w:szCs w:val="44"/>
          <w:highlight w:val="none"/>
          <w:lang w:val="en-US" w:eastAsia="zh-CN"/>
        </w:rPr>
      </w:pPr>
      <w:r>
        <w:rPr>
          <w:rFonts w:hint="eastAsia" w:ascii="方正小标宋简体" w:hAnsi="方正小标宋简体" w:eastAsia="方正小标宋简体" w:cs="方正小标宋简体"/>
          <w:b w:val="0"/>
          <w:bCs w:val="0"/>
          <w:color w:val="auto"/>
          <w:kern w:val="2"/>
          <w:sz w:val="44"/>
          <w:szCs w:val="44"/>
          <w:highlight w:val="none"/>
          <w:lang w:val="en-US" w:eastAsia="zh-CN"/>
        </w:rPr>
        <w:t>关于2022年度招商引资项目支出绩效</w:t>
      </w:r>
    </w:p>
    <w:p>
      <w:pPr>
        <w:pStyle w:val="37"/>
        <w:keepNext w:val="0"/>
        <w:keepLines w:val="0"/>
        <w:pageBreakBefore w:val="0"/>
        <w:widowControl w:val="0"/>
        <w:shd w:val="clear"/>
        <w:kinsoku/>
        <w:wordWrap/>
        <w:overflowPunct/>
        <w:topLinePunct w:val="0"/>
        <w:autoSpaceDE/>
        <w:autoSpaceDN/>
        <w:bidi w:val="0"/>
        <w:adjustRightInd/>
        <w:snapToGrid/>
        <w:spacing w:line="576" w:lineRule="exact"/>
        <w:jc w:val="center"/>
        <w:textAlignment w:val="auto"/>
        <w:outlineLvl w:val="9"/>
        <w:rPr>
          <w:rFonts w:hint="eastAsia" w:ascii="方正小标宋简体" w:hAnsi="方正小标宋简体" w:eastAsia="方正小标宋简体" w:cs="方正小标宋简体"/>
          <w:b w:val="0"/>
          <w:bCs w:val="0"/>
          <w:color w:val="auto"/>
          <w:kern w:val="2"/>
          <w:sz w:val="44"/>
          <w:szCs w:val="44"/>
          <w:highlight w:val="none"/>
          <w:lang w:val="en-US" w:eastAsia="zh-CN"/>
        </w:rPr>
      </w:pPr>
      <w:r>
        <w:rPr>
          <w:rFonts w:hint="eastAsia" w:ascii="方正小标宋简体" w:hAnsi="方正小标宋简体" w:eastAsia="方正小标宋简体" w:cs="方正小标宋简体"/>
          <w:b w:val="0"/>
          <w:bCs w:val="0"/>
          <w:color w:val="auto"/>
          <w:kern w:val="2"/>
          <w:sz w:val="44"/>
          <w:szCs w:val="44"/>
          <w:highlight w:val="none"/>
          <w:lang w:val="en-US" w:eastAsia="zh-CN"/>
        </w:rPr>
        <w:t>自 评 报 告</w:t>
      </w:r>
    </w:p>
    <w:p>
      <w:pPr>
        <w:pStyle w:val="37"/>
        <w:keepNext w:val="0"/>
        <w:keepLines w:val="0"/>
        <w:pageBreakBefore w:val="0"/>
        <w:widowControl w:val="0"/>
        <w:shd w:val="clear"/>
        <w:kinsoku/>
        <w:wordWrap/>
        <w:overflowPunct/>
        <w:topLinePunct w:val="0"/>
        <w:autoSpaceDE/>
        <w:autoSpaceDN/>
        <w:bidi w:val="0"/>
        <w:adjustRightInd/>
        <w:snapToGrid/>
        <w:spacing w:line="576" w:lineRule="exact"/>
        <w:jc w:val="center"/>
        <w:textAlignment w:val="auto"/>
        <w:outlineLvl w:val="9"/>
        <w:rPr>
          <w:rFonts w:hint="eastAsia" w:ascii="宋体" w:hAnsi="宋体" w:eastAsia="方正小标宋简体" w:cs="方正小标宋简体"/>
          <w:b w:val="0"/>
          <w:bCs w:val="0"/>
          <w:color w:val="auto"/>
          <w:kern w:val="2"/>
          <w:sz w:val="44"/>
          <w:szCs w:val="44"/>
          <w:highlight w:val="none"/>
          <w:lang w:val="en-US" w:eastAsia="zh-CN"/>
        </w:rPr>
      </w:pPr>
    </w:p>
    <w:p>
      <w:pPr>
        <w:pStyle w:val="37"/>
        <w:keepNext w:val="0"/>
        <w:keepLines w:val="0"/>
        <w:pageBreakBefore w:val="0"/>
        <w:widowControl w:val="0"/>
        <w:shd w:val="clear"/>
        <w:kinsoku/>
        <w:wordWrap/>
        <w:overflowPunct/>
        <w:topLinePunct w:val="0"/>
        <w:autoSpaceDE/>
        <w:autoSpaceDN/>
        <w:bidi w:val="0"/>
        <w:adjustRightInd/>
        <w:snapToGrid/>
        <w:spacing w:line="576" w:lineRule="exact"/>
        <w:jc w:val="left"/>
        <w:textAlignment w:val="auto"/>
        <w:outlineLvl w:val="9"/>
        <w:rPr>
          <w:rFonts w:hint="eastAsia" w:ascii="宋体" w:hAnsi="宋体" w:eastAsia="仿宋_GB2312" w:cs="仿宋_GB2312"/>
          <w:color w:val="auto"/>
          <w:kern w:val="0"/>
          <w:sz w:val="32"/>
          <w:szCs w:val="32"/>
          <w:highlight w:val="none"/>
          <w:lang w:val="en-US" w:eastAsia="zh-CN" w:bidi="ar-SA"/>
        </w:rPr>
      </w:pPr>
      <w:r>
        <w:rPr>
          <w:rFonts w:hint="eastAsia" w:ascii="宋体" w:hAnsi="宋体" w:eastAsia="仿宋_GB2312" w:cs="仿宋_GB2312"/>
          <w:color w:val="auto"/>
          <w:kern w:val="0"/>
          <w:sz w:val="32"/>
          <w:szCs w:val="32"/>
          <w:highlight w:val="none"/>
          <w:lang w:val="en-US" w:eastAsia="zh-CN" w:bidi="ar-SA"/>
        </w:rPr>
        <w:t>市财政局绩效管理中心：</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宋体" w:hAnsi="宋体" w:eastAsia="仿宋_GB2312" w:cs="仿宋_GB2312"/>
          <w:color w:val="auto"/>
          <w:kern w:val="0"/>
          <w:sz w:val="32"/>
          <w:szCs w:val="32"/>
          <w:highlight w:val="none"/>
          <w:lang w:val="en-US" w:eastAsia="zh-CN" w:bidi="ar-SA"/>
        </w:rPr>
      </w:pPr>
      <w:r>
        <w:rPr>
          <w:rFonts w:hint="eastAsia" w:ascii="宋体" w:hAnsi="宋体" w:eastAsia="仿宋_GB2312" w:cs="仿宋_GB2312"/>
          <w:color w:val="auto"/>
          <w:kern w:val="0"/>
          <w:sz w:val="32"/>
          <w:szCs w:val="32"/>
          <w:highlight w:val="none"/>
          <w:lang w:val="en-US" w:eastAsia="zh-CN" w:bidi="ar-SA"/>
        </w:rPr>
        <w:t>按照市财政局《关于开展2022年市级部门绩效自评工作的通知》（广财绩</w:t>
      </w:r>
      <w:r>
        <w:rPr>
          <w:rFonts w:hint="eastAsia" w:ascii="宋体" w:hAnsi="宋体" w:eastAsia="仿宋_GB2312" w:cs="仿宋_GB2312"/>
          <w:color w:val="auto"/>
          <w:kern w:val="0"/>
          <w:sz w:val="32"/>
          <w:szCs w:val="32"/>
          <w:highlight w:val="none"/>
          <w:lang w:val="zh-CN" w:eastAsia="zh-CN" w:bidi="ar-SA"/>
        </w:rPr>
        <w:t>〔202</w:t>
      </w:r>
      <w:r>
        <w:rPr>
          <w:rFonts w:hint="eastAsia" w:ascii="宋体" w:hAnsi="宋体" w:eastAsia="仿宋_GB2312" w:cs="仿宋_GB2312"/>
          <w:color w:val="auto"/>
          <w:kern w:val="0"/>
          <w:sz w:val="32"/>
          <w:szCs w:val="32"/>
          <w:highlight w:val="none"/>
          <w:lang w:val="en-US" w:eastAsia="zh-CN" w:bidi="ar-SA"/>
        </w:rPr>
        <w:t>3</w:t>
      </w:r>
      <w:r>
        <w:rPr>
          <w:rFonts w:hint="eastAsia" w:ascii="宋体" w:hAnsi="宋体" w:eastAsia="仿宋_GB2312" w:cs="仿宋_GB2312"/>
          <w:color w:val="auto"/>
          <w:kern w:val="0"/>
          <w:sz w:val="32"/>
          <w:szCs w:val="32"/>
          <w:highlight w:val="none"/>
          <w:lang w:val="zh-CN" w:eastAsia="zh-CN" w:bidi="ar-SA"/>
        </w:rPr>
        <w:t>〕</w:t>
      </w:r>
      <w:r>
        <w:rPr>
          <w:rFonts w:hint="eastAsia" w:ascii="宋体" w:hAnsi="宋体" w:eastAsia="仿宋_GB2312" w:cs="仿宋_GB2312"/>
          <w:color w:val="auto"/>
          <w:kern w:val="0"/>
          <w:sz w:val="32"/>
          <w:szCs w:val="32"/>
          <w:highlight w:val="none"/>
          <w:lang w:val="en-US" w:eastAsia="zh-CN" w:bidi="ar-SA"/>
        </w:rPr>
        <w:t>5</w:t>
      </w:r>
      <w:r>
        <w:rPr>
          <w:rFonts w:hint="eastAsia" w:ascii="宋体" w:hAnsi="宋体" w:eastAsia="仿宋_GB2312" w:cs="仿宋_GB2312"/>
          <w:color w:val="auto"/>
          <w:kern w:val="0"/>
          <w:sz w:val="32"/>
          <w:szCs w:val="32"/>
          <w:highlight w:val="none"/>
          <w:lang w:val="zh-CN" w:eastAsia="zh-CN" w:bidi="ar-SA"/>
        </w:rPr>
        <w:t>号</w:t>
      </w:r>
      <w:r>
        <w:rPr>
          <w:rFonts w:hint="eastAsia" w:ascii="宋体" w:hAnsi="宋体" w:eastAsia="仿宋_GB2312" w:cs="仿宋_GB2312"/>
          <w:color w:val="auto"/>
          <w:kern w:val="0"/>
          <w:sz w:val="32"/>
          <w:szCs w:val="32"/>
          <w:highlight w:val="none"/>
          <w:lang w:val="en-US" w:eastAsia="zh-CN" w:bidi="ar-SA"/>
        </w:rPr>
        <w:t>）文件精神和要求，我局结合单位财务管理实际，认真开展了2022年市级部门专项支出绩效评价工作，现将我单位招商引资专项工作经费自评工作报告如下：</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黑体" w:hAnsi="黑体" w:eastAsia="黑体" w:cs="黑体"/>
          <w:color w:val="auto"/>
          <w:kern w:val="0"/>
          <w:sz w:val="32"/>
          <w:szCs w:val="32"/>
          <w:highlight w:val="none"/>
          <w:lang w:val="zh-CN" w:eastAsia="zh-CN" w:bidi="ar-SA"/>
        </w:rPr>
      </w:pPr>
      <w:r>
        <w:rPr>
          <w:rFonts w:hint="eastAsia" w:ascii="黑体" w:hAnsi="黑体" w:eastAsia="黑体" w:cs="黑体"/>
          <w:color w:val="auto"/>
          <w:kern w:val="0"/>
          <w:sz w:val="32"/>
          <w:szCs w:val="32"/>
          <w:highlight w:val="none"/>
          <w:lang w:val="en-US" w:eastAsia="zh-CN" w:bidi="ar-SA"/>
        </w:rPr>
        <w:t>一、</w:t>
      </w:r>
      <w:r>
        <w:rPr>
          <w:rFonts w:hint="eastAsia" w:ascii="黑体" w:hAnsi="黑体" w:eastAsia="黑体" w:cs="黑体"/>
          <w:color w:val="auto"/>
          <w:kern w:val="0"/>
          <w:sz w:val="32"/>
          <w:szCs w:val="32"/>
          <w:highlight w:val="none"/>
          <w:lang w:val="zh-CN" w:eastAsia="zh-CN" w:bidi="ar-SA"/>
        </w:rPr>
        <w:t>项目概况</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楷体_GB2312" w:hAnsi="楷体_GB2312" w:eastAsia="楷体_GB2312" w:cs="楷体_GB2312"/>
          <w:color w:val="auto"/>
          <w:kern w:val="0"/>
          <w:sz w:val="32"/>
          <w:szCs w:val="32"/>
          <w:highlight w:val="none"/>
          <w:lang w:val="zh-CN" w:eastAsia="zh-CN" w:bidi="ar-SA"/>
        </w:rPr>
      </w:pPr>
      <w:r>
        <w:rPr>
          <w:rFonts w:hint="eastAsia" w:ascii="楷体_GB2312" w:hAnsi="楷体_GB2312" w:eastAsia="楷体_GB2312" w:cs="楷体_GB2312"/>
          <w:color w:val="auto"/>
          <w:kern w:val="0"/>
          <w:sz w:val="32"/>
          <w:szCs w:val="32"/>
          <w:highlight w:val="none"/>
          <w:lang w:val="zh-CN" w:eastAsia="zh-CN" w:bidi="ar-SA"/>
        </w:rPr>
        <w:t>（一）项目基本情况</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宋体" w:hAnsi="宋体" w:eastAsia="仿宋_GB2312" w:cs="仿宋_GB2312"/>
          <w:color w:val="auto"/>
          <w:kern w:val="0"/>
          <w:sz w:val="32"/>
          <w:szCs w:val="32"/>
          <w:highlight w:val="none"/>
          <w:lang w:val="zh-CN" w:eastAsia="zh-CN" w:bidi="ar-SA"/>
        </w:rPr>
      </w:pPr>
      <w:r>
        <w:rPr>
          <w:rFonts w:hint="eastAsia" w:ascii="宋体" w:hAnsi="宋体" w:eastAsia="仿宋_GB2312" w:cs="仿宋_GB2312"/>
          <w:color w:val="auto"/>
          <w:kern w:val="0"/>
          <w:sz w:val="32"/>
          <w:szCs w:val="32"/>
          <w:highlight w:val="none"/>
          <w:lang w:val="zh-CN" w:eastAsia="zh-CN" w:bidi="ar-SA"/>
        </w:rPr>
        <w:t>1</w:t>
      </w:r>
      <w:r>
        <w:rPr>
          <w:rFonts w:hint="eastAsia" w:ascii="宋体" w:hAnsi="宋体" w:eastAsia="仿宋_GB2312" w:cs="仿宋_GB2312"/>
          <w:color w:val="auto"/>
          <w:kern w:val="0"/>
          <w:sz w:val="32"/>
          <w:szCs w:val="32"/>
          <w:highlight w:val="none"/>
          <w:lang w:val="en-US" w:eastAsia="zh-CN" w:bidi="ar-SA"/>
        </w:rPr>
        <w:t>.</w:t>
      </w:r>
      <w:r>
        <w:rPr>
          <w:rFonts w:hint="eastAsia" w:ascii="宋体" w:hAnsi="宋体" w:eastAsia="仿宋_GB2312" w:cs="仿宋_GB2312"/>
          <w:color w:val="auto"/>
          <w:kern w:val="0"/>
          <w:sz w:val="32"/>
          <w:szCs w:val="32"/>
          <w:highlight w:val="none"/>
          <w:lang w:val="zh-CN" w:eastAsia="zh-CN" w:bidi="ar-SA"/>
        </w:rPr>
        <w:t>说明项目主管部门（单位）在该项目管理中的职能。</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宋体" w:hAnsi="宋体" w:eastAsia="仿宋_GB2312" w:cs="仿宋_GB2312"/>
          <w:color w:val="auto"/>
          <w:kern w:val="0"/>
          <w:sz w:val="32"/>
          <w:szCs w:val="32"/>
          <w:highlight w:val="none"/>
          <w:lang w:val="zh-CN" w:eastAsia="zh-CN" w:bidi="ar-SA"/>
        </w:rPr>
      </w:pPr>
      <w:r>
        <w:rPr>
          <w:rFonts w:hint="eastAsia" w:ascii="宋体" w:hAnsi="宋体" w:eastAsia="仿宋_GB2312" w:cs="仿宋_GB2312"/>
          <w:color w:val="auto"/>
          <w:kern w:val="0"/>
          <w:sz w:val="32"/>
          <w:szCs w:val="32"/>
          <w:highlight w:val="none"/>
          <w:lang w:val="en-US" w:eastAsia="zh-CN" w:bidi="ar-SA"/>
        </w:rPr>
        <w:t>用于保障我单位重大招商引资项目的考察、论证、洽谈、宣传和推介活动，国内外重要投资商来广元考察、洽谈及接待活动，市委、市政府在国内外开展的重点招商引资等工作的顺利开展。</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宋体" w:hAnsi="宋体" w:eastAsia="仿宋_GB2312" w:cs="仿宋_GB2312"/>
          <w:color w:val="auto"/>
          <w:kern w:val="0"/>
          <w:sz w:val="32"/>
          <w:szCs w:val="32"/>
          <w:highlight w:val="none"/>
          <w:lang w:val="en-US" w:eastAsia="zh-CN" w:bidi="ar-SA"/>
        </w:rPr>
      </w:pPr>
      <w:r>
        <w:rPr>
          <w:rFonts w:hint="eastAsia" w:ascii="宋体" w:hAnsi="宋体" w:eastAsia="仿宋_GB2312" w:cs="仿宋_GB2312"/>
          <w:color w:val="auto"/>
          <w:kern w:val="0"/>
          <w:sz w:val="32"/>
          <w:szCs w:val="32"/>
          <w:highlight w:val="none"/>
          <w:lang w:val="en-US" w:eastAsia="zh-CN" w:bidi="ar-SA"/>
        </w:rPr>
        <w:t>2.</w:t>
      </w:r>
      <w:r>
        <w:rPr>
          <w:rFonts w:hint="eastAsia" w:ascii="宋体" w:hAnsi="宋体" w:eastAsia="仿宋_GB2312" w:cs="仿宋_GB2312"/>
          <w:color w:val="auto"/>
          <w:kern w:val="0"/>
          <w:sz w:val="32"/>
          <w:szCs w:val="32"/>
          <w:highlight w:val="none"/>
          <w:lang w:val="zh-CN" w:eastAsia="zh-CN" w:bidi="ar-SA"/>
        </w:rPr>
        <w:t>项目立项、资金申报的依据。</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default" w:ascii="宋体" w:hAnsi="宋体" w:eastAsia="仿宋_GB2312" w:cs="仿宋_GB2312"/>
          <w:color w:val="auto"/>
          <w:kern w:val="0"/>
          <w:sz w:val="32"/>
          <w:szCs w:val="32"/>
          <w:highlight w:val="none"/>
          <w:lang w:val="en-US" w:eastAsia="zh-CN" w:bidi="ar-SA"/>
        </w:rPr>
      </w:pPr>
      <w:r>
        <w:rPr>
          <w:rFonts w:hint="eastAsia" w:ascii="宋体" w:hAnsi="宋体" w:eastAsia="仿宋_GB2312" w:cs="仿宋_GB2312"/>
          <w:color w:val="auto"/>
          <w:kern w:val="0"/>
          <w:sz w:val="32"/>
          <w:szCs w:val="32"/>
          <w:highlight w:val="none"/>
          <w:lang w:val="zh-CN" w:eastAsia="zh-CN" w:bidi="ar-SA"/>
        </w:rPr>
        <w:t>根据广元市财政局《关于印发</w:t>
      </w:r>
      <w:r>
        <w:rPr>
          <w:rFonts w:hint="eastAsia" w:ascii="宋体" w:hAnsi="宋体" w:eastAsia="仿宋_GB2312" w:cs="仿宋_GB2312"/>
          <w:color w:val="auto"/>
          <w:kern w:val="0"/>
          <w:sz w:val="32"/>
          <w:szCs w:val="32"/>
          <w:highlight w:val="none"/>
          <w:lang w:val="en-US" w:eastAsia="zh-CN" w:bidi="ar-SA"/>
        </w:rPr>
        <w:t>&lt;</w:t>
      </w:r>
      <w:r>
        <w:rPr>
          <w:rFonts w:hint="eastAsia" w:ascii="宋体" w:hAnsi="宋体" w:eastAsia="仿宋_GB2312" w:cs="仿宋_GB2312"/>
          <w:color w:val="auto"/>
          <w:kern w:val="0"/>
          <w:sz w:val="32"/>
          <w:szCs w:val="32"/>
          <w:highlight w:val="none"/>
          <w:lang w:val="zh-CN" w:eastAsia="zh-CN" w:bidi="ar-SA"/>
        </w:rPr>
        <w:t>广元市招商引资专项资金管理办法</w:t>
      </w:r>
      <w:r>
        <w:rPr>
          <w:rFonts w:hint="eastAsia" w:ascii="宋体" w:hAnsi="宋体" w:eastAsia="仿宋_GB2312" w:cs="仿宋_GB2312"/>
          <w:color w:val="auto"/>
          <w:kern w:val="0"/>
          <w:sz w:val="32"/>
          <w:szCs w:val="32"/>
          <w:highlight w:val="none"/>
          <w:lang w:val="en-US" w:eastAsia="zh-CN" w:bidi="ar-SA"/>
        </w:rPr>
        <w:t>&gt;</w:t>
      </w:r>
      <w:r>
        <w:rPr>
          <w:rFonts w:hint="eastAsia" w:ascii="宋体" w:hAnsi="宋体" w:eastAsia="仿宋_GB2312" w:cs="仿宋_GB2312"/>
          <w:color w:val="auto"/>
          <w:kern w:val="0"/>
          <w:sz w:val="32"/>
          <w:szCs w:val="32"/>
          <w:highlight w:val="none"/>
          <w:lang w:val="zh-CN" w:eastAsia="zh-CN" w:bidi="ar-SA"/>
        </w:rPr>
        <w:t>的通知》（</w:t>
      </w:r>
      <w:r>
        <w:rPr>
          <w:rFonts w:hint="eastAsia" w:ascii="宋体" w:hAnsi="宋体" w:eastAsia="仿宋_GB2312" w:cs="仿宋_GB2312"/>
          <w:color w:val="auto"/>
          <w:kern w:val="0"/>
          <w:sz w:val="32"/>
          <w:szCs w:val="32"/>
          <w:highlight w:val="none"/>
          <w:lang w:val="en-US" w:eastAsia="zh-CN" w:bidi="ar-SA"/>
        </w:rPr>
        <w:t>广财行</w:t>
      </w:r>
      <w:r>
        <w:rPr>
          <w:rFonts w:hint="eastAsia" w:ascii="宋体" w:hAnsi="宋体" w:eastAsia="仿宋_GB2312" w:cs="仿宋_GB2312"/>
          <w:color w:val="auto"/>
          <w:kern w:val="0"/>
          <w:sz w:val="32"/>
          <w:szCs w:val="32"/>
          <w:highlight w:val="none"/>
          <w:lang w:val="zh-CN" w:eastAsia="zh-CN" w:bidi="ar-SA"/>
        </w:rPr>
        <w:t>〔</w:t>
      </w:r>
      <w:r>
        <w:rPr>
          <w:rFonts w:hint="eastAsia" w:ascii="宋体" w:hAnsi="宋体" w:eastAsia="仿宋_GB2312" w:cs="仿宋_GB2312"/>
          <w:color w:val="auto"/>
          <w:kern w:val="0"/>
          <w:sz w:val="32"/>
          <w:szCs w:val="32"/>
          <w:highlight w:val="none"/>
          <w:lang w:val="en-US" w:eastAsia="zh-CN" w:bidi="ar-SA"/>
        </w:rPr>
        <w:t>2018</w:t>
      </w:r>
      <w:r>
        <w:rPr>
          <w:rFonts w:hint="eastAsia" w:ascii="宋体" w:hAnsi="宋体" w:eastAsia="仿宋_GB2312" w:cs="仿宋_GB2312"/>
          <w:color w:val="auto"/>
          <w:kern w:val="0"/>
          <w:sz w:val="32"/>
          <w:szCs w:val="32"/>
          <w:highlight w:val="none"/>
          <w:lang w:val="zh-CN" w:eastAsia="zh-CN" w:bidi="ar-SA"/>
        </w:rPr>
        <w:t>〕</w:t>
      </w:r>
      <w:r>
        <w:rPr>
          <w:rFonts w:hint="eastAsia" w:ascii="宋体" w:hAnsi="宋体" w:eastAsia="仿宋_GB2312" w:cs="仿宋_GB2312"/>
          <w:color w:val="auto"/>
          <w:kern w:val="0"/>
          <w:sz w:val="32"/>
          <w:szCs w:val="32"/>
          <w:highlight w:val="none"/>
          <w:lang w:val="en-US" w:eastAsia="zh-CN" w:bidi="ar-SA"/>
        </w:rPr>
        <w:t>46号）</w:t>
      </w:r>
      <w:r>
        <w:rPr>
          <w:rFonts w:hint="eastAsia" w:ascii="宋体" w:hAnsi="宋体" w:eastAsia="仿宋_GB2312" w:cs="仿宋_GB2312"/>
          <w:color w:val="auto"/>
          <w:kern w:val="0"/>
          <w:sz w:val="32"/>
          <w:szCs w:val="32"/>
          <w:highlight w:val="none"/>
          <w:lang w:val="zh-CN" w:eastAsia="zh-CN" w:bidi="ar-SA"/>
        </w:rPr>
        <w:t>。招商引资专项经费按照每季度</w:t>
      </w:r>
      <w:r>
        <w:rPr>
          <w:rFonts w:hint="eastAsia" w:ascii="宋体" w:hAnsi="宋体" w:eastAsia="仿宋_GB2312" w:cs="仿宋_GB2312"/>
          <w:color w:val="auto"/>
          <w:kern w:val="0"/>
          <w:sz w:val="32"/>
          <w:szCs w:val="32"/>
          <w:highlight w:val="none"/>
          <w:lang w:val="en-US" w:eastAsia="zh-CN" w:bidi="ar-SA"/>
        </w:rPr>
        <w:t>100万实时</w:t>
      </w:r>
      <w:r>
        <w:rPr>
          <w:rFonts w:hint="eastAsia" w:ascii="宋体" w:hAnsi="宋体" w:eastAsia="仿宋_GB2312" w:cs="仿宋_GB2312"/>
          <w:color w:val="auto"/>
          <w:kern w:val="0"/>
          <w:sz w:val="32"/>
          <w:szCs w:val="32"/>
          <w:highlight w:val="none"/>
          <w:lang w:val="zh-CN" w:eastAsia="zh-CN" w:bidi="ar-SA"/>
        </w:rPr>
        <w:t>拨付，经费由市财政局划拨到市经济合作和外事局统一管理和使用</w:t>
      </w:r>
      <w:r>
        <w:rPr>
          <w:rFonts w:hint="eastAsia" w:ascii="宋体" w:hAnsi="宋体" w:eastAsia="仿宋_GB2312" w:cs="仿宋_GB2312"/>
          <w:color w:val="auto"/>
          <w:kern w:val="0"/>
          <w:sz w:val="32"/>
          <w:szCs w:val="32"/>
          <w:highlight w:val="none"/>
          <w:lang w:val="en-US" w:eastAsia="zh-CN" w:bidi="ar-SA"/>
        </w:rPr>
        <w:t>。</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宋体" w:hAnsi="宋体" w:eastAsia="仿宋_GB2312" w:cs="仿宋_GB2312"/>
          <w:color w:val="auto"/>
          <w:kern w:val="0"/>
          <w:sz w:val="32"/>
          <w:szCs w:val="32"/>
          <w:highlight w:val="none"/>
          <w:lang w:val="en-US" w:eastAsia="zh-CN" w:bidi="ar-SA"/>
        </w:rPr>
      </w:pPr>
      <w:r>
        <w:rPr>
          <w:rFonts w:hint="eastAsia" w:ascii="宋体" w:hAnsi="宋体" w:eastAsia="仿宋_GB2312" w:cs="仿宋_GB2312"/>
          <w:color w:val="auto"/>
          <w:kern w:val="0"/>
          <w:sz w:val="32"/>
          <w:szCs w:val="32"/>
          <w:highlight w:val="none"/>
          <w:lang w:val="zh-CN" w:eastAsia="zh-CN" w:bidi="ar-SA"/>
        </w:rPr>
        <w:t>资金</w:t>
      </w:r>
      <w:r>
        <w:rPr>
          <w:rFonts w:hint="eastAsia" w:ascii="宋体" w:hAnsi="宋体" w:eastAsia="仿宋_GB2312" w:cs="仿宋_GB2312"/>
          <w:color w:val="auto"/>
          <w:kern w:val="0"/>
          <w:sz w:val="32"/>
          <w:szCs w:val="32"/>
          <w:highlight w:val="none"/>
          <w:lang w:val="en-US" w:eastAsia="zh-CN" w:bidi="ar-SA"/>
        </w:rPr>
        <w:t>或项目</w:t>
      </w:r>
      <w:r>
        <w:rPr>
          <w:rFonts w:hint="eastAsia" w:ascii="宋体" w:hAnsi="宋体" w:eastAsia="仿宋_GB2312" w:cs="仿宋_GB2312"/>
          <w:color w:val="auto"/>
          <w:kern w:val="0"/>
          <w:sz w:val="32"/>
          <w:szCs w:val="32"/>
          <w:highlight w:val="none"/>
          <w:lang w:val="zh-CN" w:eastAsia="zh-CN" w:bidi="ar-SA"/>
        </w:rPr>
        <w:t>管理办法制定情况，资金支持具体项目的条件、范围与支持方式概况。</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宋体" w:hAnsi="宋体" w:eastAsia="仿宋_GB2312" w:cs="仿宋_GB2312"/>
          <w:color w:val="auto"/>
          <w:kern w:val="0"/>
          <w:sz w:val="32"/>
          <w:szCs w:val="32"/>
          <w:highlight w:val="none"/>
          <w:lang w:val="zh-CN" w:eastAsia="zh-CN" w:bidi="ar-SA"/>
        </w:rPr>
      </w:pPr>
      <w:r>
        <w:rPr>
          <w:rFonts w:hint="eastAsia" w:ascii="宋体" w:hAnsi="宋体" w:eastAsia="仿宋_GB2312" w:cs="仿宋_GB2312"/>
          <w:color w:val="auto"/>
          <w:kern w:val="0"/>
          <w:sz w:val="32"/>
          <w:szCs w:val="32"/>
          <w:highlight w:val="none"/>
          <w:lang w:val="en-US" w:eastAsia="zh-CN" w:bidi="ar-SA"/>
        </w:rPr>
        <w:t>广元市财政局制定了</w:t>
      </w:r>
      <w:r>
        <w:rPr>
          <w:rFonts w:hint="eastAsia" w:ascii="宋体" w:hAnsi="宋体" w:eastAsia="仿宋_GB2312" w:cs="仿宋_GB2312"/>
          <w:color w:val="auto"/>
          <w:kern w:val="0"/>
          <w:sz w:val="32"/>
          <w:szCs w:val="32"/>
          <w:highlight w:val="none"/>
          <w:lang w:val="zh-CN" w:eastAsia="zh-CN" w:bidi="ar-SA"/>
        </w:rPr>
        <w:t>《关于印发</w:t>
      </w:r>
      <w:r>
        <w:rPr>
          <w:rFonts w:hint="eastAsia" w:ascii="宋体" w:hAnsi="宋体" w:eastAsia="仿宋_GB2312" w:cs="仿宋_GB2312"/>
          <w:color w:val="auto"/>
          <w:kern w:val="0"/>
          <w:sz w:val="32"/>
          <w:szCs w:val="32"/>
          <w:highlight w:val="none"/>
          <w:lang w:val="en-US" w:eastAsia="zh-CN" w:bidi="ar-SA"/>
        </w:rPr>
        <w:t>&lt;</w:t>
      </w:r>
      <w:r>
        <w:rPr>
          <w:rFonts w:hint="eastAsia" w:ascii="宋体" w:hAnsi="宋体" w:eastAsia="仿宋_GB2312" w:cs="仿宋_GB2312"/>
          <w:color w:val="auto"/>
          <w:kern w:val="0"/>
          <w:sz w:val="32"/>
          <w:szCs w:val="32"/>
          <w:highlight w:val="none"/>
          <w:lang w:val="zh-CN" w:eastAsia="zh-CN" w:bidi="ar-SA"/>
        </w:rPr>
        <w:t>广元市招商引资专项资金管理办法</w:t>
      </w:r>
      <w:r>
        <w:rPr>
          <w:rFonts w:hint="eastAsia" w:ascii="宋体" w:hAnsi="宋体" w:eastAsia="仿宋_GB2312" w:cs="仿宋_GB2312"/>
          <w:color w:val="auto"/>
          <w:kern w:val="0"/>
          <w:sz w:val="32"/>
          <w:szCs w:val="32"/>
          <w:highlight w:val="none"/>
          <w:lang w:val="en-US" w:eastAsia="zh-CN" w:bidi="ar-SA"/>
        </w:rPr>
        <w:t>&gt;</w:t>
      </w:r>
      <w:r>
        <w:rPr>
          <w:rFonts w:hint="eastAsia" w:ascii="宋体" w:hAnsi="宋体" w:eastAsia="仿宋_GB2312" w:cs="仿宋_GB2312"/>
          <w:color w:val="auto"/>
          <w:kern w:val="0"/>
          <w:sz w:val="32"/>
          <w:szCs w:val="32"/>
          <w:highlight w:val="none"/>
          <w:lang w:val="zh-CN" w:eastAsia="zh-CN" w:bidi="ar-SA"/>
        </w:rPr>
        <w:t>的通知》（</w:t>
      </w:r>
      <w:r>
        <w:rPr>
          <w:rFonts w:hint="eastAsia" w:ascii="宋体" w:hAnsi="宋体" w:eastAsia="仿宋_GB2312" w:cs="仿宋_GB2312"/>
          <w:color w:val="auto"/>
          <w:kern w:val="0"/>
          <w:sz w:val="32"/>
          <w:szCs w:val="32"/>
          <w:highlight w:val="none"/>
          <w:lang w:val="en-US" w:eastAsia="zh-CN" w:bidi="ar-SA"/>
        </w:rPr>
        <w:t>广财行</w:t>
      </w:r>
      <w:r>
        <w:rPr>
          <w:rFonts w:hint="eastAsia" w:ascii="宋体" w:hAnsi="宋体" w:eastAsia="仿宋_GB2312" w:cs="仿宋_GB2312"/>
          <w:color w:val="auto"/>
          <w:kern w:val="0"/>
          <w:sz w:val="32"/>
          <w:szCs w:val="32"/>
          <w:highlight w:val="none"/>
          <w:lang w:val="zh-CN" w:eastAsia="zh-CN" w:bidi="ar-SA"/>
        </w:rPr>
        <w:t>〔</w:t>
      </w:r>
      <w:r>
        <w:rPr>
          <w:rFonts w:hint="eastAsia" w:ascii="宋体" w:hAnsi="宋体" w:eastAsia="仿宋_GB2312" w:cs="仿宋_GB2312"/>
          <w:color w:val="auto"/>
          <w:kern w:val="0"/>
          <w:sz w:val="32"/>
          <w:szCs w:val="32"/>
          <w:highlight w:val="none"/>
          <w:lang w:val="en-US" w:eastAsia="zh-CN" w:bidi="ar-SA"/>
        </w:rPr>
        <w:t>2018</w:t>
      </w:r>
      <w:r>
        <w:rPr>
          <w:rFonts w:hint="eastAsia" w:ascii="宋体" w:hAnsi="宋体" w:eastAsia="仿宋_GB2312" w:cs="仿宋_GB2312"/>
          <w:color w:val="auto"/>
          <w:kern w:val="0"/>
          <w:sz w:val="32"/>
          <w:szCs w:val="32"/>
          <w:highlight w:val="none"/>
          <w:lang w:val="zh-CN" w:eastAsia="zh-CN" w:bidi="ar-SA"/>
        </w:rPr>
        <w:t>〕</w:t>
      </w:r>
      <w:r>
        <w:rPr>
          <w:rFonts w:hint="eastAsia" w:ascii="宋体" w:hAnsi="宋体" w:eastAsia="仿宋_GB2312" w:cs="仿宋_GB2312"/>
          <w:color w:val="auto"/>
          <w:kern w:val="0"/>
          <w:sz w:val="32"/>
          <w:szCs w:val="32"/>
          <w:highlight w:val="none"/>
          <w:lang w:val="en-US" w:eastAsia="zh-CN" w:bidi="ar-SA"/>
        </w:rPr>
        <w:t>46号）</w:t>
      </w:r>
      <w:r>
        <w:rPr>
          <w:rFonts w:hint="eastAsia" w:ascii="宋体" w:hAnsi="宋体" w:eastAsia="仿宋_GB2312" w:cs="仿宋_GB2312"/>
          <w:color w:val="auto"/>
          <w:kern w:val="0"/>
          <w:sz w:val="32"/>
          <w:szCs w:val="32"/>
          <w:highlight w:val="none"/>
          <w:lang w:val="zh-CN" w:eastAsia="zh-CN" w:bidi="ar-SA"/>
        </w:rPr>
        <w:t>，我单位制定了《广元市经济合作局商务接待管理办法（试行）的通知》（</w:t>
      </w:r>
      <w:r>
        <w:rPr>
          <w:rFonts w:hint="eastAsia" w:ascii="宋体" w:hAnsi="宋体" w:eastAsia="仿宋_GB2312" w:cs="仿宋_GB2312"/>
          <w:color w:val="auto"/>
          <w:kern w:val="0"/>
          <w:sz w:val="32"/>
          <w:szCs w:val="32"/>
          <w:highlight w:val="none"/>
          <w:lang w:val="en-US" w:eastAsia="zh-CN" w:bidi="ar-SA"/>
        </w:rPr>
        <w:t>广经合办</w:t>
      </w:r>
      <w:r>
        <w:rPr>
          <w:rFonts w:hint="eastAsia" w:ascii="宋体" w:hAnsi="宋体" w:eastAsia="仿宋_GB2312" w:cs="仿宋_GB2312"/>
          <w:color w:val="auto"/>
          <w:kern w:val="0"/>
          <w:sz w:val="32"/>
          <w:szCs w:val="32"/>
          <w:highlight w:val="none"/>
          <w:lang w:val="zh-CN" w:eastAsia="zh-CN" w:bidi="ar-SA"/>
        </w:rPr>
        <w:t>〔</w:t>
      </w:r>
      <w:r>
        <w:rPr>
          <w:rFonts w:hint="eastAsia" w:ascii="宋体" w:hAnsi="宋体" w:eastAsia="仿宋_GB2312" w:cs="仿宋_GB2312"/>
          <w:color w:val="auto"/>
          <w:kern w:val="0"/>
          <w:sz w:val="32"/>
          <w:szCs w:val="32"/>
          <w:highlight w:val="none"/>
          <w:lang w:val="en-US" w:eastAsia="zh-CN" w:bidi="ar-SA"/>
        </w:rPr>
        <w:t>2021</w:t>
      </w:r>
      <w:r>
        <w:rPr>
          <w:rFonts w:hint="eastAsia" w:ascii="宋体" w:hAnsi="宋体" w:eastAsia="仿宋_GB2312" w:cs="仿宋_GB2312"/>
          <w:color w:val="auto"/>
          <w:kern w:val="0"/>
          <w:sz w:val="32"/>
          <w:szCs w:val="32"/>
          <w:highlight w:val="none"/>
          <w:lang w:val="zh-CN" w:eastAsia="zh-CN" w:bidi="ar-SA"/>
        </w:rPr>
        <w:t>〕</w:t>
      </w:r>
      <w:r>
        <w:rPr>
          <w:rFonts w:hint="eastAsia" w:ascii="宋体" w:hAnsi="宋体" w:eastAsia="仿宋_GB2312" w:cs="仿宋_GB2312"/>
          <w:color w:val="auto"/>
          <w:kern w:val="0"/>
          <w:sz w:val="32"/>
          <w:szCs w:val="32"/>
          <w:highlight w:val="none"/>
          <w:lang w:val="en-US" w:eastAsia="zh-CN" w:bidi="ar-SA"/>
        </w:rPr>
        <w:t>1号</w:t>
      </w:r>
      <w:r>
        <w:rPr>
          <w:rFonts w:hint="eastAsia" w:ascii="宋体" w:hAnsi="宋体" w:eastAsia="仿宋_GB2312" w:cs="仿宋_GB2312"/>
          <w:color w:val="auto"/>
          <w:kern w:val="0"/>
          <w:sz w:val="32"/>
          <w:szCs w:val="32"/>
          <w:highlight w:val="none"/>
          <w:lang w:val="zh-CN" w:eastAsia="zh-CN" w:bidi="ar-SA"/>
        </w:rPr>
        <w:t>）</w:t>
      </w:r>
      <w:r>
        <w:rPr>
          <w:rFonts w:hint="eastAsia" w:ascii="宋体" w:hAnsi="宋体" w:eastAsia="仿宋_GB2312" w:cs="仿宋_GB2312"/>
          <w:color w:val="auto"/>
          <w:kern w:val="0"/>
          <w:sz w:val="32"/>
          <w:szCs w:val="32"/>
          <w:highlight w:val="none"/>
          <w:lang w:val="en-US" w:eastAsia="zh-CN" w:bidi="ar-SA"/>
        </w:rPr>
        <w:t>等一系列管理办法，并</w:t>
      </w:r>
      <w:r>
        <w:rPr>
          <w:rFonts w:hint="eastAsia" w:ascii="宋体" w:hAnsi="宋体" w:eastAsia="仿宋_GB2312" w:cs="仿宋_GB2312"/>
          <w:color w:val="auto"/>
          <w:kern w:val="0"/>
          <w:sz w:val="32"/>
          <w:szCs w:val="32"/>
          <w:highlight w:val="none"/>
          <w:lang w:val="zh-CN" w:eastAsia="zh-CN" w:bidi="ar-SA"/>
        </w:rPr>
        <w:t>严格执行财务管理制度，按照“专款专用，注重实效”的原则进行管理。严格执行</w:t>
      </w:r>
      <w:r>
        <w:rPr>
          <w:rFonts w:hint="eastAsia" w:ascii="宋体" w:hAnsi="宋体" w:eastAsia="仿宋_GB2312" w:cs="仿宋_GB2312"/>
          <w:color w:val="auto"/>
          <w:kern w:val="0"/>
          <w:sz w:val="32"/>
          <w:szCs w:val="32"/>
          <w:highlight w:val="none"/>
          <w:lang w:val="en-US" w:eastAsia="zh-CN" w:bidi="ar-SA"/>
        </w:rPr>
        <w:t>财务</w:t>
      </w:r>
      <w:r>
        <w:rPr>
          <w:rFonts w:hint="eastAsia" w:ascii="宋体" w:hAnsi="宋体" w:eastAsia="仿宋_GB2312" w:cs="仿宋_GB2312"/>
          <w:color w:val="auto"/>
          <w:kern w:val="0"/>
          <w:sz w:val="32"/>
          <w:szCs w:val="32"/>
          <w:highlight w:val="none"/>
          <w:lang w:val="zh-CN" w:eastAsia="zh-CN" w:bidi="ar-SA"/>
        </w:rPr>
        <w:t>管理及资金支付制度，从制度上为规范资金管理提供保障，保证了资金使用管理的规范性、安全性和有效性。</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宋体" w:hAnsi="宋体" w:eastAsia="仿宋_GB2312" w:cs="仿宋_GB2312"/>
          <w:color w:val="auto"/>
          <w:kern w:val="0"/>
          <w:sz w:val="32"/>
          <w:szCs w:val="32"/>
          <w:highlight w:val="none"/>
          <w:lang w:val="zh-CN" w:eastAsia="zh-CN" w:bidi="ar-SA"/>
        </w:rPr>
      </w:pPr>
      <w:r>
        <w:rPr>
          <w:rFonts w:hint="eastAsia" w:ascii="宋体" w:hAnsi="宋体" w:eastAsia="仿宋_GB2312" w:cs="仿宋_GB2312"/>
          <w:color w:val="auto"/>
          <w:kern w:val="0"/>
          <w:sz w:val="32"/>
          <w:szCs w:val="32"/>
          <w:highlight w:val="none"/>
          <w:lang w:val="en-US" w:eastAsia="zh-CN" w:bidi="ar-SA"/>
        </w:rPr>
        <w:t>3.</w:t>
      </w:r>
      <w:r>
        <w:rPr>
          <w:rFonts w:hint="eastAsia" w:ascii="宋体" w:hAnsi="宋体" w:eastAsia="仿宋_GB2312" w:cs="仿宋_GB2312"/>
          <w:color w:val="auto"/>
          <w:kern w:val="0"/>
          <w:sz w:val="32"/>
          <w:szCs w:val="32"/>
          <w:highlight w:val="none"/>
          <w:lang w:val="zh-CN" w:eastAsia="zh-CN" w:bidi="ar-SA"/>
        </w:rPr>
        <w:t>资金分配的原则及考虑因素。招商引资专项经费主要分配原则是按照全年招商引资任务进行拨付。</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楷体_GB2312" w:hAnsi="楷体_GB2312" w:eastAsia="楷体_GB2312" w:cs="楷体_GB2312"/>
          <w:color w:val="auto"/>
          <w:kern w:val="0"/>
          <w:sz w:val="32"/>
          <w:szCs w:val="32"/>
          <w:highlight w:val="none"/>
          <w:lang w:val="zh-CN" w:eastAsia="zh-CN" w:bidi="ar-SA"/>
        </w:rPr>
      </w:pPr>
      <w:r>
        <w:rPr>
          <w:rFonts w:hint="eastAsia" w:ascii="楷体_GB2312" w:hAnsi="楷体_GB2312" w:eastAsia="楷体_GB2312" w:cs="楷体_GB2312"/>
          <w:color w:val="auto"/>
          <w:kern w:val="0"/>
          <w:sz w:val="32"/>
          <w:szCs w:val="32"/>
          <w:highlight w:val="none"/>
          <w:lang w:val="zh-CN" w:eastAsia="zh-CN" w:bidi="ar-SA"/>
        </w:rPr>
        <w:t>（二）项目绩效目标</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宋体" w:hAnsi="宋体" w:eastAsia="仿宋_GB2312" w:cs="仿宋_GB2312"/>
          <w:color w:val="auto"/>
          <w:kern w:val="0"/>
          <w:sz w:val="32"/>
          <w:szCs w:val="32"/>
          <w:highlight w:val="none"/>
          <w:lang w:val="zh-CN" w:eastAsia="zh-CN" w:bidi="ar-SA"/>
        </w:rPr>
      </w:pPr>
      <w:r>
        <w:rPr>
          <w:rFonts w:hint="eastAsia" w:ascii="宋体" w:hAnsi="宋体" w:eastAsia="仿宋_GB2312" w:cs="仿宋_GB2312"/>
          <w:color w:val="auto"/>
          <w:kern w:val="0"/>
          <w:sz w:val="32"/>
          <w:szCs w:val="32"/>
          <w:highlight w:val="none"/>
          <w:lang w:val="zh-CN" w:eastAsia="zh-CN" w:bidi="ar-SA"/>
        </w:rPr>
        <w:t>1</w:t>
      </w:r>
      <w:r>
        <w:rPr>
          <w:rFonts w:hint="eastAsia" w:ascii="宋体" w:hAnsi="宋体" w:eastAsia="仿宋_GB2312" w:cs="仿宋_GB2312"/>
          <w:color w:val="auto"/>
          <w:kern w:val="0"/>
          <w:sz w:val="32"/>
          <w:szCs w:val="32"/>
          <w:highlight w:val="none"/>
          <w:lang w:val="en-US" w:eastAsia="zh-CN" w:bidi="ar-SA"/>
        </w:rPr>
        <w:t>.</w:t>
      </w:r>
      <w:r>
        <w:rPr>
          <w:rFonts w:hint="eastAsia" w:ascii="宋体" w:hAnsi="宋体" w:eastAsia="仿宋_GB2312" w:cs="仿宋_GB2312"/>
          <w:color w:val="auto"/>
          <w:kern w:val="0"/>
          <w:sz w:val="32"/>
          <w:szCs w:val="32"/>
          <w:highlight w:val="none"/>
          <w:lang w:val="zh-CN" w:eastAsia="zh-CN" w:bidi="ar-SA"/>
        </w:rPr>
        <w:t>项目主要内容。</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宋体" w:hAnsi="宋体" w:eastAsia="仿宋_GB2312" w:cs="仿宋_GB2312"/>
          <w:color w:val="auto"/>
          <w:kern w:val="0"/>
          <w:sz w:val="32"/>
          <w:szCs w:val="32"/>
          <w:highlight w:val="none"/>
          <w:lang w:val="en-US" w:eastAsia="zh-CN" w:bidi="ar-SA"/>
        </w:rPr>
      </w:pPr>
      <w:r>
        <w:rPr>
          <w:rFonts w:hint="eastAsia" w:ascii="宋体" w:hAnsi="宋体" w:eastAsia="仿宋_GB2312" w:cs="仿宋_GB2312"/>
          <w:color w:val="auto"/>
          <w:kern w:val="0"/>
          <w:sz w:val="32"/>
          <w:szCs w:val="32"/>
          <w:highlight w:val="none"/>
          <w:lang w:val="en-US" w:eastAsia="zh-CN" w:bidi="ar-SA"/>
        </w:rPr>
        <w:t xml:space="preserve">主用于保障我单位重大招商引资项目的考察、论证、洽谈、宣传和推介活动，国内外重要投资商来广元考察、洽谈及接待活动，市委、市政府在国内外开展的重点招商引资等工作的顺利开展。  </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宋体" w:hAnsi="宋体" w:eastAsia="仿宋_GB2312" w:cs="仿宋_GB2312"/>
          <w:color w:val="auto"/>
          <w:kern w:val="0"/>
          <w:sz w:val="32"/>
          <w:szCs w:val="32"/>
          <w:highlight w:val="none"/>
          <w:lang w:val="en-US" w:eastAsia="zh-CN" w:bidi="ar-SA"/>
        </w:rPr>
      </w:pPr>
      <w:r>
        <w:rPr>
          <w:rFonts w:hint="eastAsia" w:ascii="宋体" w:hAnsi="宋体" w:eastAsia="仿宋_GB2312" w:cs="仿宋_GB2312"/>
          <w:color w:val="auto"/>
          <w:kern w:val="0"/>
          <w:sz w:val="32"/>
          <w:szCs w:val="32"/>
          <w:highlight w:val="none"/>
          <w:lang w:val="zh-CN" w:eastAsia="zh-CN" w:bidi="ar-SA"/>
        </w:rPr>
        <w:t>项目应实现的具体绩效目标，</w:t>
      </w:r>
      <w:r>
        <w:rPr>
          <w:rFonts w:hint="eastAsia" w:ascii="宋体" w:hAnsi="宋体" w:eastAsia="仿宋_GB2312" w:cs="仿宋_GB2312"/>
          <w:color w:val="auto"/>
          <w:kern w:val="0"/>
          <w:sz w:val="32"/>
          <w:szCs w:val="32"/>
          <w:highlight w:val="none"/>
          <w:lang w:val="en-US" w:eastAsia="zh-CN" w:bidi="ar-SA"/>
        </w:rPr>
        <w:t xml:space="preserve">包括但不限于：负责全市投资环境推介工作，统筹组织市级重大投资促进活动，牵头全市重大招商引资项目的促进与落实。争取在2022年引进到位国内市外资金700亿以上，新签约投资额亿元以上项目100个以上。  </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宋体" w:hAnsi="宋体" w:eastAsia="仿宋_GB2312" w:cs="仿宋_GB2312"/>
          <w:color w:val="auto"/>
          <w:kern w:val="0"/>
          <w:sz w:val="32"/>
          <w:szCs w:val="32"/>
          <w:highlight w:val="none"/>
          <w:lang w:val="zh-CN" w:eastAsia="zh-CN" w:bidi="ar-SA"/>
        </w:rPr>
      </w:pPr>
      <w:r>
        <w:rPr>
          <w:rFonts w:hint="eastAsia" w:ascii="宋体" w:hAnsi="宋体" w:eastAsia="仿宋_GB2312" w:cs="仿宋_GB2312"/>
          <w:color w:val="auto"/>
          <w:kern w:val="0"/>
          <w:sz w:val="32"/>
          <w:szCs w:val="32"/>
          <w:highlight w:val="none"/>
          <w:lang w:val="en-US" w:eastAsia="zh-CN" w:bidi="ar-SA"/>
        </w:rPr>
        <w:t>2.</w:t>
      </w:r>
      <w:r>
        <w:rPr>
          <w:rFonts w:hint="eastAsia" w:ascii="宋体" w:hAnsi="宋体" w:eastAsia="仿宋_GB2312" w:cs="仿宋_GB2312"/>
          <w:color w:val="auto"/>
          <w:kern w:val="0"/>
          <w:sz w:val="32"/>
          <w:szCs w:val="32"/>
          <w:highlight w:val="none"/>
          <w:lang w:val="zh-CN" w:eastAsia="zh-CN" w:bidi="ar-SA"/>
        </w:rPr>
        <w:t>分析评价申报内容是否与实际相符，申报目标是否合理可行。</w:t>
      </w:r>
      <w:r>
        <w:rPr>
          <w:rFonts w:hint="eastAsia" w:ascii="宋体" w:hAnsi="宋体" w:eastAsia="仿宋_GB2312" w:cs="仿宋_GB2312"/>
          <w:color w:val="auto"/>
          <w:kern w:val="0"/>
          <w:sz w:val="32"/>
          <w:szCs w:val="32"/>
          <w:highlight w:val="none"/>
          <w:lang w:val="en-US" w:eastAsia="zh-CN" w:bidi="ar-SA"/>
        </w:rPr>
        <w:t>2022年我单位下招商引资经费400万元，该资金用于我单位招商引资项目支出。该项目专项预算申报内容与实际相符，申报目标合理可行。</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楷体_GB2312" w:hAnsi="楷体_GB2312" w:eastAsia="楷体_GB2312" w:cs="楷体_GB2312"/>
          <w:color w:val="auto"/>
          <w:kern w:val="0"/>
          <w:sz w:val="32"/>
          <w:szCs w:val="32"/>
          <w:highlight w:val="none"/>
          <w:lang w:val="zh-CN" w:eastAsia="zh-CN" w:bidi="ar-SA"/>
        </w:rPr>
      </w:pPr>
      <w:r>
        <w:rPr>
          <w:rFonts w:hint="eastAsia" w:ascii="楷体_GB2312" w:hAnsi="楷体_GB2312" w:eastAsia="楷体_GB2312" w:cs="楷体_GB2312"/>
          <w:color w:val="auto"/>
          <w:kern w:val="0"/>
          <w:sz w:val="32"/>
          <w:szCs w:val="32"/>
          <w:highlight w:val="none"/>
          <w:lang w:val="zh-CN" w:eastAsia="zh-CN" w:bidi="ar-SA"/>
        </w:rPr>
        <w:t>（三）项目自评步骤及方法。</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宋体" w:hAnsi="宋体" w:eastAsia="仿宋_GB2312" w:cs="仿宋_GB2312"/>
          <w:color w:val="auto"/>
          <w:kern w:val="0"/>
          <w:sz w:val="32"/>
          <w:szCs w:val="32"/>
          <w:highlight w:val="none"/>
          <w:lang w:val="en-US" w:eastAsia="zh-CN" w:bidi="ar-SA"/>
        </w:rPr>
      </w:pPr>
      <w:r>
        <w:rPr>
          <w:rFonts w:hint="eastAsia" w:ascii="宋体" w:hAnsi="宋体" w:eastAsia="仿宋_GB2312" w:cs="仿宋_GB2312"/>
          <w:color w:val="auto"/>
          <w:kern w:val="0"/>
          <w:sz w:val="32"/>
          <w:szCs w:val="32"/>
          <w:highlight w:val="none"/>
          <w:lang w:val="en-US" w:eastAsia="zh-CN" w:bidi="ar-SA"/>
        </w:rPr>
        <w:t>1.强化组织领导。为做好部门财政支出绩效评价自查工作，成立了由局主要领导为组长，党组成员、财务分管领导为副组长，财务人员为成员的招商引资项目支出绩效评价工作领导小组，由财务分管领导牵头负责部门财政支出绩效评价自查各项工作。</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宋体" w:hAnsi="宋体" w:eastAsia="仿宋_GB2312" w:cs="仿宋_GB2312"/>
          <w:color w:val="auto"/>
          <w:kern w:val="0"/>
          <w:sz w:val="32"/>
          <w:szCs w:val="32"/>
          <w:highlight w:val="none"/>
          <w:lang w:val="zh-CN" w:eastAsia="zh-CN" w:bidi="ar-SA"/>
        </w:rPr>
      </w:pPr>
      <w:r>
        <w:rPr>
          <w:rFonts w:hint="eastAsia" w:ascii="宋体" w:hAnsi="宋体" w:eastAsia="仿宋_GB2312" w:cs="仿宋_GB2312"/>
          <w:color w:val="auto"/>
          <w:kern w:val="0"/>
          <w:sz w:val="32"/>
          <w:szCs w:val="32"/>
          <w:highlight w:val="none"/>
          <w:lang w:val="en-US" w:eastAsia="zh-CN" w:bidi="ar-SA"/>
        </w:rPr>
        <w:t>2.实施步骤分为两个阶段：一是前期准备阶段。组织认真学习《关于开展2022年市级部门绩效自评工作的通知》（广财绩</w:t>
      </w:r>
      <w:r>
        <w:rPr>
          <w:rFonts w:hint="eastAsia" w:ascii="宋体" w:hAnsi="宋体" w:eastAsia="仿宋_GB2312" w:cs="仿宋_GB2312"/>
          <w:color w:val="auto"/>
          <w:kern w:val="0"/>
          <w:sz w:val="32"/>
          <w:szCs w:val="32"/>
          <w:highlight w:val="none"/>
          <w:lang w:val="zh-CN" w:eastAsia="zh-CN" w:bidi="ar-SA"/>
        </w:rPr>
        <w:t>〔202</w:t>
      </w:r>
      <w:r>
        <w:rPr>
          <w:rFonts w:hint="eastAsia" w:ascii="宋体" w:hAnsi="宋体" w:eastAsia="仿宋_GB2312" w:cs="仿宋_GB2312"/>
          <w:color w:val="auto"/>
          <w:kern w:val="0"/>
          <w:sz w:val="32"/>
          <w:szCs w:val="32"/>
          <w:highlight w:val="none"/>
          <w:lang w:val="en-US" w:eastAsia="zh-CN" w:bidi="ar-SA"/>
        </w:rPr>
        <w:t>3</w:t>
      </w:r>
      <w:r>
        <w:rPr>
          <w:rFonts w:hint="eastAsia" w:ascii="宋体" w:hAnsi="宋体" w:eastAsia="仿宋_GB2312" w:cs="仿宋_GB2312"/>
          <w:color w:val="auto"/>
          <w:kern w:val="0"/>
          <w:sz w:val="32"/>
          <w:szCs w:val="32"/>
          <w:highlight w:val="none"/>
          <w:lang w:val="zh-CN" w:eastAsia="zh-CN" w:bidi="ar-SA"/>
        </w:rPr>
        <w:t>〕</w:t>
      </w:r>
      <w:r>
        <w:rPr>
          <w:rFonts w:hint="eastAsia" w:ascii="宋体" w:hAnsi="宋体" w:eastAsia="仿宋_GB2312" w:cs="仿宋_GB2312"/>
          <w:color w:val="auto"/>
          <w:kern w:val="0"/>
          <w:sz w:val="32"/>
          <w:szCs w:val="32"/>
          <w:highlight w:val="none"/>
          <w:lang w:val="en-US" w:eastAsia="zh-CN" w:bidi="ar-SA"/>
        </w:rPr>
        <w:t>5</w:t>
      </w:r>
      <w:r>
        <w:rPr>
          <w:rFonts w:hint="eastAsia" w:ascii="宋体" w:hAnsi="宋体" w:eastAsia="仿宋_GB2312" w:cs="仿宋_GB2312"/>
          <w:color w:val="auto"/>
          <w:kern w:val="0"/>
          <w:sz w:val="32"/>
          <w:szCs w:val="32"/>
          <w:highlight w:val="none"/>
          <w:lang w:val="zh-CN" w:eastAsia="zh-CN" w:bidi="ar-SA"/>
        </w:rPr>
        <w:t>号</w:t>
      </w:r>
      <w:r>
        <w:rPr>
          <w:rFonts w:hint="eastAsia" w:ascii="宋体" w:hAnsi="宋体" w:eastAsia="仿宋_GB2312" w:cs="仿宋_GB2312"/>
          <w:color w:val="auto"/>
          <w:kern w:val="0"/>
          <w:sz w:val="32"/>
          <w:szCs w:val="32"/>
          <w:highlight w:val="none"/>
          <w:lang w:val="en-US" w:eastAsia="zh-CN" w:bidi="ar-SA"/>
        </w:rPr>
        <w:t>）文件精神和要求，提高对开展部门支出绩效评价工作的认识，统一思想，确保自查工作的顺利开展。二是自查工作阶段。对市经合局外事局2022年招商引资专项经费收入、支出、预算编制、财务管理、项目资金使用投入产出等情况进行认真的自查。根据“坚持定量优先、简便有效原则”，我局对2021年度部门支出绩效评价主要采用了成本效益分析法、比较法：一是成本效益分析法。评价2022年度部门财政支出与招商引资工作取得的成效进行对比分析以评价绩效目标实现程度。二是比较法。通过对绩效目标与实施效果、历史与当期情况同类支出的比较，综合分析绩效目标实现程度。</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二、项目资金申报及使用情况</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楷体_GB2312" w:hAnsi="楷体_GB2312" w:eastAsia="楷体_GB2312" w:cs="楷体_GB2312"/>
          <w:color w:val="auto"/>
          <w:kern w:val="0"/>
          <w:sz w:val="32"/>
          <w:szCs w:val="32"/>
          <w:highlight w:val="none"/>
          <w:lang w:val="zh-CN" w:eastAsia="zh-CN" w:bidi="ar-SA"/>
        </w:rPr>
      </w:pPr>
      <w:r>
        <w:rPr>
          <w:rFonts w:hint="eastAsia" w:ascii="楷体_GB2312" w:hAnsi="楷体_GB2312" w:eastAsia="楷体_GB2312" w:cs="楷体_GB2312"/>
          <w:color w:val="auto"/>
          <w:kern w:val="0"/>
          <w:sz w:val="32"/>
          <w:szCs w:val="32"/>
          <w:highlight w:val="none"/>
          <w:lang w:val="zh-CN" w:eastAsia="zh-CN" w:bidi="ar-SA"/>
        </w:rPr>
        <w:t>（一）项目资金申报及批复情况</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宋体" w:hAnsi="宋体" w:eastAsia="仿宋_GB2312" w:cs="仿宋_GB2312"/>
          <w:color w:val="auto"/>
          <w:kern w:val="0"/>
          <w:sz w:val="32"/>
          <w:szCs w:val="32"/>
          <w:highlight w:val="none"/>
          <w:lang w:val="en-US" w:eastAsia="zh-CN" w:bidi="ar-SA"/>
        </w:rPr>
      </w:pPr>
      <w:r>
        <w:rPr>
          <w:rFonts w:hint="eastAsia" w:ascii="宋体" w:hAnsi="宋体" w:eastAsia="仿宋_GB2312" w:cs="仿宋_GB2312"/>
          <w:color w:val="auto"/>
          <w:kern w:val="0"/>
          <w:sz w:val="32"/>
          <w:szCs w:val="32"/>
          <w:highlight w:val="none"/>
          <w:lang w:val="en-US" w:eastAsia="zh-CN" w:bidi="ar-SA"/>
        </w:rPr>
        <w:t>2022年我单位共申报招商引资项目资金400万元，共批复该项目资金400万元。</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楷体_GB2312" w:hAnsi="楷体_GB2312" w:eastAsia="楷体_GB2312" w:cs="楷体_GB2312"/>
          <w:color w:val="auto"/>
          <w:kern w:val="0"/>
          <w:sz w:val="32"/>
          <w:szCs w:val="32"/>
          <w:highlight w:val="none"/>
          <w:lang w:val="zh-CN" w:eastAsia="zh-CN" w:bidi="ar-SA"/>
        </w:rPr>
      </w:pPr>
      <w:r>
        <w:rPr>
          <w:rFonts w:hint="eastAsia" w:ascii="楷体_GB2312" w:hAnsi="楷体_GB2312" w:eastAsia="楷体_GB2312" w:cs="楷体_GB2312"/>
          <w:color w:val="auto"/>
          <w:kern w:val="0"/>
          <w:sz w:val="32"/>
          <w:szCs w:val="32"/>
          <w:highlight w:val="none"/>
          <w:lang w:val="zh-CN" w:eastAsia="zh-CN" w:bidi="ar-SA"/>
        </w:rPr>
        <w:t>（二）资金计划、到位及使用情况</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宋体" w:hAnsi="宋体" w:eastAsia="仿宋_GB2312" w:cs="仿宋_GB2312"/>
          <w:color w:val="auto"/>
          <w:kern w:val="0"/>
          <w:sz w:val="32"/>
          <w:szCs w:val="32"/>
          <w:highlight w:val="none"/>
          <w:lang w:val="en-US" w:eastAsia="zh-CN" w:bidi="ar-SA"/>
        </w:rPr>
      </w:pPr>
      <w:r>
        <w:rPr>
          <w:rFonts w:hint="eastAsia" w:ascii="宋体" w:hAnsi="宋体" w:eastAsia="仿宋_GB2312" w:cs="仿宋_GB2312"/>
          <w:color w:val="auto"/>
          <w:kern w:val="0"/>
          <w:sz w:val="32"/>
          <w:szCs w:val="32"/>
          <w:highlight w:val="none"/>
          <w:lang w:val="zh-CN" w:eastAsia="zh-CN" w:bidi="ar-SA"/>
        </w:rPr>
        <w:t>1</w:t>
      </w:r>
      <w:r>
        <w:rPr>
          <w:rFonts w:hint="eastAsia" w:ascii="宋体" w:hAnsi="宋体" w:eastAsia="仿宋_GB2312" w:cs="仿宋_GB2312"/>
          <w:color w:val="auto"/>
          <w:kern w:val="0"/>
          <w:sz w:val="32"/>
          <w:szCs w:val="32"/>
          <w:highlight w:val="none"/>
          <w:lang w:val="en-US" w:eastAsia="zh-CN" w:bidi="ar-SA"/>
        </w:rPr>
        <w:t>.</w:t>
      </w:r>
      <w:r>
        <w:rPr>
          <w:rFonts w:hint="eastAsia" w:ascii="宋体" w:hAnsi="宋体" w:eastAsia="仿宋_GB2312" w:cs="仿宋_GB2312"/>
          <w:color w:val="auto"/>
          <w:kern w:val="0"/>
          <w:sz w:val="32"/>
          <w:szCs w:val="32"/>
          <w:highlight w:val="none"/>
          <w:lang w:val="zh-CN" w:eastAsia="zh-CN" w:bidi="ar-SA"/>
        </w:rPr>
        <w:t>资金计划。按照全年每个季度</w:t>
      </w:r>
      <w:r>
        <w:rPr>
          <w:rFonts w:hint="eastAsia" w:ascii="宋体" w:hAnsi="宋体" w:eastAsia="仿宋_GB2312" w:cs="仿宋_GB2312"/>
          <w:color w:val="auto"/>
          <w:kern w:val="0"/>
          <w:sz w:val="32"/>
          <w:szCs w:val="32"/>
          <w:highlight w:val="none"/>
          <w:lang w:val="en-US" w:eastAsia="zh-CN" w:bidi="ar-SA"/>
        </w:rPr>
        <w:t>100万元招商引资运行成本，</w:t>
      </w:r>
      <w:r>
        <w:rPr>
          <w:rFonts w:hint="eastAsia" w:ascii="宋体" w:hAnsi="宋体" w:eastAsia="仿宋_GB2312" w:cs="仿宋_GB2312"/>
          <w:color w:val="auto"/>
          <w:kern w:val="0"/>
          <w:sz w:val="32"/>
          <w:szCs w:val="32"/>
          <w:highlight w:val="none"/>
          <w:lang w:val="zh-CN" w:eastAsia="zh-CN" w:bidi="ar-SA"/>
        </w:rPr>
        <w:t>全年共计划使用资金</w:t>
      </w:r>
      <w:r>
        <w:rPr>
          <w:rFonts w:hint="eastAsia" w:ascii="宋体" w:hAnsi="宋体" w:eastAsia="仿宋_GB2312" w:cs="仿宋_GB2312"/>
          <w:color w:val="auto"/>
          <w:kern w:val="0"/>
          <w:sz w:val="32"/>
          <w:szCs w:val="32"/>
          <w:highlight w:val="none"/>
          <w:lang w:val="en-US" w:eastAsia="zh-CN" w:bidi="ar-SA"/>
        </w:rPr>
        <w:t>400万元。</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宋体" w:hAnsi="宋体" w:eastAsia="仿宋_GB2312" w:cs="仿宋_GB2312"/>
          <w:color w:val="auto"/>
          <w:kern w:val="0"/>
          <w:sz w:val="32"/>
          <w:szCs w:val="32"/>
          <w:highlight w:val="none"/>
          <w:lang w:val="zh-CN" w:eastAsia="zh-CN" w:bidi="ar-SA"/>
        </w:rPr>
      </w:pPr>
      <w:r>
        <w:rPr>
          <w:rFonts w:hint="eastAsia" w:ascii="宋体" w:hAnsi="宋体" w:eastAsia="仿宋_GB2312" w:cs="仿宋_GB2312"/>
          <w:color w:val="auto"/>
          <w:kern w:val="0"/>
          <w:sz w:val="32"/>
          <w:szCs w:val="32"/>
          <w:highlight w:val="none"/>
          <w:lang w:val="zh-CN" w:eastAsia="zh-CN" w:bidi="ar-SA"/>
        </w:rPr>
        <w:t>2</w:t>
      </w:r>
      <w:r>
        <w:rPr>
          <w:rFonts w:hint="eastAsia" w:ascii="宋体" w:hAnsi="宋体" w:eastAsia="仿宋_GB2312" w:cs="仿宋_GB2312"/>
          <w:color w:val="auto"/>
          <w:kern w:val="0"/>
          <w:sz w:val="32"/>
          <w:szCs w:val="32"/>
          <w:highlight w:val="none"/>
          <w:lang w:val="en-US" w:eastAsia="zh-CN" w:bidi="ar-SA"/>
        </w:rPr>
        <w:t>.</w:t>
      </w:r>
      <w:r>
        <w:rPr>
          <w:rFonts w:hint="eastAsia" w:ascii="宋体" w:hAnsi="宋体" w:eastAsia="仿宋_GB2312" w:cs="仿宋_GB2312"/>
          <w:color w:val="auto"/>
          <w:kern w:val="0"/>
          <w:sz w:val="32"/>
          <w:szCs w:val="32"/>
          <w:highlight w:val="none"/>
          <w:lang w:val="zh-CN" w:eastAsia="zh-CN" w:bidi="ar-SA"/>
        </w:rPr>
        <w:t>资金到位。全年到位资金</w:t>
      </w:r>
      <w:r>
        <w:rPr>
          <w:rFonts w:hint="eastAsia" w:ascii="宋体" w:hAnsi="宋体" w:eastAsia="仿宋_GB2312" w:cs="仿宋_GB2312"/>
          <w:color w:val="auto"/>
          <w:kern w:val="0"/>
          <w:sz w:val="32"/>
          <w:szCs w:val="32"/>
          <w:highlight w:val="none"/>
          <w:lang w:val="en-US" w:eastAsia="zh-CN" w:bidi="ar-SA"/>
        </w:rPr>
        <w:t>400万元</w:t>
      </w:r>
      <w:r>
        <w:rPr>
          <w:rFonts w:hint="eastAsia" w:ascii="宋体" w:hAnsi="宋体" w:eastAsia="仿宋_GB2312" w:cs="仿宋_GB2312"/>
          <w:color w:val="auto"/>
          <w:kern w:val="0"/>
          <w:sz w:val="32"/>
          <w:szCs w:val="32"/>
          <w:highlight w:val="none"/>
          <w:lang w:val="zh-CN" w:eastAsia="zh-CN" w:bidi="ar-SA"/>
        </w:rPr>
        <w:t>。</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宋体" w:hAnsi="宋体" w:eastAsia="仿宋_GB2312" w:cs="仿宋_GB2312"/>
          <w:color w:val="auto"/>
          <w:kern w:val="0"/>
          <w:sz w:val="32"/>
          <w:szCs w:val="32"/>
          <w:highlight w:val="none"/>
          <w:lang w:val="zh-CN" w:eastAsia="zh-CN" w:bidi="ar-SA"/>
        </w:rPr>
      </w:pPr>
      <w:r>
        <w:rPr>
          <w:rFonts w:hint="eastAsia" w:ascii="宋体" w:hAnsi="宋体" w:eastAsia="仿宋_GB2312" w:cs="仿宋_GB2312"/>
          <w:color w:val="auto"/>
          <w:kern w:val="0"/>
          <w:sz w:val="32"/>
          <w:szCs w:val="32"/>
          <w:highlight w:val="none"/>
          <w:lang w:val="zh-CN" w:eastAsia="zh-CN" w:bidi="ar-SA"/>
        </w:rPr>
        <w:t>3</w:t>
      </w:r>
      <w:r>
        <w:rPr>
          <w:rFonts w:hint="eastAsia" w:ascii="宋体" w:hAnsi="宋体" w:eastAsia="仿宋_GB2312" w:cs="仿宋_GB2312"/>
          <w:color w:val="auto"/>
          <w:kern w:val="0"/>
          <w:sz w:val="32"/>
          <w:szCs w:val="32"/>
          <w:highlight w:val="none"/>
          <w:lang w:val="en-US" w:eastAsia="zh-CN" w:bidi="ar-SA"/>
        </w:rPr>
        <w:t>.</w:t>
      </w:r>
      <w:bookmarkStart w:id="133" w:name="_GoBack"/>
      <w:bookmarkEnd w:id="133"/>
      <w:r>
        <w:rPr>
          <w:rFonts w:hint="eastAsia" w:ascii="宋体" w:hAnsi="宋体" w:eastAsia="仿宋_GB2312" w:cs="仿宋_GB2312"/>
          <w:color w:val="auto"/>
          <w:kern w:val="0"/>
          <w:sz w:val="32"/>
          <w:szCs w:val="32"/>
          <w:highlight w:val="none"/>
          <w:lang w:val="zh-CN" w:eastAsia="zh-CN" w:bidi="ar-SA"/>
        </w:rPr>
        <w:t>资金使用。</w:t>
      </w:r>
      <w:r>
        <w:rPr>
          <w:rFonts w:hint="eastAsia" w:ascii="宋体" w:hAnsi="宋体" w:eastAsia="仿宋_GB2312" w:cs="仿宋_GB2312"/>
          <w:color w:val="auto"/>
          <w:kern w:val="0"/>
          <w:sz w:val="32"/>
          <w:szCs w:val="32"/>
          <w:highlight w:val="none"/>
          <w:lang w:val="en-US" w:eastAsia="zh-CN" w:bidi="ar-SA"/>
        </w:rPr>
        <w:t>因受疫情影响，外出招商困难，</w:t>
      </w:r>
      <w:r>
        <w:rPr>
          <w:rFonts w:hint="eastAsia" w:ascii="宋体" w:hAnsi="宋体" w:eastAsia="仿宋_GB2312" w:cs="仿宋_GB2312"/>
          <w:color w:val="auto"/>
          <w:kern w:val="0"/>
          <w:sz w:val="32"/>
          <w:szCs w:val="32"/>
          <w:highlight w:val="none"/>
          <w:lang w:val="zh-CN" w:eastAsia="zh-CN" w:bidi="ar-SA"/>
        </w:rPr>
        <w:t>截止</w:t>
      </w:r>
      <w:r>
        <w:rPr>
          <w:rFonts w:hint="eastAsia" w:ascii="宋体" w:hAnsi="宋体" w:eastAsia="仿宋_GB2312" w:cs="仿宋_GB2312"/>
          <w:color w:val="auto"/>
          <w:kern w:val="0"/>
          <w:sz w:val="32"/>
          <w:szCs w:val="32"/>
          <w:highlight w:val="none"/>
          <w:lang w:val="en-US" w:eastAsia="zh-CN" w:bidi="ar-SA"/>
        </w:rPr>
        <w:t>2022年12月31日，该项目资金支出总额305.16万元，预算执行率为76.29%。在支付过程中严格按照该项目使用要求进行资金拨付，资金支付合法合规，与预算相符，无挤占、超标准使用该项目资金的情况。</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楷体_GB2312" w:hAnsi="楷体_GB2312" w:eastAsia="楷体_GB2312" w:cs="楷体_GB2312"/>
          <w:color w:val="auto"/>
          <w:kern w:val="0"/>
          <w:sz w:val="32"/>
          <w:szCs w:val="32"/>
          <w:highlight w:val="none"/>
          <w:lang w:val="zh-CN" w:eastAsia="zh-CN" w:bidi="ar-SA"/>
        </w:rPr>
      </w:pPr>
      <w:r>
        <w:rPr>
          <w:rFonts w:hint="eastAsia" w:ascii="楷体_GB2312" w:hAnsi="楷体_GB2312" w:eastAsia="楷体_GB2312" w:cs="楷体_GB2312"/>
          <w:color w:val="auto"/>
          <w:kern w:val="0"/>
          <w:sz w:val="32"/>
          <w:szCs w:val="32"/>
          <w:highlight w:val="none"/>
          <w:lang w:val="zh-CN" w:eastAsia="zh-CN" w:bidi="ar-SA"/>
        </w:rPr>
        <w:t>（三）项目财务管理情况</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宋体" w:hAnsi="宋体" w:eastAsia="仿宋_GB2312" w:cs="仿宋_GB2312"/>
          <w:color w:val="auto"/>
          <w:kern w:val="0"/>
          <w:sz w:val="32"/>
          <w:szCs w:val="32"/>
          <w:highlight w:val="none"/>
          <w:lang w:val="zh-CN" w:eastAsia="zh-CN" w:bidi="ar-SA"/>
        </w:rPr>
      </w:pPr>
      <w:r>
        <w:rPr>
          <w:rFonts w:hint="eastAsia" w:ascii="宋体" w:hAnsi="宋体" w:eastAsia="仿宋_GB2312" w:cs="仿宋_GB2312"/>
          <w:color w:val="auto"/>
          <w:kern w:val="0"/>
          <w:sz w:val="32"/>
          <w:szCs w:val="32"/>
          <w:highlight w:val="none"/>
          <w:lang w:val="en-US" w:eastAsia="zh-CN" w:bidi="ar-SA"/>
        </w:rPr>
        <w:t>我单位严格</w:t>
      </w:r>
      <w:r>
        <w:rPr>
          <w:rFonts w:hint="eastAsia" w:ascii="宋体" w:hAnsi="宋体" w:eastAsia="仿宋_GB2312" w:cs="仿宋_GB2312"/>
          <w:color w:val="auto"/>
          <w:kern w:val="0"/>
          <w:sz w:val="32"/>
          <w:szCs w:val="32"/>
          <w:highlight w:val="none"/>
          <w:lang w:val="zh-CN" w:eastAsia="zh-CN" w:bidi="ar-SA"/>
        </w:rPr>
        <w:t>按照广元市财政局《关于印发</w:t>
      </w:r>
      <w:r>
        <w:rPr>
          <w:rFonts w:hint="eastAsia" w:ascii="宋体" w:hAnsi="宋体" w:eastAsia="仿宋_GB2312" w:cs="仿宋_GB2312"/>
          <w:color w:val="auto"/>
          <w:kern w:val="0"/>
          <w:sz w:val="32"/>
          <w:szCs w:val="32"/>
          <w:highlight w:val="none"/>
          <w:lang w:val="en-US" w:eastAsia="zh-CN" w:bidi="ar-SA"/>
        </w:rPr>
        <w:t>&lt;</w:t>
      </w:r>
      <w:r>
        <w:rPr>
          <w:rFonts w:hint="eastAsia" w:ascii="宋体" w:hAnsi="宋体" w:eastAsia="仿宋_GB2312" w:cs="仿宋_GB2312"/>
          <w:color w:val="auto"/>
          <w:kern w:val="0"/>
          <w:sz w:val="32"/>
          <w:szCs w:val="32"/>
          <w:highlight w:val="none"/>
          <w:lang w:val="zh-CN" w:eastAsia="zh-CN" w:bidi="ar-SA"/>
        </w:rPr>
        <w:t>广元市招商引资专项资金管理办法</w:t>
      </w:r>
      <w:r>
        <w:rPr>
          <w:rFonts w:hint="eastAsia" w:ascii="宋体" w:hAnsi="宋体" w:eastAsia="仿宋_GB2312" w:cs="仿宋_GB2312"/>
          <w:color w:val="auto"/>
          <w:kern w:val="0"/>
          <w:sz w:val="32"/>
          <w:szCs w:val="32"/>
          <w:highlight w:val="none"/>
          <w:lang w:val="en-US" w:eastAsia="zh-CN" w:bidi="ar-SA"/>
        </w:rPr>
        <w:t>&gt;</w:t>
      </w:r>
      <w:r>
        <w:rPr>
          <w:rFonts w:hint="eastAsia" w:ascii="宋体" w:hAnsi="宋体" w:eastAsia="仿宋_GB2312" w:cs="仿宋_GB2312"/>
          <w:color w:val="auto"/>
          <w:kern w:val="0"/>
          <w:sz w:val="32"/>
          <w:szCs w:val="32"/>
          <w:highlight w:val="none"/>
          <w:lang w:val="zh-CN" w:eastAsia="zh-CN" w:bidi="ar-SA"/>
        </w:rPr>
        <w:t>的通知》（</w:t>
      </w:r>
      <w:r>
        <w:rPr>
          <w:rFonts w:hint="eastAsia" w:ascii="宋体" w:hAnsi="宋体" w:eastAsia="仿宋_GB2312" w:cs="仿宋_GB2312"/>
          <w:color w:val="auto"/>
          <w:kern w:val="0"/>
          <w:sz w:val="32"/>
          <w:szCs w:val="32"/>
          <w:highlight w:val="none"/>
          <w:lang w:val="en-US" w:eastAsia="zh-CN" w:bidi="ar-SA"/>
        </w:rPr>
        <w:t>广财行</w:t>
      </w:r>
      <w:r>
        <w:rPr>
          <w:rFonts w:hint="eastAsia" w:ascii="宋体" w:hAnsi="宋体" w:eastAsia="仿宋_GB2312" w:cs="仿宋_GB2312"/>
          <w:color w:val="auto"/>
          <w:kern w:val="0"/>
          <w:sz w:val="32"/>
          <w:szCs w:val="32"/>
          <w:highlight w:val="none"/>
          <w:lang w:val="zh-CN" w:eastAsia="zh-CN" w:bidi="ar-SA"/>
        </w:rPr>
        <w:t>〔</w:t>
      </w:r>
      <w:r>
        <w:rPr>
          <w:rFonts w:hint="eastAsia" w:ascii="宋体" w:hAnsi="宋体" w:eastAsia="仿宋_GB2312" w:cs="仿宋_GB2312"/>
          <w:color w:val="auto"/>
          <w:kern w:val="0"/>
          <w:sz w:val="32"/>
          <w:szCs w:val="32"/>
          <w:highlight w:val="none"/>
          <w:lang w:val="en-US" w:eastAsia="zh-CN" w:bidi="ar-SA"/>
        </w:rPr>
        <w:t>2018</w:t>
      </w:r>
      <w:r>
        <w:rPr>
          <w:rFonts w:hint="eastAsia" w:ascii="宋体" w:hAnsi="宋体" w:eastAsia="仿宋_GB2312" w:cs="仿宋_GB2312"/>
          <w:color w:val="auto"/>
          <w:kern w:val="0"/>
          <w:sz w:val="32"/>
          <w:szCs w:val="32"/>
          <w:highlight w:val="none"/>
          <w:lang w:val="zh-CN" w:eastAsia="zh-CN" w:bidi="ar-SA"/>
        </w:rPr>
        <w:t>〕</w:t>
      </w:r>
      <w:r>
        <w:rPr>
          <w:rFonts w:hint="eastAsia" w:ascii="宋体" w:hAnsi="宋体" w:eastAsia="仿宋_GB2312" w:cs="仿宋_GB2312"/>
          <w:color w:val="auto"/>
          <w:kern w:val="0"/>
          <w:sz w:val="32"/>
          <w:szCs w:val="32"/>
          <w:highlight w:val="none"/>
          <w:lang w:val="en-US" w:eastAsia="zh-CN" w:bidi="ar-SA"/>
        </w:rPr>
        <w:t>46号）</w:t>
      </w:r>
      <w:r>
        <w:rPr>
          <w:rFonts w:hint="eastAsia" w:ascii="宋体" w:hAnsi="宋体" w:eastAsia="仿宋_GB2312" w:cs="仿宋_GB2312"/>
          <w:color w:val="auto"/>
          <w:kern w:val="0"/>
          <w:sz w:val="32"/>
          <w:szCs w:val="32"/>
          <w:highlight w:val="none"/>
          <w:lang w:val="zh-CN" w:eastAsia="zh-CN" w:bidi="ar-SA"/>
        </w:rPr>
        <w:t>）文件精神，严格执行财务管理制度，按照“专款专用，注重实效”的原则进行管理。严格执行</w:t>
      </w:r>
      <w:r>
        <w:rPr>
          <w:rFonts w:hint="eastAsia" w:ascii="宋体" w:hAnsi="宋体" w:eastAsia="仿宋_GB2312" w:cs="仿宋_GB2312"/>
          <w:color w:val="auto"/>
          <w:kern w:val="0"/>
          <w:sz w:val="32"/>
          <w:szCs w:val="32"/>
          <w:highlight w:val="none"/>
          <w:lang w:val="en-US" w:eastAsia="zh-CN" w:bidi="ar-SA"/>
        </w:rPr>
        <w:t>财务</w:t>
      </w:r>
      <w:r>
        <w:rPr>
          <w:rFonts w:hint="eastAsia" w:ascii="宋体" w:hAnsi="宋体" w:eastAsia="仿宋_GB2312" w:cs="仿宋_GB2312"/>
          <w:color w:val="auto"/>
          <w:kern w:val="0"/>
          <w:sz w:val="32"/>
          <w:szCs w:val="32"/>
          <w:highlight w:val="none"/>
          <w:lang w:val="zh-CN" w:eastAsia="zh-CN" w:bidi="ar-SA"/>
        </w:rPr>
        <w:t>管理及资金支付制度，从制度上为规范资金管理提供保障，促进了资金使用管理的规范性、安全性和有效性。</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黑体" w:hAnsi="黑体" w:eastAsia="黑体" w:cs="黑体"/>
          <w:color w:val="auto"/>
          <w:kern w:val="0"/>
          <w:sz w:val="32"/>
          <w:szCs w:val="32"/>
          <w:highlight w:val="none"/>
          <w:lang w:val="zh-CN" w:eastAsia="zh-CN" w:bidi="ar-SA"/>
        </w:rPr>
      </w:pPr>
      <w:r>
        <w:rPr>
          <w:rFonts w:hint="eastAsia" w:ascii="黑体" w:hAnsi="黑体" w:eastAsia="黑体" w:cs="黑体"/>
          <w:color w:val="auto"/>
          <w:kern w:val="0"/>
          <w:sz w:val="32"/>
          <w:szCs w:val="32"/>
          <w:highlight w:val="none"/>
          <w:lang w:val="en-US" w:eastAsia="zh-CN" w:bidi="ar-SA"/>
        </w:rPr>
        <w:t>三、项目实施及管理情况</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宋体" w:hAnsi="宋体" w:eastAsia="仿宋_GB2312" w:cs="仿宋_GB2312"/>
          <w:color w:val="auto"/>
          <w:kern w:val="0"/>
          <w:sz w:val="32"/>
          <w:szCs w:val="32"/>
          <w:highlight w:val="none"/>
          <w:lang w:val="zh-CN" w:eastAsia="zh-CN" w:bidi="ar-SA"/>
        </w:rPr>
      </w:pPr>
      <w:r>
        <w:rPr>
          <w:rFonts w:hint="eastAsia" w:ascii="楷体_GB2312" w:hAnsi="楷体_GB2312" w:eastAsia="楷体_GB2312" w:cs="楷体_GB2312"/>
          <w:color w:val="auto"/>
          <w:kern w:val="0"/>
          <w:sz w:val="32"/>
          <w:szCs w:val="32"/>
          <w:highlight w:val="none"/>
          <w:lang w:val="zh-CN" w:eastAsia="zh-CN" w:bidi="ar-SA"/>
        </w:rPr>
        <w:t>（一）项目组织架构及实施流程。</w:t>
      </w:r>
      <w:r>
        <w:rPr>
          <w:rFonts w:hint="eastAsia" w:ascii="宋体" w:hAnsi="宋体" w:eastAsia="仿宋_GB2312" w:cs="仿宋_GB2312"/>
          <w:color w:val="auto"/>
          <w:kern w:val="0"/>
          <w:sz w:val="32"/>
          <w:szCs w:val="32"/>
          <w:highlight w:val="none"/>
          <w:lang w:val="zh-CN" w:eastAsia="zh-CN" w:bidi="ar-SA"/>
        </w:rPr>
        <w:t>制定了中共广元市经济合作局办公室关于印发《广元市经济合作局上午接待管理办法（试行）的通知》（</w:t>
      </w:r>
      <w:r>
        <w:rPr>
          <w:rFonts w:hint="eastAsia" w:ascii="宋体" w:hAnsi="宋体" w:eastAsia="仿宋_GB2312" w:cs="仿宋_GB2312"/>
          <w:color w:val="auto"/>
          <w:kern w:val="0"/>
          <w:sz w:val="32"/>
          <w:szCs w:val="32"/>
          <w:highlight w:val="none"/>
          <w:lang w:val="en-US" w:eastAsia="zh-CN" w:bidi="ar-SA"/>
        </w:rPr>
        <w:t>广经合办</w:t>
      </w:r>
      <w:r>
        <w:rPr>
          <w:rFonts w:hint="eastAsia" w:ascii="宋体" w:hAnsi="宋体" w:eastAsia="仿宋_GB2312" w:cs="仿宋_GB2312"/>
          <w:color w:val="auto"/>
          <w:kern w:val="0"/>
          <w:sz w:val="32"/>
          <w:szCs w:val="32"/>
          <w:highlight w:val="none"/>
          <w:lang w:val="zh-CN" w:eastAsia="zh-CN" w:bidi="ar-SA"/>
        </w:rPr>
        <w:t>〔</w:t>
      </w:r>
      <w:r>
        <w:rPr>
          <w:rFonts w:hint="eastAsia" w:ascii="宋体" w:hAnsi="宋体" w:eastAsia="仿宋_GB2312" w:cs="仿宋_GB2312"/>
          <w:color w:val="auto"/>
          <w:kern w:val="0"/>
          <w:sz w:val="32"/>
          <w:szCs w:val="32"/>
          <w:highlight w:val="none"/>
          <w:lang w:val="en-US" w:eastAsia="zh-CN" w:bidi="ar-SA"/>
        </w:rPr>
        <w:t>2021</w:t>
      </w:r>
      <w:r>
        <w:rPr>
          <w:rFonts w:hint="eastAsia" w:ascii="宋体" w:hAnsi="宋体" w:eastAsia="仿宋_GB2312" w:cs="仿宋_GB2312"/>
          <w:color w:val="auto"/>
          <w:kern w:val="0"/>
          <w:sz w:val="32"/>
          <w:szCs w:val="32"/>
          <w:highlight w:val="none"/>
          <w:lang w:val="zh-CN" w:eastAsia="zh-CN" w:bidi="ar-SA"/>
        </w:rPr>
        <w:t>〕</w:t>
      </w:r>
      <w:r>
        <w:rPr>
          <w:rFonts w:hint="eastAsia" w:ascii="宋体" w:hAnsi="宋体" w:eastAsia="仿宋_GB2312" w:cs="仿宋_GB2312"/>
          <w:color w:val="auto"/>
          <w:kern w:val="0"/>
          <w:sz w:val="32"/>
          <w:szCs w:val="32"/>
          <w:highlight w:val="none"/>
          <w:lang w:val="en-US" w:eastAsia="zh-CN" w:bidi="ar-SA"/>
        </w:rPr>
        <w:t>1号）</w:t>
      </w:r>
      <w:r>
        <w:rPr>
          <w:rFonts w:hint="eastAsia" w:ascii="宋体" w:hAnsi="宋体" w:eastAsia="仿宋_GB2312" w:cs="仿宋_GB2312"/>
          <w:color w:val="auto"/>
          <w:kern w:val="0"/>
          <w:sz w:val="32"/>
          <w:szCs w:val="32"/>
          <w:highlight w:val="none"/>
          <w:lang w:val="zh-CN" w:eastAsia="zh-CN" w:bidi="ar-SA"/>
        </w:rPr>
        <w:t>，并根据广元市财政局《关于印发</w:t>
      </w:r>
      <w:r>
        <w:rPr>
          <w:rFonts w:hint="eastAsia" w:ascii="宋体" w:hAnsi="宋体" w:eastAsia="仿宋_GB2312" w:cs="仿宋_GB2312"/>
          <w:color w:val="auto"/>
          <w:kern w:val="0"/>
          <w:sz w:val="32"/>
          <w:szCs w:val="32"/>
          <w:highlight w:val="none"/>
          <w:lang w:val="en-US" w:eastAsia="zh-CN" w:bidi="ar-SA"/>
        </w:rPr>
        <w:t>&lt;</w:t>
      </w:r>
      <w:r>
        <w:rPr>
          <w:rFonts w:hint="eastAsia" w:ascii="宋体" w:hAnsi="宋体" w:eastAsia="仿宋_GB2312" w:cs="仿宋_GB2312"/>
          <w:color w:val="auto"/>
          <w:kern w:val="0"/>
          <w:sz w:val="32"/>
          <w:szCs w:val="32"/>
          <w:highlight w:val="none"/>
          <w:lang w:val="zh-CN" w:eastAsia="zh-CN" w:bidi="ar-SA"/>
        </w:rPr>
        <w:t>广元市招商引资专项资金管理办法</w:t>
      </w:r>
      <w:r>
        <w:rPr>
          <w:rFonts w:hint="eastAsia" w:ascii="宋体" w:hAnsi="宋体" w:eastAsia="仿宋_GB2312" w:cs="仿宋_GB2312"/>
          <w:color w:val="auto"/>
          <w:kern w:val="0"/>
          <w:sz w:val="32"/>
          <w:szCs w:val="32"/>
          <w:highlight w:val="none"/>
          <w:lang w:val="en-US" w:eastAsia="zh-CN" w:bidi="ar-SA"/>
        </w:rPr>
        <w:t>&gt;</w:t>
      </w:r>
      <w:r>
        <w:rPr>
          <w:rFonts w:hint="eastAsia" w:ascii="宋体" w:hAnsi="宋体" w:eastAsia="仿宋_GB2312" w:cs="仿宋_GB2312"/>
          <w:color w:val="auto"/>
          <w:kern w:val="0"/>
          <w:sz w:val="32"/>
          <w:szCs w:val="32"/>
          <w:highlight w:val="none"/>
          <w:lang w:val="zh-CN" w:eastAsia="zh-CN" w:bidi="ar-SA"/>
        </w:rPr>
        <w:t>的通知》（</w:t>
      </w:r>
      <w:r>
        <w:rPr>
          <w:rFonts w:hint="eastAsia" w:ascii="宋体" w:hAnsi="宋体" w:eastAsia="仿宋_GB2312" w:cs="仿宋_GB2312"/>
          <w:color w:val="auto"/>
          <w:kern w:val="0"/>
          <w:sz w:val="32"/>
          <w:szCs w:val="32"/>
          <w:highlight w:val="none"/>
          <w:lang w:val="en-US" w:eastAsia="zh-CN" w:bidi="ar-SA"/>
        </w:rPr>
        <w:t>广财行</w:t>
      </w:r>
      <w:r>
        <w:rPr>
          <w:rFonts w:hint="eastAsia" w:ascii="宋体" w:hAnsi="宋体" w:eastAsia="仿宋_GB2312" w:cs="仿宋_GB2312"/>
          <w:color w:val="auto"/>
          <w:kern w:val="0"/>
          <w:sz w:val="32"/>
          <w:szCs w:val="32"/>
          <w:highlight w:val="none"/>
          <w:lang w:val="zh-CN" w:eastAsia="zh-CN" w:bidi="ar-SA"/>
        </w:rPr>
        <w:t>〔</w:t>
      </w:r>
      <w:r>
        <w:rPr>
          <w:rFonts w:hint="eastAsia" w:ascii="宋体" w:hAnsi="宋体" w:eastAsia="仿宋_GB2312" w:cs="仿宋_GB2312"/>
          <w:color w:val="auto"/>
          <w:kern w:val="0"/>
          <w:sz w:val="32"/>
          <w:szCs w:val="32"/>
          <w:highlight w:val="none"/>
          <w:lang w:val="en-US" w:eastAsia="zh-CN" w:bidi="ar-SA"/>
        </w:rPr>
        <w:t>2018</w:t>
      </w:r>
      <w:r>
        <w:rPr>
          <w:rFonts w:hint="eastAsia" w:ascii="宋体" w:hAnsi="宋体" w:eastAsia="仿宋_GB2312" w:cs="仿宋_GB2312"/>
          <w:color w:val="auto"/>
          <w:kern w:val="0"/>
          <w:sz w:val="32"/>
          <w:szCs w:val="32"/>
          <w:highlight w:val="none"/>
          <w:lang w:val="zh-CN" w:eastAsia="zh-CN" w:bidi="ar-SA"/>
        </w:rPr>
        <w:t>〕</w:t>
      </w:r>
      <w:r>
        <w:rPr>
          <w:rFonts w:hint="eastAsia" w:ascii="宋体" w:hAnsi="宋体" w:eastAsia="仿宋_GB2312" w:cs="仿宋_GB2312"/>
          <w:color w:val="auto"/>
          <w:kern w:val="0"/>
          <w:sz w:val="32"/>
          <w:szCs w:val="32"/>
          <w:highlight w:val="none"/>
          <w:lang w:val="en-US" w:eastAsia="zh-CN" w:bidi="ar-SA"/>
        </w:rPr>
        <w:t>46号）</w:t>
      </w:r>
      <w:r>
        <w:rPr>
          <w:rFonts w:hint="eastAsia" w:ascii="宋体" w:hAnsi="宋体" w:eastAsia="仿宋_GB2312" w:cs="仿宋_GB2312"/>
          <w:color w:val="auto"/>
          <w:kern w:val="0"/>
          <w:sz w:val="32"/>
          <w:szCs w:val="32"/>
          <w:highlight w:val="none"/>
          <w:lang w:val="zh-CN" w:eastAsia="zh-CN" w:bidi="ar-SA"/>
        </w:rPr>
        <w:t>文件精神，强化对招商引资专项经费的管理</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宋体" w:hAnsi="宋体" w:eastAsia="仿宋_GB2312" w:cs="仿宋_GB2312"/>
          <w:color w:val="auto"/>
          <w:kern w:val="0"/>
          <w:sz w:val="32"/>
          <w:szCs w:val="32"/>
          <w:highlight w:val="none"/>
          <w:lang w:val="en-US" w:eastAsia="zh-CN" w:bidi="ar-SA"/>
        </w:rPr>
      </w:pPr>
      <w:r>
        <w:rPr>
          <w:rFonts w:hint="eastAsia" w:ascii="楷体_GB2312" w:hAnsi="楷体_GB2312" w:eastAsia="楷体_GB2312" w:cs="楷体_GB2312"/>
          <w:color w:val="auto"/>
          <w:kern w:val="0"/>
          <w:sz w:val="32"/>
          <w:szCs w:val="32"/>
          <w:highlight w:val="none"/>
          <w:lang w:val="zh-CN" w:eastAsia="zh-CN" w:bidi="ar-SA"/>
        </w:rPr>
        <w:t>（二）项目管理情况。</w:t>
      </w:r>
      <w:r>
        <w:rPr>
          <w:rFonts w:hint="eastAsia" w:ascii="宋体" w:hAnsi="宋体" w:eastAsia="仿宋_GB2312" w:cs="仿宋_GB2312"/>
          <w:color w:val="auto"/>
          <w:kern w:val="0"/>
          <w:sz w:val="32"/>
          <w:szCs w:val="32"/>
          <w:highlight w:val="none"/>
          <w:lang w:val="en-US" w:eastAsia="zh-CN" w:bidi="ar-SA"/>
        </w:rPr>
        <w:t>我单位根据广元市财政局</w:t>
      </w:r>
      <w:r>
        <w:rPr>
          <w:rFonts w:hint="eastAsia" w:ascii="宋体" w:hAnsi="宋体" w:eastAsia="仿宋_GB2312" w:cs="仿宋_GB2312"/>
          <w:color w:val="auto"/>
          <w:kern w:val="0"/>
          <w:sz w:val="32"/>
          <w:szCs w:val="32"/>
          <w:highlight w:val="none"/>
          <w:lang w:val="zh-CN" w:eastAsia="zh-CN" w:bidi="ar-SA"/>
        </w:rPr>
        <w:t>《关于印发</w:t>
      </w:r>
      <w:r>
        <w:rPr>
          <w:rFonts w:hint="eastAsia" w:ascii="宋体" w:hAnsi="宋体" w:eastAsia="仿宋_GB2312" w:cs="仿宋_GB2312"/>
          <w:color w:val="auto"/>
          <w:kern w:val="0"/>
          <w:sz w:val="32"/>
          <w:szCs w:val="32"/>
          <w:highlight w:val="none"/>
          <w:lang w:val="en-US" w:eastAsia="zh-CN" w:bidi="ar-SA"/>
        </w:rPr>
        <w:t>&lt;</w:t>
      </w:r>
      <w:r>
        <w:rPr>
          <w:rFonts w:hint="eastAsia" w:ascii="宋体" w:hAnsi="宋体" w:eastAsia="仿宋_GB2312" w:cs="仿宋_GB2312"/>
          <w:color w:val="auto"/>
          <w:kern w:val="0"/>
          <w:sz w:val="32"/>
          <w:szCs w:val="32"/>
          <w:highlight w:val="none"/>
          <w:lang w:val="zh-CN" w:eastAsia="zh-CN" w:bidi="ar-SA"/>
        </w:rPr>
        <w:t>广元市招商引资专项资金管理办法</w:t>
      </w:r>
      <w:r>
        <w:rPr>
          <w:rFonts w:hint="eastAsia" w:ascii="宋体" w:hAnsi="宋体" w:eastAsia="仿宋_GB2312" w:cs="仿宋_GB2312"/>
          <w:color w:val="auto"/>
          <w:kern w:val="0"/>
          <w:sz w:val="32"/>
          <w:szCs w:val="32"/>
          <w:highlight w:val="none"/>
          <w:lang w:val="en-US" w:eastAsia="zh-CN" w:bidi="ar-SA"/>
        </w:rPr>
        <w:t>&gt;</w:t>
      </w:r>
      <w:r>
        <w:rPr>
          <w:rFonts w:hint="eastAsia" w:ascii="宋体" w:hAnsi="宋体" w:eastAsia="仿宋_GB2312" w:cs="仿宋_GB2312"/>
          <w:color w:val="auto"/>
          <w:kern w:val="0"/>
          <w:sz w:val="32"/>
          <w:szCs w:val="32"/>
          <w:highlight w:val="none"/>
          <w:lang w:val="zh-CN" w:eastAsia="zh-CN" w:bidi="ar-SA"/>
        </w:rPr>
        <w:t>的通知》（</w:t>
      </w:r>
      <w:r>
        <w:rPr>
          <w:rFonts w:hint="eastAsia" w:ascii="宋体" w:hAnsi="宋体" w:eastAsia="仿宋_GB2312" w:cs="仿宋_GB2312"/>
          <w:color w:val="auto"/>
          <w:kern w:val="0"/>
          <w:sz w:val="32"/>
          <w:szCs w:val="32"/>
          <w:highlight w:val="none"/>
          <w:lang w:val="en-US" w:eastAsia="zh-CN" w:bidi="ar-SA"/>
        </w:rPr>
        <w:t>广财行</w:t>
      </w:r>
      <w:r>
        <w:rPr>
          <w:rFonts w:hint="eastAsia" w:ascii="宋体" w:hAnsi="宋体" w:eastAsia="仿宋_GB2312" w:cs="仿宋_GB2312"/>
          <w:color w:val="auto"/>
          <w:kern w:val="0"/>
          <w:sz w:val="32"/>
          <w:szCs w:val="32"/>
          <w:highlight w:val="none"/>
          <w:lang w:val="zh-CN" w:eastAsia="zh-CN" w:bidi="ar-SA"/>
        </w:rPr>
        <w:t>〔</w:t>
      </w:r>
      <w:r>
        <w:rPr>
          <w:rFonts w:hint="eastAsia" w:ascii="宋体" w:hAnsi="宋体" w:eastAsia="仿宋_GB2312" w:cs="仿宋_GB2312"/>
          <w:color w:val="auto"/>
          <w:kern w:val="0"/>
          <w:sz w:val="32"/>
          <w:szCs w:val="32"/>
          <w:highlight w:val="none"/>
          <w:lang w:val="en-US" w:eastAsia="zh-CN" w:bidi="ar-SA"/>
        </w:rPr>
        <w:t>2018</w:t>
      </w:r>
      <w:r>
        <w:rPr>
          <w:rFonts w:hint="eastAsia" w:ascii="宋体" w:hAnsi="宋体" w:eastAsia="仿宋_GB2312" w:cs="仿宋_GB2312"/>
          <w:color w:val="auto"/>
          <w:kern w:val="0"/>
          <w:sz w:val="32"/>
          <w:szCs w:val="32"/>
          <w:highlight w:val="none"/>
          <w:lang w:val="zh-CN" w:eastAsia="zh-CN" w:bidi="ar-SA"/>
        </w:rPr>
        <w:t>〕</w:t>
      </w:r>
      <w:r>
        <w:rPr>
          <w:rFonts w:hint="eastAsia" w:ascii="宋体" w:hAnsi="宋体" w:eastAsia="仿宋_GB2312" w:cs="仿宋_GB2312"/>
          <w:color w:val="auto"/>
          <w:kern w:val="0"/>
          <w:sz w:val="32"/>
          <w:szCs w:val="32"/>
          <w:highlight w:val="none"/>
          <w:lang w:val="en-US" w:eastAsia="zh-CN" w:bidi="ar-SA"/>
        </w:rPr>
        <w:t>46号</w:t>
      </w:r>
      <w:r>
        <w:rPr>
          <w:rFonts w:hint="eastAsia" w:ascii="宋体" w:hAnsi="宋体" w:eastAsia="仿宋_GB2312" w:cs="仿宋_GB2312"/>
          <w:color w:val="auto"/>
          <w:kern w:val="0"/>
          <w:sz w:val="32"/>
          <w:szCs w:val="32"/>
          <w:highlight w:val="none"/>
          <w:lang w:val="zh-CN" w:eastAsia="zh-CN" w:bidi="ar-SA"/>
        </w:rPr>
        <w:t>）文件精神，并制定了《广元市经济合作局商务接待管理办法（试行）的通知》等一系列管理制度，强化对招商引资专项经费的管理。该专项经费主要</w:t>
      </w:r>
      <w:r>
        <w:rPr>
          <w:rFonts w:hint="eastAsia" w:ascii="宋体" w:hAnsi="宋体" w:eastAsia="仿宋_GB2312" w:cs="仿宋_GB2312"/>
          <w:color w:val="auto"/>
          <w:kern w:val="0"/>
          <w:sz w:val="32"/>
          <w:szCs w:val="32"/>
          <w:highlight w:val="none"/>
          <w:lang w:val="en-US" w:eastAsia="zh-CN" w:bidi="ar-SA"/>
        </w:rPr>
        <w:t xml:space="preserve">用于保障我单位重大招商引资项目的考察、论证、洽谈、宣传和推介活动，国内外重要投资商来广元考察、洽谈及接待活动，市委、市政府在国内外开展的重点招商引资等工作的顺利开展。 </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宋体" w:hAnsi="宋体" w:eastAsia="仿宋_GB2312" w:cs="仿宋_GB2312"/>
          <w:color w:val="auto"/>
          <w:kern w:val="0"/>
          <w:sz w:val="32"/>
          <w:szCs w:val="32"/>
          <w:highlight w:val="none"/>
          <w:lang w:val="zh-CN" w:eastAsia="zh-CN" w:bidi="ar-SA"/>
        </w:rPr>
      </w:pPr>
      <w:r>
        <w:rPr>
          <w:rFonts w:hint="eastAsia" w:ascii="楷体_GB2312" w:hAnsi="楷体_GB2312" w:eastAsia="楷体_GB2312" w:cs="楷体_GB2312"/>
          <w:color w:val="auto"/>
          <w:kern w:val="0"/>
          <w:sz w:val="32"/>
          <w:szCs w:val="32"/>
          <w:highlight w:val="none"/>
          <w:lang w:val="zh-CN" w:eastAsia="zh-CN" w:bidi="ar-SA"/>
        </w:rPr>
        <w:t>（三）项目监管情况。</w:t>
      </w:r>
      <w:r>
        <w:rPr>
          <w:rFonts w:hint="eastAsia" w:ascii="宋体" w:hAnsi="宋体" w:eastAsia="仿宋_GB2312" w:cs="仿宋_GB2312"/>
          <w:color w:val="auto"/>
          <w:kern w:val="0"/>
          <w:sz w:val="32"/>
          <w:szCs w:val="32"/>
          <w:highlight w:val="none"/>
          <w:lang w:val="en-US" w:eastAsia="zh-CN" w:bidi="ar-SA"/>
        </w:rPr>
        <w:t>我单位除严格遵守财经纪律以及相关管理制度以外，还配合市纪委监委派驻市政府办纪检组不定期抽查监督，确保项目使用合理、合规</w:t>
      </w:r>
      <w:r>
        <w:rPr>
          <w:rFonts w:hint="eastAsia" w:ascii="宋体" w:hAnsi="宋体" w:eastAsia="仿宋_GB2312" w:cs="仿宋_GB2312"/>
          <w:color w:val="auto"/>
          <w:kern w:val="0"/>
          <w:sz w:val="32"/>
          <w:szCs w:val="32"/>
          <w:highlight w:val="none"/>
          <w:lang w:val="zh-CN" w:eastAsia="zh-CN" w:bidi="ar-SA"/>
        </w:rPr>
        <w:t>。</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黑体" w:hAnsi="黑体" w:eastAsia="黑体" w:cs="黑体"/>
          <w:color w:val="auto"/>
          <w:kern w:val="0"/>
          <w:sz w:val="32"/>
          <w:szCs w:val="32"/>
          <w:highlight w:val="none"/>
          <w:lang w:val="zh-CN" w:eastAsia="zh-CN" w:bidi="ar-SA"/>
        </w:rPr>
      </w:pPr>
      <w:r>
        <w:rPr>
          <w:rFonts w:hint="eastAsia" w:ascii="黑体" w:hAnsi="黑体" w:eastAsia="黑体" w:cs="黑体"/>
          <w:color w:val="auto"/>
          <w:kern w:val="0"/>
          <w:sz w:val="32"/>
          <w:szCs w:val="32"/>
          <w:highlight w:val="none"/>
          <w:lang w:val="en-US" w:eastAsia="zh-CN" w:bidi="ar-SA"/>
        </w:rPr>
        <w:t>四、项目绩效情况</w:t>
      </w:r>
      <w:r>
        <w:rPr>
          <w:rFonts w:hint="eastAsia" w:ascii="黑体" w:hAnsi="黑体" w:eastAsia="黑体" w:cs="黑体"/>
          <w:color w:val="auto"/>
          <w:kern w:val="0"/>
          <w:sz w:val="32"/>
          <w:szCs w:val="32"/>
          <w:highlight w:val="none"/>
          <w:lang w:val="zh-CN" w:eastAsia="zh-CN" w:bidi="ar-SA"/>
        </w:rPr>
        <w:tab/>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楷体_GB2312" w:hAnsi="楷体_GB2312" w:eastAsia="楷体_GB2312" w:cs="楷体_GB2312"/>
          <w:color w:val="auto"/>
          <w:kern w:val="0"/>
          <w:sz w:val="32"/>
          <w:szCs w:val="32"/>
          <w:highlight w:val="none"/>
          <w:lang w:val="zh-CN" w:eastAsia="zh-CN" w:bidi="ar-SA"/>
        </w:rPr>
      </w:pPr>
      <w:r>
        <w:rPr>
          <w:rFonts w:hint="eastAsia" w:ascii="楷体_GB2312" w:hAnsi="楷体_GB2312" w:eastAsia="楷体_GB2312" w:cs="楷体_GB2312"/>
          <w:color w:val="auto"/>
          <w:kern w:val="0"/>
          <w:sz w:val="32"/>
          <w:szCs w:val="32"/>
          <w:highlight w:val="none"/>
          <w:lang w:val="zh-CN" w:eastAsia="zh-CN" w:bidi="ar-SA"/>
        </w:rPr>
        <w:t>（一）项目完成情况</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宋体" w:hAnsi="宋体" w:eastAsia="仿宋_GB2312" w:cs="仿宋_GB2312"/>
          <w:color w:val="auto"/>
          <w:kern w:val="0"/>
          <w:sz w:val="32"/>
          <w:szCs w:val="32"/>
          <w:highlight w:val="none"/>
          <w:lang w:val="en-US" w:eastAsia="zh-CN" w:bidi="ar-SA"/>
        </w:rPr>
      </w:pPr>
      <w:r>
        <w:rPr>
          <w:rFonts w:hint="eastAsia" w:ascii="宋体" w:hAnsi="宋体" w:eastAsia="仿宋_GB2312" w:cs="仿宋_GB2312"/>
          <w:color w:val="auto"/>
          <w:kern w:val="0"/>
          <w:sz w:val="32"/>
          <w:szCs w:val="32"/>
          <w:highlight w:val="none"/>
          <w:lang w:val="en-US" w:eastAsia="zh-CN" w:bidi="ar-SA"/>
        </w:rPr>
        <w:t>完成了年初预算申报目标绩效任务，圆满完成了全年招商引资任务，促进了广元经济发展。</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楷体_GB2312" w:hAnsi="楷体_GB2312" w:eastAsia="楷体_GB2312" w:cs="楷体_GB2312"/>
          <w:color w:val="auto"/>
          <w:kern w:val="0"/>
          <w:sz w:val="32"/>
          <w:szCs w:val="32"/>
          <w:highlight w:val="none"/>
          <w:lang w:val="zh-CN" w:eastAsia="zh-CN" w:bidi="ar-SA"/>
        </w:rPr>
      </w:pPr>
      <w:r>
        <w:rPr>
          <w:rFonts w:hint="eastAsia" w:ascii="楷体_GB2312" w:hAnsi="楷体_GB2312" w:eastAsia="楷体_GB2312" w:cs="楷体_GB2312"/>
          <w:color w:val="auto"/>
          <w:kern w:val="0"/>
          <w:sz w:val="32"/>
          <w:szCs w:val="32"/>
          <w:highlight w:val="none"/>
          <w:lang w:val="zh-CN" w:eastAsia="zh-CN" w:bidi="ar-SA"/>
        </w:rPr>
        <w:t>（二）项目效益情况</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宋体" w:hAnsi="宋体" w:eastAsia="仿宋_GB2312" w:cs="仿宋_GB2312"/>
          <w:color w:val="auto"/>
          <w:kern w:val="0"/>
          <w:sz w:val="32"/>
          <w:szCs w:val="32"/>
          <w:highlight w:val="none"/>
          <w:lang w:val="en-US" w:eastAsia="zh-CN" w:bidi="ar-SA"/>
        </w:rPr>
      </w:pPr>
      <w:r>
        <w:rPr>
          <w:rFonts w:hint="eastAsia" w:ascii="宋体" w:hAnsi="宋体" w:eastAsia="仿宋_GB2312" w:cs="仿宋_GB2312"/>
          <w:color w:val="auto"/>
          <w:kern w:val="0"/>
          <w:sz w:val="32"/>
          <w:szCs w:val="32"/>
          <w:highlight w:val="none"/>
          <w:lang w:val="en-US" w:eastAsia="zh-CN" w:bidi="ar-SA"/>
        </w:rPr>
        <w:t>全市到位资金的招商引资项目</w:t>
      </w:r>
      <w:r>
        <w:rPr>
          <w:rFonts w:hint="default" w:ascii="宋体" w:hAnsi="宋体" w:eastAsia="仿宋_GB2312" w:cs="仿宋_GB2312"/>
          <w:color w:val="auto"/>
          <w:kern w:val="0"/>
          <w:sz w:val="32"/>
          <w:szCs w:val="32"/>
          <w:highlight w:val="none"/>
          <w:lang w:val="en-US" w:eastAsia="zh-CN" w:bidi="ar-SA"/>
        </w:rPr>
        <w:t>523</w:t>
      </w:r>
      <w:r>
        <w:rPr>
          <w:rFonts w:hint="eastAsia" w:ascii="宋体" w:hAnsi="宋体" w:eastAsia="仿宋_GB2312" w:cs="仿宋_GB2312"/>
          <w:color w:val="auto"/>
          <w:kern w:val="0"/>
          <w:sz w:val="32"/>
          <w:szCs w:val="32"/>
          <w:highlight w:val="none"/>
          <w:lang w:val="en-US" w:eastAsia="zh-CN" w:bidi="ar-SA"/>
        </w:rPr>
        <w:t>个，引进到位市外资金</w:t>
      </w:r>
      <w:r>
        <w:rPr>
          <w:rFonts w:hint="default" w:ascii="宋体" w:hAnsi="宋体" w:eastAsia="仿宋_GB2312" w:cs="仿宋_GB2312"/>
          <w:color w:val="auto"/>
          <w:kern w:val="0"/>
          <w:sz w:val="32"/>
          <w:szCs w:val="32"/>
          <w:highlight w:val="none"/>
          <w:lang w:val="en-US" w:eastAsia="zh-CN" w:bidi="ar-SA"/>
        </w:rPr>
        <w:t>751.95</w:t>
      </w:r>
      <w:r>
        <w:rPr>
          <w:rFonts w:hint="eastAsia" w:ascii="宋体" w:hAnsi="宋体" w:eastAsia="仿宋_GB2312" w:cs="仿宋_GB2312"/>
          <w:color w:val="auto"/>
          <w:kern w:val="0"/>
          <w:sz w:val="32"/>
          <w:szCs w:val="32"/>
          <w:highlight w:val="none"/>
          <w:lang w:val="en-US" w:eastAsia="zh-CN" w:bidi="ar-SA"/>
        </w:rPr>
        <w:t>亿元；全市新签约项目</w:t>
      </w:r>
      <w:r>
        <w:rPr>
          <w:rFonts w:hint="default" w:ascii="宋体" w:hAnsi="宋体" w:eastAsia="仿宋_GB2312" w:cs="仿宋_GB2312"/>
          <w:color w:val="auto"/>
          <w:kern w:val="0"/>
          <w:sz w:val="32"/>
          <w:szCs w:val="32"/>
          <w:highlight w:val="none"/>
          <w:lang w:val="en-US" w:eastAsia="zh-CN" w:bidi="ar-SA"/>
        </w:rPr>
        <w:t>272</w:t>
      </w:r>
      <w:r>
        <w:rPr>
          <w:rFonts w:hint="eastAsia" w:ascii="宋体" w:hAnsi="宋体" w:eastAsia="仿宋_GB2312" w:cs="仿宋_GB2312"/>
          <w:color w:val="auto"/>
          <w:kern w:val="0"/>
          <w:sz w:val="32"/>
          <w:szCs w:val="32"/>
          <w:highlight w:val="none"/>
          <w:lang w:val="en-US" w:eastAsia="zh-CN" w:bidi="ar-SA"/>
        </w:rPr>
        <w:t>个，签约资金</w:t>
      </w:r>
      <w:r>
        <w:rPr>
          <w:rFonts w:hint="default" w:ascii="宋体" w:hAnsi="宋体" w:eastAsia="仿宋_GB2312" w:cs="仿宋_GB2312"/>
          <w:color w:val="auto"/>
          <w:kern w:val="0"/>
          <w:sz w:val="32"/>
          <w:szCs w:val="32"/>
          <w:highlight w:val="none"/>
          <w:lang w:val="en-US" w:eastAsia="zh-CN" w:bidi="ar-SA"/>
        </w:rPr>
        <w:t>893.47</w:t>
      </w:r>
      <w:r>
        <w:rPr>
          <w:rFonts w:hint="eastAsia" w:ascii="宋体" w:hAnsi="宋体" w:eastAsia="仿宋_GB2312" w:cs="仿宋_GB2312"/>
          <w:color w:val="auto"/>
          <w:kern w:val="0"/>
          <w:sz w:val="32"/>
          <w:szCs w:val="32"/>
          <w:highlight w:val="none"/>
          <w:lang w:val="en-US" w:eastAsia="zh-CN" w:bidi="ar-SA"/>
        </w:rPr>
        <w:t>亿元，其中亿元以上项目</w:t>
      </w:r>
      <w:r>
        <w:rPr>
          <w:rFonts w:hint="default" w:ascii="宋体" w:hAnsi="宋体" w:eastAsia="仿宋_GB2312" w:cs="仿宋_GB2312"/>
          <w:color w:val="auto"/>
          <w:kern w:val="0"/>
          <w:sz w:val="32"/>
          <w:szCs w:val="32"/>
          <w:highlight w:val="none"/>
          <w:lang w:val="en-US" w:eastAsia="zh-CN" w:bidi="ar-SA"/>
        </w:rPr>
        <w:t>161</w:t>
      </w:r>
      <w:r>
        <w:rPr>
          <w:rFonts w:hint="eastAsia" w:ascii="宋体" w:hAnsi="宋体" w:eastAsia="仿宋_GB2312" w:cs="仿宋_GB2312"/>
          <w:color w:val="auto"/>
          <w:kern w:val="0"/>
          <w:sz w:val="32"/>
          <w:szCs w:val="32"/>
          <w:highlight w:val="none"/>
          <w:lang w:val="en-US" w:eastAsia="zh-CN" w:bidi="ar-SA"/>
        </w:rPr>
        <w:t>个；全市新开工亿元以上项目</w:t>
      </w:r>
      <w:r>
        <w:rPr>
          <w:rFonts w:hint="default" w:ascii="宋体" w:hAnsi="宋体" w:eastAsia="仿宋_GB2312" w:cs="仿宋_GB2312"/>
          <w:color w:val="auto"/>
          <w:kern w:val="0"/>
          <w:sz w:val="32"/>
          <w:szCs w:val="32"/>
          <w:highlight w:val="none"/>
          <w:lang w:val="en-US" w:eastAsia="zh-CN" w:bidi="ar-SA"/>
        </w:rPr>
        <w:t>164</w:t>
      </w:r>
      <w:r>
        <w:rPr>
          <w:rFonts w:hint="eastAsia" w:ascii="宋体" w:hAnsi="宋体" w:eastAsia="仿宋_GB2312" w:cs="仿宋_GB2312"/>
          <w:color w:val="auto"/>
          <w:kern w:val="0"/>
          <w:sz w:val="32"/>
          <w:szCs w:val="32"/>
          <w:highlight w:val="none"/>
          <w:lang w:val="en-US" w:eastAsia="zh-CN" w:bidi="ar-SA"/>
        </w:rPr>
        <w:t>个。全年招商引资项目绩效目标均按期完成，对广元本地经济发展和就业提供了极大的促进作用。</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五、评价结论及建议</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楷体_GB2312" w:hAnsi="楷体_GB2312" w:eastAsia="楷体_GB2312" w:cs="楷体_GB2312"/>
          <w:color w:val="auto"/>
          <w:kern w:val="0"/>
          <w:sz w:val="32"/>
          <w:szCs w:val="32"/>
          <w:highlight w:val="none"/>
          <w:lang w:val="zh-CN" w:eastAsia="zh-CN" w:bidi="ar-SA"/>
        </w:rPr>
      </w:pPr>
      <w:r>
        <w:rPr>
          <w:rFonts w:hint="eastAsia" w:ascii="楷体_GB2312" w:hAnsi="楷体_GB2312" w:eastAsia="楷体_GB2312" w:cs="楷体_GB2312"/>
          <w:color w:val="auto"/>
          <w:kern w:val="0"/>
          <w:sz w:val="32"/>
          <w:szCs w:val="32"/>
          <w:highlight w:val="none"/>
          <w:lang w:val="zh-CN" w:eastAsia="zh-CN" w:bidi="ar-SA"/>
        </w:rPr>
        <w:t>（一）评价结论</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宋体" w:hAnsi="宋体" w:eastAsia="仿宋_GB2312" w:cs="仿宋_GB2312"/>
          <w:color w:val="auto"/>
          <w:kern w:val="0"/>
          <w:sz w:val="32"/>
          <w:szCs w:val="32"/>
          <w:highlight w:val="none"/>
          <w:lang w:val="zh-CN" w:eastAsia="zh-CN" w:bidi="ar-SA"/>
        </w:rPr>
      </w:pPr>
      <w:r>
        <w:rPr>
          <w:rFonts w:hint="eastAsia" w:ascii="宋体" w:hAnsi="宋体" w:eastAsia="仿宋_GB2312" w:cs="仿宋_GB2312"/>
          <w:color w:val="auto"/>
          <w:kern w:val="0"/>
          <w:sz w:val="32"/>
          <w:szCs w:val="32"/>
          <w:highlight w:val="none"/>
          <w:lang w:val="zh-CN" w:eastAsia="zh-CN" w:bidi="ar-SA"/>
        </w:rPr>
        <w:t>202</w:t>
      </w:r>
      <w:r>
        <w:rPr>
          <w:rFonts w:hint="eastAsia" w:ascii="宋体" w:hAnsi="宋体" w:eastAsia="仿宋_GB2312" w:cs="仿宋_GB2312"/>
          <w:color w:val="auto"/>
          <w:kern w:val="0"/>
          <w:sz w:val="32"/>
          <w:szCs w:val="32"/>
          <w:highlight w:val="none"/>
          <w:lang w:val="en-US" w:eastAsia="zh-CN" w:bidi="ar-SA"/>
        </w:rPr>
        <w:t>2</w:t>
      </w:r>
      <w:r>
        <w:rPr>
          <w:rFonts w:hint="eastAsia" w:ascii="宋体" w:hAnsi="宋体" w:eastAsia="仿宋_GB2312" w:cs="仿宋_GB2312"/>
          <w:color w:val="auto"/>
          <w:kern w:val="0"/>
          <w:sz w:val="32"/>
          <w:szCs w:val="32"/>
          <w:highlight w:val="none"/>
          <w:lang w:val="zh-CN" w:eastAsia="zh-CN" w:bidi="ar-SA"/>
        </w:rPr>
        <w:t>年我单招商引资专项资金支出绩效自查自评结果良好，全年基本支出保证了单位招商引资工作的正常运转，保障了重点专项工作的开展，按照 202</w:t>
      </w:r>
      <w:r>
        <w:rPr>
          <w:rFonts w:hint="eastAsia" w:ascii="宋体" w:hAnsi="宋体" w:eastAsia="仿宋_GB2312" w:cs="仿宋_GB2312"/>
          <w:color w:val="auto"/>
          <w:kern w:val="0"/>
          <w:sz w:val="32"/>
          <w:szCs w:val="32"/>
          <w:highlight w:val="none"/>
          <w:lang w:val="en-US" w:eastAsia="zh-CN" w:bidi="ar-SA"/>
        </w:rPr>
        <w:t>2</w:t>
      </w:r>
      <w:r>
        <w:rPr>
          <w:rFonts w:hint="eastAsia" w:ascii="宋体" w:hAnsi="宋体" w:eastAsia="仿宋_GB2312" w:cs="仿宋_GB2312"/>
          <w:color w:val="auto"/>
          <w:kern w:val="0"/>
          <w:sz w:val="32"/>
          <w:szCs w:val="32"/>
          <w:highlight w:val="none"/>
          <w:lang w:val="zh-CN" w:eastAsia="zh-CN" w:bidi="ar-SA"/>
        </w:rPr>
        <w:t>年度部门招商引资专项资金支出绩效评价指标体系对我单位预算编制、预算执行、完成结果、信息公开、整改反馈等方面进行了自评，最终得分</w:t>
      </w:r>
      <w:r>
        <w:rPr>
          <w:rFonts w:hint="eastAsia" w:ascii="宋体" w:hAnsi="宋体" w:eastAsia="仿宋_GB2312" w:cs="仿宋_GB2312"/>
          <w:color w:val="auto"/>
          <w:kern w:val="0"/>
          <w:sz w:val="32"/>
          <w:szCs w:val="32"/>
          <w:highlight w:val="none"/>
          <w:lang w:val="en-US" w:eastAsia="zh-CN" w:bidi="ar-SA"/>
        </w:rPr>
        <w:t>97</w:t>
      </w:r>
      <w:r>
        <w:rPr>
          <w:rFonts w:hint="eastAsia" w:ascii="宋体" w:hAnsi="宋体" w:eastAsia="仿宋_GB2312" w:cs="仿宋_GB2312"/>
          <w:color w:val="auto"/>
          <w:kern w:val="0"/>
          <w:sz w:val="32"/>
          <w:szCs w:val="32"/>
          <w:highlight w:val="none"/>
          <w:lang w:val="zh-CN" w:eastAsia="zh-CN" w:bidi="ar-SA"/>
        </w:rPr>
        <w:t>分。</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楷体_GB2312" w:hAnsi="楷体_GB2312" w:eastAsia="楷体_GB2312" w:cs="楷体_GB2312"/>
          <w:color w:val="auto"/>
          <w:kern w:val="0"/>
          <w:sz w:val="32"/>
          <w:szCs w:val="32"/>
          <w:highlight w:val="none"/>
          <w:lang w:val="zh-CN" w:eastAsia="zh-CN" w:bidi="ar-SA"/>
        </w:rPr>
      </w:pPr>
      <w:r>
        <w:rPr>
          <w:rFonts w:hint="eastAsia" w:ascii="楷体_GB2312" w:hAnsi="楷体_GB2312" w:eastAsia="楷体_GB2312" w:cs="楷体_GB2312"/>
          <w:color w:val="auto"/>
          <w:kern w:val="0"/>
          <w:sz w:val="32"/>
          <w:szCs w:val="32"/>
          <w:highlight w:val="none"/>
          <w:lang w:val="zh-CN" w:eastAsia="zh-CN" w:bidi="ar-SA"/>
        </w:rPr>
        <w:t>（二）存在的问题</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default" w:ascii="宋体" w:hAnsi="宋体" w:eastAsia="仿宋_GB2312" w:cs="仿宋_GB2312"/>
          <w:color w:val="auto"/>
          <w:kern w:val="0"/>
          <w:sz w:val="32"/>
          <w:szCs w:val="32"/>
          <w:highlight w:val="none"/>
          <w:lang w:val="en-US" w:eastAsia="zh-CN" w:bidi="ar-SA"/>
        </w:rPr>
      </w:pPr>
      <w:r>
        <w:rPr>
          <w:rFonts w:hint="eastAsia" w:ascii="宋体" w:hAnsi="宋体" w:eastAsia="仿宋_GB2312" w:cs="仿宋_GB2312"/>
          <w:color w:val="auto"/>
          <w:kern w:val="0"/>
          <w:sz w:val="32"/>
          <w:szCs w:val="32"/>
          <w:highlight w:val="none"/>
          <w:lang w:val="zh-CN" w:eastAsia="zh-CN" w:bidi="ar-SA"/>
        </w:rPr>
        <w:t>预算绩效管理需进一步加强，设定的绩效目标还不够科学精准。</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楷体_GB2312" w:hAnsi="楷体_GB2312" w:eastAsia="楷体_GB2312" w:cs="楷体_GB2312"/>
          <w:color w:val="auto"/>
          <w:kern w:val="0"/>
          <w:sz w:val="32"/>
          <w:szCs w:val="32"/>
          <w:highlight w:val="none"/>
          <w:lang w:val="zh-CN" w:eastAsia="zh-CN" w:bidi="ar-SA"/>
        </w:rPr>
      </w:pPr>
      <w:r>
        <w:rPr>
          <w:rFonts w:hint="eastAsia" w:ascii="楷体_GB2312" w:hAnsi="楷体_GB2312" w:eastAsia="楷体_GB2312" w:cs="楷体_GB2312"/>
          <w:color w:val="auto"/>
          <w:kern w:val="0"/>
          <w:sz w:val="32"/>
          <w:szCs w:val="32"/>
          <w:highlight w:val="none"/>
          <w:lang w:val="zh-CN" w:eastAsia="zh-CN" w:bidi="ar-SA"/>
        </w:rPr>
        <w:t>（三）相关建议</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宋体" w:hAnsi="宋体" w:eastAsia="仿宋_GB2312" w:cs="仿宋_GB2312"/>
          <w:color w:val="auto"/>
          <w:kern w:val="0"/>
          <w:sz w:val="32"/>
          <w:szCs w:val="32"/>
          <w:highlight w:val="none"/>
          <w:lang w:val="zh-CN" w:eastAsia="zh-CN" w:bidi="ar-SA"/>
        </w:rPr>
      </w:pPr>
      <w:r>
        <w:rPr>
          <w:rFonts w:hint="default" w:ascii="宋体" w:hAnsi="宋体" w:eastAsia="仿宋_GB2312" w:cs="仿宋_GB2312"/>
          <w:color w:val="auto"/>
          <w:kern w:val="0"/>
          <w:sz w:val="32"/>
          <w:szCs w:val="32"/>
          <w:highlight w:val="none"/>
          <w:lang w:val="en-US" w:eastAsia="zh-CN" w:bidi="ar-SA"/>
        </w:rPr>
        <w:t>进一步健全和完善财务管理制度及内部控制制度，创新管理手段，用新思路、新方法，改进完善财务管理方法。</w:t>
      </w: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640" w:firstLineChars="200"/>
        <w:jc w:val="both"/>
        <w:textAlignment w:val="auto"/>
        <w:outlineLvl w:val="9"/>
        <w:rPr>
          <w:rFonts w:hint="eastAsia" w:ascii="宋体" w:hAnsi="宋体" w:eastAsia="仿宋_GB2312" w:cs="仿宋_GB2312"/>
          <w:color w:val="auto"/>
          <w:kern w:val="0"/>
          <w:sz w:val="32"/>
          <w:szCs w:val="32"/>
          <w:highlight w:val="none"/>
          <w:lang w:val="zh-CN" w:eastAsia="zh-CN" w:bidi="ar-SA"/>
        </w:rPr>
      </w:pPr>
    </w:p>
    <w:p>
      <w:pPr>
        <w:pStyle w:val="37"/>
        <w:keepNext w:val="0"/>
        <w:keepLines w:val="0"/>
        <w:pageBreakBefore w:val="0"/>
        <w:widowControl w:val="0"/>
        <w:shd w:val="clear"/>
        <w:kinsoku/>
        <w:wordWrap/>
        <w:overflowPunct/>
        <w:topLinePunct w:val="0"/>
        <w:autoSpaceDE/>
        <w:autoSpaceDN/>
        <w:bidi w:val="0"/>
        <w:adjustRightInd/>
        <w:snapToGrid/>
        <w:spacing w:line="576" w:lineRule="exact"/>
        <w:ind w:left="0" w:firstLine="534" w:firstLineChars="200"/>
        <w:jc w:val="both"/>
        <w:textAlignment w:val="auto"/>
        <w:outlineLvl w:val="9"/>
        <w:rPr>
          <w:rFonts w:hint="eastAsia" w:ascii="宋体" w:hAnsi="宋体" w:eastAsia="仿宋_GB2312" w:cs="仿宋_GB2312"/>
          <w:color w:val="auto"/>
          <w:spacing w:val="-20"/>
          <w:w w:val="96"/>
          <w:kern w:val="0"/>
          <w:sz w:val="32"/>
          <w:szCs w:val="32"/>
          <w:highlight w:val="none"/>
          <w:lang w:val="en-US" w:eastAsia="zh-CN" w:bidi="ar-SA"/>
        </w:rPr>
        <w:sectPr>
          <w:pgSz w:w="11906" w:h="16838"/>
          <w:pgMar w:top="2098" w:right="1474" w:bottom="1984" w:left="1587" w:header="851" w:footer="1587" w:gutter="0"/>
          <w:pgNumType w:fmt="decimal"/>
          <w:cols w:space="0" w:num="1"/>
          <w:titlePg/>
          <w:rtlGutter w:val="0"/>
          <w:docGrid w:type="lines" w:linePitch="312" w:charSpace="0"/>
        </w:sectPr>
      </w:pPr>
      <w:r>
        <w:rPr>
          <w:rFonts w:hint="eastAsia" w:ascii="宋体" w:hAnsi="宋体" w:eastAsia="仿宋_GB2312" w:cs="仿宋_GB2312"/>
          <w:color w:val="auto"/>
          <w:spacing w:val="-20"/>
          <w:w w:val="96"/>
          <w:kern w:val="0"/>
          <w:sz w:val="32"/>
          <w:szCs w:val="32"/>
          <w:highlight w:val="none"/>
          <w:lang w:val="zh-CN" w:eastAsia="zh-CN" w:bidi="ar-SA"/>
        </w:rPr>
        <w:t>附件：</w:t>
      </w:r>
      <w:r>
        <w:rPr>
          <w:rFonts w:hint="eastAsia" w:ascii="宋体" w:hAnsi="宋体" w:eastAsia="仿宋_GB2312" w:cs="仿宋_GB2312"/>
          <w:color w:val="auto"/>
          <w:spacing w:val="-20"/>
          <w:w w:val="96"/>
          <w:kern w:val="0"/>
          <w:sz w:val="32"/>
          <w:szCs w:val="32"/>
          <w:highlight w:val="none"/>
          <w:lang w:val="en-US" w:eastAsia="zh-CN" w:bidi="ar-SA"/>
        </w:rPr>
        <w:t>部门预算、专项资金预算项目支出绩效目标自评表（2022年度）</w:t>
      </w:r>
    </w:p>
    <w:p>
      <w:pPr>
        <w:keepNext w:val="0"/>
        <w:keepLines w:val="0"/>
        <w:pageBreakBefore w:val="0"/>
        <w:shd w:val="clear"/>
        <w:kinsoku/>
        <w:wordWrap/>
        <w:overflowPunct/>
        <w:topLinePunct w:val="0"/>
        <w:autoSpaceDE/>
        <w:autoSpaceDN/>
        <w:bidi w:val="0"/>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附件</w:t>
      </w:r>
    </w:p>
    <w:p>
      <w:pPr>
        <w:pStyle w:val="2"/>
        <w:keepNext w:val="0"/>
        <w:keepLines w:val="0"/>
        <w:pageBreakBefore w:val="0"/>
        <w:shd w:val="clear"/>
        <w:kinsoku/>
        <w:wordWrap/>
        <w:overflowPunct/>
        <w:topLinePunct w:val="0"/>
        <w:autoSpaceDE/>
        <w:autoSpaceDN/>
        <w:bidi w:val="0"/>
        <w:jc w:val="center"/>
        <w:outlineLvl w:val="9"/>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部门预算、专项资金预算项目支出绩效目标自评表（2022年度）</w:t>
      </w:r>
    </w:p>
    <w:tbl>
      <w:tblPr>
        <w:tblStyle w:val="18"/>
        <w:tblW w:w="498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69"/>
        <w:gridCol w:w="1472"/>
        <w:gridCol w:w="1257"/>
        <w:gridCol w:w="1272"/>
        <w:gridCol w:w="779"/>
        <w:gridCol w:w="729"/>
        <w:gridCol w:w="667"/>
        <w:gridCol w:w="1159"/>
        <w:gridCol w:w="749"/>
        <w:gridCol w:w="749"/>
        <w:gridCol w:w="1086"/>
        <w:gridCol w:w="32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7" w:hRule="atLeast"/>
        </w:trPr>
        <w:tc>
          <w:tcPr>
            <w:tcW w:w="103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项目名称</w:t>
            </w:r>
          </w:p>
        </w:tc>
        <w:tc>
          <w:tcPr>
            <w:tcW w:w="3968"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招商引资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40" w:hRule="atLeast"/>
        </w:trPr>
        <w:tc>
          <w:tcPr>
            <w:tcW w:w="103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主管部门（盖章）</w:t>
            </w:r>
          </w:p>
        </w:tc>
        <w:tc>
          <w:tcPr>
            <w:tcW w:w="1594"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广元市经济合作和外事局</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实施单位 （盖章）</w:t>
            </w:r>
          </w:p>
        </w:tc>
        <w:tc>
          <w:tcPr>
            <w:tcW w:w="198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广元市经济合作和外事局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5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项目基本情况</w:t>
            </w:r>
          </w:p>
        </w:tc>
        <w:tc>
          <w:tcPr>
            <w:tcW w:w="4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3"/>
              </w:numPr>
              <w:suppressLineNumbers w:val="0"/>
              <w:shd w:val="clear"/>
              <w:kinsoku/>
              <w:wordWrap/>
              <w:overflowPunct/>
              <w:topLinePunct w:val="0"/>
              <w:autoSpaceDE/>
              <w:autoSpaceDN/>
              <w:bidi w:val="0"/>
              <w:jc w:val="center"/>
              <w:textAlignment w:val="center"/>
              <w:outlineLvl w:val="9"/>
              <w:rPr>
                <w:rFonts w:hint="eastAsia" w:ascii="宋体" w:hAnsi="宋体" w:eastAsia="宋体" w:cs="宋体"/>
                <w:b/>
                <w:bCs/>
                <w:i w:val="0"/>
                <w:iCs w:val="0"/>
                <w:color w:val="auto"/>
                <w:kern w:val="0"/>
                <w:sz w:val="21"/>
                <w:szCs w:val="21"/>
                <w:highlight w:val="none"/>
                <w:u w:val="none"/>
                <w:lang w:val="en-US" w:eastAsia="zh-CN" w:bidi="ar"/>
              </w:rPr>
            </w:pPr>
            <w:r>
              <w:rPr>
                <w:rFonts w:hint="eastAsia" w:ascii="宋体" w:hAnsi="宋体" w:eastAsia="宋体" w:cs="宋体"/>
                <w:b/>
                <w:bCs/>
                <w:i w:val="0"/>
                <w:iCs w:val="0"/>
                <w:color w:val="auto"/>
                <w:kern w:val="0"/>
                <w:sz w:val="21"/>
                <w:szCs w:val="21"/>
                <w:highlight w:val="none"/>
                <w:u w:val="none"/>
                <w:lang w:val="en-US" w:eastAsia="zh-CN" w:bidi="ar"/>
              </w:rPr>
              <w:t>项目年度目标完成</w:t>
            </w:r>
          </w:p>
          <w:p>
            <w:pPr>
              <w:keepNext w:val="0"/>
              <w:keepLines w:val="0"/>
              <w:pageBreakBefore w:val="0"/>
              <w:widowControl/>
              <w:numPr>
                <w:ilvl w:val="0"/>
                <w:numId w:val="3"/>
              </w:numPr>
              <w:suppressLineNumbers w:val="0"/>
              <w:shd w:val="clear"/>
              <w:kinsoku/>
              <w:wordWrap/>
              <w:overflowPunct/>
              <w:topLinePunct w:val="0"/>
              <w:autoSpaceDE/>
              <w:autoSpaceDN/>
              <w:bidi w:val="0"/>
              <w:jc w:val="center"/>
              <w:textAlignment w:val="center"/>
              <w:outlineLvl w:val="9"/>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情况</w:t>
            </w:r>
          </w:p>
        </w:tc>
        <w:tc>
          <w:tcPr>
            <w:tcW w:w="1594"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项目年度目标</w:t>
            </w:r>
          </w:p>
        </w:tc>
        <w:tc>
          <w:tcPr>
            <w:tcW w:w="2374"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40" w:hRule="atLeast"/>
        </w:trPr>
        <w:tc>
          <w:tcPr>
            <w:tcW w:w="5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jc w:val="center"/>
              <w:outlineLvl w:val="9"/>
              <w:rPr>
                <w:rFonts w:hint="eastAsia" w:ascii="宋体" w:hAnsi="宋体" w:eastAsia="宋体" w:cs="宋体"/>
                <w:b/>
                <w:bCs/>
                <w:i w:val="0"/>
                <w:iCs w:val="0"/>
                <w:color w:val="auto"/>
                <w:sz w:val="21"/>
                <w:szCs w:val="21"/>
                <w:highlight w:val="none"/>
                <w:u w:val="none"/>
              </w:rPr>
            </w:pPr>
          </w:p>
        </w:tc>
        <w:tc>
          <w:tcPr>
            <w:tcW w:w="4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jc w:val="center"/>
              <w:outlineLvl w:val="9"/>
              <w:rPr>
                <w:rFonts w:hint="eastAsia" w:ascii="宋体" w:hAnsi="宋体" w:eastAsia="宋体" w:cs="宋体"/>
                <w:b/>
                <w:bCs/>
                <w:i w:val="0"/>
                <w:iCs w:val="0"/>
                <w:color w:val="auto"/>
                <w:sz w:val="21"/>
                <w:szCs w:val="21"/>
                <w:highlight w:val="none"/>
                <w:u w:val="none"/>
              </w:rPr>
            </w:pPr>
          </w:p>
        </w:tc>
        <w:tc>
          <w:tcPr>
            <w:tcW w:w="1594"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left"/>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负责全市投资环境推介工作，统筹组织市级重大投促活动，牵头全市重大招商引资项目的促进与落实，争取在2022年引进到位国内市外资金700亿以上，新签约投资额亿元以上项目100个以上。</w:t>
            </w:r>
          </w:p>
        </w:tc>
        <w:tc>
          <w:tcPr>
            <w:tcW w:w="2374"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left"/>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全市到位资金的招商引资项目523个，引进到位市外资金751.95亿元；全市新签约项目272个，签约资金893.47亿元，其中亿元以上项目161个；全市新开工亿元以上项目164个。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5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jc w:val="center"/>
              <w:outlineLvl w:val="9"/>
              <w:rPr>
                <w:rFonts w:hint="eastAsia" w:ascii="宋体" w:hAnsi="宋体" w:eastAsia="宋体" w:cs="宋体"/>
                <w:b/>
                <w:bCs/>
                <w:i w:val="0"/>
                <w:iCs w:val="0"/>
                <w:color w:val="auto"/>
                <w:sz w:val="21"/>
                <w:szCs w:val="21"/>
                <w:highlight w:val="none"/>
                <w:u w:val="none"/>
              </w:rPr>
            </w:pPr>
          </w:p>
        </w:tc>
        <w:tc>
          <w:tcPr>
            <w:tcW w:w="4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2.项目实施内容及过程概述</w:t>
            </w:r>
          </w:p>
        </w:tc>
        <w:tc>
          <w:tcPr>
            <w:tcW w:w="3968"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outlineLvl w:val="9"/>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40" w:hRule="atLeast"/>
        </w:trPr>
        <w:tc>
          <w:tcPr>
            <w:tcW w:w="5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预算执行情况（10分）</w:t>
            </w:r>
          </w:p>
        </w:tc>
        <w:tc>
          <w:tcPr>
            <w:tcW w:w="4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年度预算数（万元）</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年初预算</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b/>
                <w:bCs/>
                <w:i w:val="0"/>
                <w:iCs w:val="0"/>
                <w:color w:val="auto"/>
                <w:kern w:val="0"/>
                <w:sz w:val="21"/>
                <w:szCs w:val="21"/>
                <w:highlight w:val="none"/>
                <w:u w:val="none"/>
                <w:lang w:val="en-US" w:eastAsia="zh-CN" w:bidi="ar"/>
              </w:rPr>
            </w:pPr>
            <w:r>
              <w:rPr>
                <w:rFonts w:hint="eastAsia" w:ascii="宋体" w:hAnsi="宋体" w:eastAsia="宋体" w:cs="宋体"/>
                <w:b/>
                <w:bCs/>
                <w:i w:val="0"/>
                <w:iCs w:val="0"/>
                <w:color w:val="auto"/>
                <w:kern w:val="0"/>
                <w:sz w:val="21"/>
                <w:szCs w:val="21"/>
                <w:highlight w:val="none"/>
                <w:u w:val="none"/>
                <w:lang w:val="en-US" w:eastAsia="zh-CN" w:bidi="ar"/>
              </w:rPr>
              <w:t>调整后</w:t>
            </w:r>
          </w:p>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预算数</w:t>
            </w:r>
          </w:p>
        </w:tc>
        <w:tc>
          <w:tcPr>
            <w:tcW w:w="73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预算执行数</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b/>
                <w:bCs/>
                <w:i w:val="0"/>
                <w:iCs w:val="0"/>
                <w:color w:val="auto"/>
                <w:kern w:val="0"/>
                <w:sz w:val="21"/>
                <w:szCs w:val="21"/>
                <w:highlight w:val="none"/>
                <w:u w:val="none"/>
                <w:lang w:val="en-US" w:eastAsia="zh-CN" w:bidi="ar"/>
              </w:rPr>
            </w:pPr>
            <w:r>
              <w:rPr>
                <w:rFonts w:hint="eastAsia" w:ascii="宋体" w:hAnsi="宋体" w:eastAsia="宋体" w:cs="宋体"/>
                <w:b/>
                <w:bCs/>
                <w:i w:val="0"/>
                <w:iCs w:val="0"/>
                <w:color w:val="auto"/>
                <w:kern w:val="0"/>
                <w:sz w:val="21"/>
                <w:szCs w:val="21"/>
                <w:highlight w:val="none"/>
                <w:u w:val="none"/>
                <w:lang w:val="en-US" w:eastAsia="zh-CN" w:bidi="ar"/>
              </w:rPr>
              <w:t>预算</w:t>
            </w:r>
          </w:p>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执行率</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权重%</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部门自评得分</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财政部门科室复评得分</w:t>
            </w:r>
          </w:p>
        </w:tc>
        <w:tc>
          <w:tcPr>
            <w:tcW w:w="11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jc w:val="center"/>
              <w:outlineLvl w:val="9"/>
              <w:rPr>
                <w:rFonts w:hint="eastAsia" w:ascii="宋体" w:hAnsi="宋体" w:eastAsia="宋体" w:cs="宋体"/>
                <w:b/>
                <w:bCs/>
                <w:i w:val="0"/>
                <w:iCs w:val="0"/>
                <w:color w:val="auto"/>
                <w:sz w:val="21"/>
                <w:szCs w:val="21"/>
                <w:highlight w:val="none"/>
                <w:u w:val="none"/>
              </w:rPr>
            </w:pPr>
          </w:p>
        </w:tc>
        <w:tc>
          <w:tcPr>
            <w:tcW w:w="4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总额</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jc w:val="center"/>
              <w:outlineLvl w:val="9"/>
              <w:rPr>
                <w:rFonts w:hint="eastAsia" w:ascii="宋体" w:hAnsi="宋体" w:eastAsia="宋体" w:cs="宋体"/>
                <w:i w:val="0"/>
                <w:iCs w:val="0"/>
                <w:color w:val="auto"/>
                <w:sz w:val="21"/>
                <w:szCs w:val="21"/>
                <w:highlight w:val="none"/>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400.00</w:t>
            </w:r>
          </w:p>
        </w:tc>
        <w:tc>
          <w:tcPr>
            <w:tcW w:w="73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305.16</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76.29%</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jc w:val="center"/>
              <w:outlineLvl w:val="9"/>
              <w:rPr>
                <w:rFonts w:hint="eastAsia" w:ascii="宋体" w:hAnsi="宋体" w:eastAsia="宋体" w:cs="宋体"/>
                <w:i w:val="0"/>
                <w:iCs w:val="0"/>
                <w:color w:val="auto"/>
                <w:sz w:val="21"/>
                <w:szCs w:val="21"/>
                <w:highlight w:val="none"/>
                <w:u w:val="none"/>
              </w:rPr>
            </w:pPr>
          </w:p>
        </w:tc>
        <w:tc>
          <w:tcPr>
            <w:tcW w:w="11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left"/>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jc w:val="center"/>
              <w:outlineLvl w:val="9"/>
              <w:rPr>
                <w:rFonts w:hint="eastAsia" w:ascii="宋体" w:hAnsi="宋体" w:eastAsia="宋体" w:cs="宋体"/>
                <w:b/>
                <w:bCs/>
                <w:i w:val="0"/>
                <w:iCs w:val="0"/>
                <w:color w:val="auto"/>
                <w:sz w:val="21"/>
                <w:szCs w:val="21"/>
                <w:highlight w:val="none"/>
                <w:u w:val="none"/>
              </w:rPr>
            </w:pPr>
          </w:p>
        </w:tc>
        <w:tc>
          <w:tcPr>
            <w:tcW w:w="4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b/>
                <w:bCs/>
                <w:i w:val="0"/>
                <w:iCs w:val="0"/>
                <w:color w:val="auto"/>
                <w:kern w:val="0"/>
                <w:sz w:val="21"/>
                <w:szCs w:val="21"/>
                <w:highlight w:val="none"/>
                <w:u w:val="none"/>
                <w:lang w:val="en-US" w:eastAsia="zh-CN" w:bidi="ar"/>
              </w:rPr>
            </w:pPr>
            <w:r>
              <w:rPr>
                <w:rFonts w:hint="eastAsia" w:ascii="宋体" w:hAnsi="宋体" w:eastAsia="宋体" w:cs="宋体"/>
                <w:b/>
                <w:bCs/>
                <w:i w:val="0"/>
                <w:iCs w:val="0"/>
                <w:color w:val="auto"/>
                <w:kern w:val="0"/>
                <w:sz w:val="21"/>
                <w:szCs w:val="21"/>
                <w:highlight w:val="none"/>
                <w:u w:val="none"/>
                <w:lang w:val="en-US" w:eastAsia="zh-CN" w:bidi="ar"/>
              </w:rPr>
              <w:t>其中：财政</w:t>
            </w:r>
          </w:p>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资金</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jc w:val="center"/>
              <w:outlineLvl w:val="9"/>
              <w:rPr>
                <w:rFonts w:hint="eastAsia" w:ascii="宋体" w:hAnsi="宋体" w:eastAsia="宋体" w:cs="宋体"/>
                <w:i w:val="0"/>
                <w:iCs w:val="0"/>
                <w:color w:val="auto"/>
                <w:sz w:val="21"/>
                <w:szCs w:val="21"/>
                <w:highlight w:val="none"/>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400.00</w:t>
            </w:r>
          </w:p>
        </w:tc>
        <w:tc>
          <w:tcPr>
            <w:tcW w:w="73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305.16</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76.29%</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jc w:val="center"/>
              <w:outlineLvl w:val="9"/>
              <w:rPr>
                <w:rFonts w:hint="eastAsia" w:ascii="宋体" w:hAnsi="宋体" w:eastAsia="宋体" w:cs="宋体"/>
                <w:i w:val="0"/>
                <w:iCs w:val="0"/>
                <w:color w:val="auto"/>
                <w:sz w:val="21"/>
                <w:szCs w:val="21"/>
                <w:highlight w:val="none"/>
                <w:u w:val="none"/>
              </w:rPr>
            </w:pP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jc w:val="center"/>
              <w:outlineLvl w:val="9"/>
              <w:rPr>
                <w:rFonts w:hint="eastAsia" w:ascii="宋体" w:hAnsi="宋体" w:eastAsia="宋体" w:cs="宋体"/>
                <w:i w:val="0"/>
                <w:iCs w:val="0"/>
                <w:color w:val="auto"/>
                <w:sz w:val="21"/>
                <w:szCs w:val="21"/>
                <w:highlight w:val="none"/>
                <w:u w:val="none"/>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jc w:val="center"/>
              <w:outlineLvl w:val="9"/>
              <w:rPr>
                <w:rFonts w:hint="eastAsia" w:ascii="宋体" w:hAnsi="宋体" w:eastAsia="宋体" w:cs="宋体"/>
                <w:i w:val="0"/>
                <w:iCs w:val="0"/>
                <w:color w:val="auto"/>
                <w:sz w:val="21"/>
                <w:szCs w:val="21"/>
                <w:highlight w:val="none"/>
                <w:u w:val="none"/>
              </w:rPr>
            </w:pPr>
          </w:p>
        </w:tc>
        <w:tc>
          <w:tcPr>
            <w:tcW w:w="1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outlineLvl w:val="9"/>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jc w:val="center"/>
              <w:outlineLvl w:val="9"/>
              <w:rPr>
                <w:rFonts w:hint="eastAsia" w:ascii="宋体" w:hAnsi="宋体" w:eastAsia="宋体" w:cs="宋体"/>
                <w:b/>
                <w:bCs/>
                <w:i w:val="0"/>
                <w:iCs w:val="0"/>
                <w:color w:val="auto"/>
                <w:sz w:val="21"/>
                <w:szCs w:val="21"/>
                <w:highlight w:val="none"/>
                <w:u w:val="none"/>
              </w:rPr>
            </w:pPr>
          </w:p>
        </w:tc>
        <w:tc>
          <w:tcPr>
            <w:tcW w:w="4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财政专户管理资金</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jc w:val="center"/>
              <w:outlineLvl w:val="9"/>
              <w:rPr>
                <w:rFonts w:hint="eastAsia" w:ascii="宋体" w:hAnsi="宋体" w:eastAsia="宋体" w:cs="宋体"/>
                <w:i w:val="0"/>
                <w:iCs w:val="0"/>
                <w:color w:val="auto"/>
                <w:sz w:val="21"/>
                <w:szCs w:val="21"/>
                <w:highlight w:val="none"/>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jc w:val="center"/>
              <w:outlineLvl w:val="9"/>
              <w:rPr>
                <w:rFonts w:hint="eastAsia" w:ascii="宋体" w:hAnsi="宋体" w:eastAsia="宋体" w:cs="宋体"/>
                <w:i w:val="0"/>
                <w:iCs w:val="0"/>
                <w:color w:val="auto"/>
                <w:sz w:val="21"/>
                <w:szCs w:val="21"/>
                <w:highlight w:val="none"/>
                <w:u w:val="none"/>
              </w:rPr>
            </w:pPr>
          </w:p>
        </w:tc>
        <w:tc>
          <w:tcPr>
            <w:tcW w:w="73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jc w:val="center"/>
              <w:outlineLvl w:val="9"/>
              <w:rPr>
                <w:rFonts w:hint="eastAsia" w:ascii="宋体" w:hAnsi="宋体" w:eastAsia="宋体" w:cs="宋体"/>
                <w:i w:val="0"/>
                <w:iCs w:val="0"/>
                <w:color w:val="auto"/>
                <w:sz w:val="21"/>
                <w:szCs w:val="21"/>
                <w:highlight w:val="none"/>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jc w:val="center"/>
              <w:outlineLvl w:val="9"/>
              <w:rPr>
                <w:rFonts w:hint="eastAsia" w:ascii="宋体" w:hAnsi="宋体" w:eastAsia="宋体" w:cs="宋体"/>
                <w:i w:val="0"/>
                <w:iCs w:val="0"/>
                <w:color w:val="auto"/>
                <w:sz w:val="21"/>
                <w:szCs w:val="21"/>
                <w:highlight w:val="none"/>
                <w:u w:val="none"/>
              </w:rPr>
            </w:pP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jc w:val="center"/>
              <w:outlineLvl w:val="9"/>
              <w:rPr>
                <w:rFonts w:hint="eastAsia" w:ascii="宋体" w:hAnsi="宋体" w:eastAsia="宋体" w:cs="宋体"/>
                <w:i w:val="0"/>
                <w:iCs w:val="0"/>
                <w:color w:val="auto"/>
                <w:sz w:val="21"/>
                <w:szCs w:val="21"/>
                <w:highlight w:val="none"/>
                <w:u w:val="none"/>
              </w:rPr>
            </w:pP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jc w:val="center"/>
              <w:outlineLvl w:val="9"/>
              <w:rPr>
                <w:rFonts w:hint="eastAsia" w:ascii="宋体" w:hAnsi="宋体" w:eastAsia="宋体" w:cs="宋体"/>
                <w:i w:val="0"/>
                <w:iCs w:val="0"/>
                <w:color w:val="auto"/>
                <w:sz w:val="21"/>
                <w:szCs w:val="21"/>
                <w:highlight w:val="none"/>
                <w:u w:val="none"/>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jc w:val="center"/>
              <w:outlineLvl w:val="9"/>
              <w:rPr>
                <w:rFonts w:hint="eastAsia" w:ascii="宋体" w:hAnsi="宋体" w:eastAsia="宋体" w:cs="宋体"/>
                <w:i w:val="0"/>
                <w:iCs w:val="0"/>
                <w:color w:val="auto"/>
                <w:sz w:val="21"/>
                <w:szCs w:val="21"/>
                <w:highlight w:val="none"/>
                <w:u w:val="none"/>
              </w:rPr>
            </w:pPr>
          </w:p>
        </w:tc>
        <w:tc>
          <w:tcPr>
            <w:tcW w:w="1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outlineLvl w:val="9"/>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jc w:val="center"/>
              <w:outlineLvl w:val="9"/>
              <w:rPr>
                <w:rFonts w:hint="eastAsia" w:ascii="宋体" w:hAnsi="宋体" w:eastAsia="宋体" w:cs="宋体"/>
                <w:b/>
                <w:bCs/>
                <w:i w:val="0"/>
                <w:iCs w:val="0"/>
                <w:color w:val="auto"/>
                <w:sz w:val="21"/>
                <w:szCs w:val="21"/>
                <w:highlight w:val="none"/>
                <w:u w:val="none"/>
              </w:rPr>
            </w:pPr>
          </w:p>
        </w:tc>
        <w:tc>
          <w:tcPr>
            <w:tcW w:w="4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单位资金</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jc w:val="center"/>
              <w:outlineLvl w:val="9"/>
              <w:rPr>
                <w:rFonts w:hint="eastAsia" w:ascii="宋体" w:hAnsi="宋体" w:eastAsia="宋体" w:cs="宋体"/>
                <w:i w:val="0"/>
                <w:iCs w:val="0"/>
                <w:color w:val="auto"/>
                <w:sz w:val="21"/>
                <w:szCs w:val="21"/>
                <w:highlight w:val="none"/>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jc w:val="center"/>
              <w:outlineLvl w:val="9"/>
              <w:rPr>
                <w:rFonts w:hint="eastAsia" w:ascii="宋体" w:hAnsi="宋体" w:eastAsia="宋体" w:cs="宋体"/>
                <w:i w:val="0"/>
                <w:iCs w:val="0"/>
                <w:color w:val="auto"/>
                <w:sz w:val="21"/>
                <w:szCs w:val="21"/>
                <w:highlight w:val="none"/>
                <w:u w:val="none"/>
              </w:rPr>
            </w:pPr>
          </w:p>
        </w:tc>
        <w:tc>
          <w:tcPr>
            <w:tcW w:w="73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jc w:val="center"/>
              <w:outlineLvl w:val="9"/>
              <w:rPr>
                <w:rFonts w:hint="eastAsia" w:ascii="宋体" w:hAnsi="宋体" w:eastAsia="宋体" w:cs="宋体"/>
                <w:i w:val="0"/>
                <w:iCs w:val="0"/>
                <w:color w:val="auto"/>
                <w:sz w:val="21"/>
                <w:szCs w:val="21"/>
                <w:highlight w:val="none"/>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jc w:val="center"/>
              <w:outlineLvl w:val="9"/>
              <w:rPr>
                <w:rFonts w:hint="eastAsia" w:ascii="宋体" w:hAnsi="宋体" w:eastAsia="宋体" w:cs="宋体"/>
                <w:i w:val="0"/>
                <w:iCs w:val="0"/>
                <w:color w:val="auto"/>
                <w:sz w:val="21"/>
                <w:szCs w:val="21"/>
                <w:highlight w:val="none"/>
                <w:u w:val="none"/>
              </w:rPr>
            </w:pP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jc w:val="center"/>
              <w:outlineLvl w:val="9"/>
              <w:rPr>
                <w:rFonts w:hint="eastAsia" w:ascii="宋体" w:hAnsi="宋体" w:eastAsia="宋体" w:cs="宋体"/>
                <w:i w:val="0"/>
                <w:iCs w:val="0"/>
                <w:color w:val="auto"/>
                <w:sz w:val="21"/>
                <w:szCs w:val="21"/>
                <w:highlight w:val="none"/>
                <w:u w:val="none"/>
              </w:rPr>
            </w:pP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jc w:val="center"/>
              <w:outlineLvl w:val="9"/>
              <w:rPr>
                <w:rFonts w:hint="eastAsia" w:ascii="宋体" w:hAnsi="宋体" w:eastAsia="宋体" w:cs="宋体"/>
                <w:i w:val="0"/>
                <w:iCs w:val="0"/>
                <w:color w:val="auto"/>
                <w:sz w:val="21"/>
                <w:szCs w:val="21"/>
                <w:highlight w:val="none"/>
                <w:u w:val="none"/>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jc w:val="center"/>
              <w:outlineLvl w:val="9"/>
              <w:rPr>
                <w:rFonts w:hint="eastAsia" w:ascii="宋体" w:hAnsi="宋体" w:eastAsia="宋体" w:cs="宋体"/>
                <w:i w:val="0"/>
                <w:iCs w:val="0"/>
                <w:color w:val="auto"/>
                <w:sz w:val="21"/>
                <w:szCs w:val="21"/>
                <w:highlight w:val="none"/>
                <w:u w:val="none"/>
              </w:rPr>
            </w:pPr>
          </w:p>
        </w:tc>
        <w:tc>
          <w:tcPr>
            <w:tcW w:w="1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outlineLvl w:val="9"/>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jc w:val="center"/>
              <w:outlineLvl w:val="9"/>
              <w:rPr>
                <w:rFonts w:hint="eastAsia" w:ascii="宋体" w:hAnsi="宋体" w:eastAsia="宋体" w:cs="宋体"/>
                <w:b/>
                <w:bCs/>
                <w:i w:val="0"/>
                <w:iCs w:val="0"/>
                <w:color w:val="auto"/>
                <w:sz w:val="21"/>
                <w:szCs w:val="21"/>
                <w:highlight w:val="none"/>
                <w:u w:val="none"/>
              </w:rPr>
            </w:pPr>
          </w:p>
        </w:tc>
        <w:tc>
          <w:tcPr>
            <w:tcW w:w="4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其他资金</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jc w:val="center"/>
              <w:outlineLvl w:val="9"/>
              <w:rPr>
                <w:rFonts w:hint="eastAsia" w:ascii="宋体" w:hAnsi="宋体" w:eastAsia="宋体" w:cs="宋体"/>
                <w:i w:val="0"/>
                <w:iCs w:val="0"/>
                <w:color w:val="auto"/>
                <w:sz w:val="21"/>
                <w:szCs w:val="21"/>
                <w:highlight w:val="none"/>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jc w:val="center"/>
              <w:outlineLvl w:val="9"/>
              <w:rPr>
                <w:rFonts w:hint="eastAsia" w:ascii="宋体" w:hAnsi="宋体" w:eastAsia="宋体" w:cs="宋体"/>
                <w:i w:val="0"/>
                <w:iCs w:val="0"/>
                <w:color w:val="auto"/>
                <w:sz w:val="21"/>
                <w:szCs w:val="21"/>
                <w:highlight w:val="none"/>
                <w:u w:val="none"/>
              </w:rPr>
            </w:pPr>
          </w:p>
        </w:tc>
        <w:tc>
          <w:tcPr>
            <w:tcW w:w="73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jc w:val="center"/>
              <w:outlineLvl w:val="9"/>
              <w:rPr>
                <w:rFonts w:hint="eastAsia" w:ascii="宋体" w:hAnsi="宋体" w:eastAsia="宋体" w:cs="宋体"/>
                <w:i w:val="0"/>
                <w:iCs w:val="0"/>
                <w:color w:val="auto"/>
                <w:sz w:val="21"/>
                <w:szCs w:val="21"/>
                <w:highlight w:val="none"/>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jc w:val="center"/>
              <w:outlineLvl w:val="9"/>
              <w:rPr>
                <w:rFonts w:hint="eastAsia" w:ascii="宋体" w:hAnsi="宋体" w:eastAsia="宋体" w:cs="宋体"/>
                <w:i w:val="0"/>
                <w:iCs w:val="0"/>
                <w:color w:val="auto"/>
                <w:sz w:val="21"/>
                <w:szCs w:val="21"/>
                <w:highlight w:val="none"/>
                <w:u w:val="none"/>
              </w:rPr>
            </w:pP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jc w:val="center"/>
              <w:outlineLvl w:val="9"/>
              <w:rPr>
                <w:rFonts w:hint="eastAsia" w:ascii="宋体" w:hAnsi="宋体" w:eastAsia="宋体" w:cs="宋体"/>
                <w:i w:val="0"/>
                <w:iCs w:val="0"/>
                <w:color w:val="auto"/>
                <w:sz w:val="21"/>
                <w:szCs w:val="21"/>
                <w:highlight w:val="none"/>
                <w:u w:val="none"/>
              </w:rPr>
            </w:pP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jc w:val="center"/>
              <w:outlineLvl w:val="9"/>
              <w:rPr>
                <w:rFonts w:hint="eastAsia" w:ascii="宋体" w:hAnsi="宋体" w:eastAsia="宋体" w:cs="宋体"/>
                <w:i w:val="0"/>
                <w:iCs w:val="0"/>
                <w:color w:val="auto"/>
                <w:sz w:val="21"/>
                <w:szCs w:val="21"/>
                <w:highlight w:val="none"/>
                <w:u w:val="none"/>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jc w:val="center"/>
              <w:outlineLvl w:val="9"/>
              <w:rPr>
                <w:rFonts w:hint="eastAsia" w:ascii="宋体" w:hAnsi="宋体" w:eastAsia="宋体" w:cs="宋体"/>
                <w:i w:val="0"/>
                <w:iCs w:val="0"/>
                <w:color w:val="auto"/>
                <w:sz w:val="21"/>
                <w:szCs w:val="21"/>
                <w:highlight w:val="none"/>
                <w:u w:val="none"/>
              </w:rPr>
            </w:pPr>
          </w:p>
        </w:tc>
        <w:tc>
          <w:tcPr>
            <w:tcW w:w="1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outlineLvl w:val="9"/>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20" w:hRule="atLeast"/>
        </w:trPr>
        <w:tc>
          <w:tcPr>
            <w:tcW w:w="5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b/>
                <w:bCs/>
                <w:i w:val="0"/>
                <w:iCs w:val="0"/>
                <w:color w:val="auto"/>
                <w:kern w:val="0"/>
                <w:sz w:val="21"/>
                <w:szCs w:val="21"/>
                <w:highlight w:val="none"/>
                <w:u w:val="none"/>
                <w:lang w:val="en-US" w:eastAsia="zh-CN" w:bidi="ar"/>
              </w:rPr>
            </w:pPr>
            <w:r>
              <w:rPr>
                <w:rFonts w:hint="eastAsia" w:ascii="宋体" w:hAnsi="宋体" w:eastAsia="宋体" w:cs="宋体"/>
                <w:b/>
                <w:bCs/>
                <w:i w:val="0"/>
                <w:iCs w:val="0"/>
                <w:color w:val="auto"/>
                <w:kern w:val="0"/>
                <w:sz w:val="21"/>
                <w:szCs w:val="21"/>
                <w:highlight w:val="none"/>
                <w:u w:val="none"/>
                <w:lang w:val="en-US" w:eastAsia="zh-CN" w:bidi="ar"/>
              </w:rPr>
              <w:t>绩效指标</w:t>
            </w:r>
          </w:p>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（90分）</w:t>
            </w:r>
          </w:p>
        </w:tc>
        <w:tc>
          <w:tcPr>
            <w:tcW w:w="4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一级指标</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二级指标</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三级指标</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指标性质</w:t>
            </w: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指标值</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度量单位</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完成值</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权重</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部门自评得分</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财政部门科室复评得分</w:t>
            </w:r>
          </w:p>
        </w:tc>
        <w:tc>
          <w:tcPr>
            <w:tcW w:w="11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52" w:hRule="atLeast"/>
        </w:trPr>
        <w:tc>
          <w:tcPr>
            <w:tcW w:w="5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jc w:val="center"/>
              <w:outlineLvl w:val="9"/>
              <w:rPr>
                <w:rFonts w:hint="eastAsia" w:ascii="宋体" w:hAnsi="宋体" w:eastAsia="宋体" w:cs="宋体"/>
                <w:b/>
                <w:bCs/>
                <w:i w:val="0"/>
                <w:iCs w:val="0"/>
                <w:color w:val="auto"/>
                <w:sz w:val="21"/>
                <w:szCs w:val="21"/>
                <w:highlight w:val="none"/>
                <w:u w:val="none"/>
              </w:rPr>
            </w:pPr>
          </w:p>
        </w:tc>
        <w:tc>
          <w:tcPr>
            <w:tcW w:w="4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产出指标</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质量指标</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推动项目落户广元、促进当地经济发展</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定性</w:t>
            </w: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优良中低差</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优良</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jc w:val="center"/>
              <w:outlineLvl w:val="9"/>
              <w:rPr>
                <w:rFonts w:hint="eastAsia" w:ascii="宋体" w:hAnsi="宋体" w:eastAsia="宋体" w:cs="宋体"/>
                <w:i w:val="0"/>
                <w:iCs w:val="0"/>
                <w:color w:val="auto"/>
                <w:sz w:val="21"/>
                <w:szCs w:val="21"/>
                <w:highlight w:val="none"/>
                <w:u w:val="none"/>
              </w:rPr>
            </w:pPr>
          </w:p>
        </w:tc>
        <w:tc>
          <w:tcPr>
            <w:tcW w:w="11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jc w:val="center"/>
              <w:outlineLvl w:val="9"/>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8" w:hRule="atLeast"/>
        </w:trPr>
        <w:tc>
          <w:tcPr>
            <w:tcW w:w="5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jc w:val="center"/>
              <w:outlineLvl w:val="9"/>
              <w:rPr>
                <w:rFonts w:hint="eastAsia" w:ascii="宋体" w:hAnsi="宋体" w:eastAsia="宋体" w:cs="宋体"/>
                <w:b/>
                <w:bCs/>
                <w:i w:val="0"/>
                <w:iCs w:val="0"/>
                <w:color w:val="auto"/>
                <w:sz w:val="21"/>
                <w:szCs w:val="21"/>
                <w:highlight w:val="none"/>
                <w:u w:val="none"/>
              </w:rPr>
            </w:pPr>
          </w:p>
        </w:tc>
        <w:tc>
          <w:tcPr>
            <w:tcW w:w="4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产出指标</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时效指标</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2022年</w:t>
            </w:r>
          </w:p>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全年</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年</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已完成</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jc w:val="center"/>
              <w:outlineLvl w:val="9"/>
              <w:rPr>
                <w:rFonts w:hint="eastAsia" w:ascii="宋体" w:hAnsi="宋体" w:eastAsia="宋体" w:cs="宋体"/>
                <w:i w:val="0"/>
                <w:iCs w:val="0"/>
                <w:color w:val="auto"/>
                <w:sz w:val="21"/>
                <w:szCs w:val="21"/>
                <w:highlight w:val="none"/>
                <w:u w:val="none"/>
              </w:rPr>
            </w:pPr>
          </w:p>
        </w:tc>
        <w:tc>
          <w:tcPr>
            <w:tcW w:w="11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jc w:val="center"/>
              <w:outlineLvl w:val="9"/>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5" w:hRule="atLeast"/>
        </w:trPr>
        <w:tc>
          <w:tcPr>
            <w:tcW w:w="5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jc w:val="center"/>
              <w:outlineLvl w:val="9"/>
              <w:rPr>
                <w:rFonts w:hint="eastAsia" w:ascii="宋体" w:hAnsi="宋体" w:eastAsia="宋体" w:cs="宋体"/>
                <w:b/>
                <w:bCs/>
                <w:i w:val="0"/>
                <w:iCs w:val="0"/>
                <w:color w:val="auto"/>
                <w:sz w:val="21"/>
                <w:szCs w:val="21"/>
                <w:highlight w:val="none"/>
                <w:u w:val="none"/>
              </w:rPr>
            </w:pPr>
          </w:p>
        </w:tc>
        <w:tc>
          <w:tcPr>
            <w:tcW w:w="4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产出指标</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数量指标</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新开工亿元项目数</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164</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jc w:val="center"/>
              <w:outlineLvl w:val="9"/>
              <w:rPr>
                <w:rFonts w:hint="eastAsia" w:ascii="宋体" w:hAnsi="宋体" w:eastAsia="宋体" w:cs="宋体"/>
                <w:i w:val="0"/>
                <w:iCs w:val="0"/>
                <w:color w:val="auto"/>
                <w:sz w:val="21"/>
                <w:szCs w:val="21"/>
                <w:highlight w:val="none"/>
                <w:u w:val="none"/>
              </w:rPr>
            </w:pPr>
          </w:p>
        </w:tc>
        <w:tc>
          <w:tcPr>
            <w:tcW w:w="11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jc w:val="center"/>
              <w:outlineLvl w:val="9"/>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8" w:hRule="atLeast"/>
        </w:trPr>
        <w:tc>
          <w:tcPr>
            <w:tcW w:w="5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jc w:val="center"/>
              <w:outlineLvl w:val="9"/>
              <w:rPr>
                <w:rFonts w:hint="eastAsia" w:ascii="宋体" w:hAnsi="宋体" w:eastAsia="宋体" w:cs="宋体"/>
                <w:b/>
                <w:bCs/>
                <w:i w:val="0"/>
                <w:iCs w:val="0"/>
                <w:color w:val="auto"/>
                <w:sz w:val="21"/>
                <w:szCs w:val="21"/>
                <w:highlight w:val="none"/>
                <w:u w:val="none"/>
              </w:rPr>
            </w:pPr>
          </w:p>
        </w:tc>
        <w:tc>
          <w:tcPr>
            <w:tcW w:w="4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效益指标</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社会效益指标</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就业率提升</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jc w:val="center"/>
              <w:outlineLvl w:val="9"/>
              <w:rPr>
                <w:rFonts w:hint="eastAsia" w:ascii="宋体" w:hAnsi="宋体" w:eastAsia="宋体" w:cs="宋体"/>
                <w:i w:val="0"/>
                <w:iCs w:val="0"/>
                <w:color w:val="auto"/>
                <w:sz w:val="21"/>
                <w:szCs w:val="21"/>
                <w:highlight w:val="none"/>
                <w:u w:val="none"/>
              </w:rPr>
            </w:pPr>
          </w:p>
        </w:tc>
        <w:tc>
          <w:tcPr>
            <w:tcW w:w="11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jc w:val="center"/>
              <w:outlineLvl w:val="9"/>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8" w:hRule="atLeast"/>
        </w:trPr>
        <w:tc>
          <w:tcPr>
            <w:tcW w:w="5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jc w:val="center"/>
              <w:outlineLvl w:val="9"/>
              <w:rPr>
                <w:rFonts w:hint="eastAsia" w:ascii="宋体" w:hAnsi="宋体" w:eastAsia="宋体" w:cs="宋体"/>
                <w:b/>
                <w:bCs/>
                <w:i w:val="0"/>
                <w:iCs w:val="0"/>
                <w:color w:val="auto"/>
                <w:sz w:val="21"/>
                <w:szCs w:val="21"/>
                <w:highlight w:val="none"/>
                <w:u w:val="none"/>
              </w:rPr>
            </w:pPr>
          </w:p>
        </w:tc>
        <w:tc>
          <w:tcPr>
            <w:tcW w:w="4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效益指标</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经济效益指标</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引进资金</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700</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亿元</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751.95</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jc w:val="center"/>
              <w:outlineLvl w:val="9"/>
              <w:rPr>
                <w:rFonts w:hint="eastAsia" w:ascii="宋体" w:hAnsi="宋体" w:eastAsia="宋体" w:cs="宋体"/>
                <w:i w:val="0"/>
                <w:iCs w:val="0"/>
                <w:color w:val="auto"/>
                <w:sz w:val="21"/>
                <w:szCs w:val="21"/>
                <w:highlight w:val="none"/>
                <w:u w:val="none"/>
              </w:rPr>
            </w:pPr>
          </w:p>
        </w:tc>
        <w:tc>
          <w:tcPr>
            <w:tcW w:w="11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jc w:val="center"/>
              <w:outlineLvl w:val="9"/>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5" w:hRule="atLeast"/>
        </w:trPr>
        <w:tc>
          <w:tcPr>
            <w:tcW w:w="5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jc w:val="center"/>
              <w:outlineLvl w:val="9"/>
              <w:rPr>
                <w:rFonts w:hint="eastAsia" w:ascii="宋体" w:hAnsi="宋体" w:eastAsia="宋体" w:cs="宋体"/>
                <w:b/>
                <w:bCs/>
                <w:i w:val="0"/>
                <w:iCs w:val="0"/>
                <w:color w:val="auto"/>
                <w:sz w:val="21"/>
                <w:szCs w:val="21"/>
                <w:highlight w:val="none"/>
                <w:u w:val="none"/>
              </w:rPr>
            </w:pPr>
          </w:p>
        </w:tc>
        <w:tc>
          <w:tcPr>
            <w:tcW w:w="4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满意度指标</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服务对象满意度指标</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群众满意度</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95</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95</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jc w:val="center"/>
              <w:outlineLvl w:val="9"/>
              <w:rPr>
                <w:rFonts w:hint="eastAsia" w:ascii="宋体" w:hAnsi="宋体" w:eastAsia="宋体" w:cs="宋体"/>
                <w:i w:val="0"/>
                <w:iCs w:val="0"/>
                <w:color w:val="auto"/>
                <w:sz w:val="21"/>
                <w:szCs w:val="21"/>
                <w:highlight w:val="none"/>
                <w:u w:val="none"/>
              </w:rPr>
            </w:pPr>
          </w:p>
        </w:tc>
        <w:tc>
          <w:tcPr>
            <w:tcW w:w="11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jc w:val="center"/>
              <w:outlineLvl w:val="9"/>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8" w:hRule="atLeast"/>
        </w:trPr>
        <w:tc>
          <w:tcPr>
            <w:tcW w:w="3017"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合计</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outlineLvl w:val="9"/>
              <w:rPr>
                <w:rFonts w:hint="eastAsia" w:ascii="宋体" w:hAnsi="宋体" w:eastAsia="宋体" w:cs="宋体"/>
                <w:i w:val="0"/>
                <w:iCs w:val="0"/>
                <w:color w:val="auto"/>
                <w:sz w:val="21"/>
                <w:szCs w:val="21"/>
                <w:highlight w:val="none"/>
                <w:u w:val="none"/>
              </w:rPr>
            </w:pP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98</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outlineLvl w:val="9"/>
              <w:rPr>
                <w:rFonts w:hint="eastAsia" w:ascii="宋体" w:hAnsi="宋体" w:eastAsia="宋体" w:cs="宋体"/>
                <w:i w:val="0"/>
                <w:iCs w:val="0"/>
                <w:color w:val="auto"/>
                <w:sz w:val="21"/>
                <w:szCs w:val="21"/>
                <w:highlight w:val="none"/>
                <w:u w:val="none"/>
              </w:rPr>
            </w:pPr>
          </w:p>
        </w:tc>
        <w:tc>
          <w:tcPr>
            <w:tcW w:w="11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outlineLvl w:val="9"/>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23" w:hRule="atLeast"/>
        </w:trPr>
        <w:tc>
          <w:tcPr>
            <w:tcW w:w="5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部门（单位）自评结论</w:t>
            </w:r>
          </w:p>
        </w:tc>
        <w:tc>
          <w:tcPr>
            <w:tcW w:w="4467"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left"/>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2022年我单招商引资专项资金支出绩效自查自评结果良好，全年基本支出保证了单位招商引资工作的正常运转，保障了重点专项工作的开展，按照 2022年度部门招商引资专项资金支出绩效评价指标体系对我单位预算编制、预算执行、完成结果、信息公开、整改反馈等方面进行了自评，最终得分98分。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82" w:hRule="atLeast"/>
        </w:trPr>
        <w:tc>
          <w:tcPr>
            <w:tcW w:w="5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部门（单位）自评存在问题</w:t>
            </w:r>
          </w:p>
        </w:tc>
        <w:tc>
          <w:tcPr>
            <w:tcW w:w="4467"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left"/>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预算绩效管理需进一步加强，设定的绩效目标还不够科学精准。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28" w:hRule="atLeast"/>
        </w:trPr>
        <w:tc>
          <w:tcPr>
            <w:tcW w:w="5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center"/>
              <w:textAlignment w:val="center"/>
              <w:outlineLvl w:val="9"/>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部门（单位）自评改进措施</w:t>
            </w:r>
          </w:p>
        </w:tc>
        <w:tc>
          <w:tcPr>
            <w:tcW w:w="4467"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jc w:val="left"/>
              <w:textAlignment w:val="center"/>
              <w:outlineLvl w:val="9"/>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进一步健全和完善财务管理制度及内部控制制度，创新管理手段，用新思路、新方法，改进完善财务管理方法。</w:t>
            </w:r>
          </w:p>
        </w:tc>
      </w:tr>
    </w:tbl>
    <w:p>
      <w:pPr>
        <w:pStyle w:val="2"/>
        <w:keepNext w:val="0"/>
        <w:keepLines w:val="0"/>
        <w:pageBreakBefore w:val="0"/>
        <w:widowControl w:val="0"/>
        <w:shd w:val="clear"/>
        <w:kinsoku/>
        <w:wordWrap/>
        <w:overflowPunct/>
        <w:topLinePunct w:val="0"/>
        <w:autoSpaceDE/>
        <w:autoSpaceDN/>
        <w:bidi w:val="0"/>
        <w:adjustRightInd/>
        <w:snapToGrid/>
        <w:spacing w:line="100" w:lineRule="exact"/>
        <w:textAlignment w:val="auto"/>
        <w:outlineLvl w:val="9"/>
        <w:rPr>
          <w:color w:val="auto"/>
          <w:highlight w:val="none"/>
        </w:rPr>
      </w:pPr>
    </w:p>
    <w:p>
      <w:pPr>
        <w:pStyle w:val="2"/>
        <w:keepNext w:val="0"/>
        <w:keepLines w:val="0"/>
        <w:pageBreakBefore w:val="0"/>
        <w:shd w:val="clear"/>
        <w:kinsoku/>
        <w:wordWrap/>
        <w:overflowPunct/>
        <w:topLinePunct w:val="0"/>
        <w:autoSpaceDE/>
        <w:autoSpaceDN/>
        <w:bidi w:val="0"/>
        <w:outlineLvl w:val="9"/>
        <w:rPr>
          <w:color w:val="auto"/>
          <w:highlight w:val="none"/>
        </w:rPr>
        <w:sectPr>
          <w:pgSz w:w="16838" w:h="11906" w:orient="landscape"/>
          <w:pgMar w:top="1134" w:right="1134" w:bottom="1134" w:left="1134" w:header="851" w:footer="992" w:gutter="0"/>
          <w:pgNumType w:fmt="decimal"/>
          <w:cols w:space="0" w:num="1"/>
          <w:titlePg/>
          <w:rtlGutter w:val="0"/>
          <w:docGrid w:type="lines" w:linePitch="321" w:charSpace="0"/>
        </w:sectPr>
      </w:pPr>
    </w:p>
    <w:p>
      <w:pPr>
        <w:pStyle w:val="2"/>
        <w:keepNext w:val="0"/>
        <w:keepLines w:val="0"/>
        <w:pageBreakBefore w:val="0"/>
        <w:widowControl w:val="0"/>
        <w:shd w:val="clear"/>
        <w:kinsoku/>
        <w:wordWrap/>
        <w:overflowPunct/>
        <w:topLinePunct w:val="0"/>
        <w:autoSpaceDE/>
        <w:autoSpaceDN/>
        <w:bidi w:val="0"/>
        <w:adjustRightInd/>
        <w:snapToGrid/>
        <w:spacing w:line="576" w:lineRule="exact"/>
        <w:textAlignment w:val="auto"/>
        <w:outlineLvl w:val="9"/>
        <w:rPr>
          <w:color w:val="auto"/>
          <w:highlight w:val="none"/>
        </w:rPr>
      </w:pPr>
    </w:p>
    <w:p>
      <w:pPr>
        <w:keepNext w:val="0"/>
        <w:keepLines w:val="0"/>
        <w:pageBreakBefore w:val="0"/>
        <w:widowControl w:val="0"/>
        <w:shd w:val="clear"/>
        <w:kinsoku/>
        <w:wordWrap/>
        <w:overflowPunct/>
        <w:topLinePunct w:val="0"/>
        <w:autoSpaceDE/>
        <w:autoSpaceDN/>
        <w:bidi w:val="0"/>
        <w:adjustRightInd/>
        <w:snapToGrid/>
        <w:spacing w:before="0" w:after="0" w:line="576" w:lineRule="exact"/>
        <w:ind w:firstLine="0" w:firstLineChars="0"/>
        <w:jc w:val="center"/>
        <w:textAlignment w:val="auto"/>
        <w:outlineLvl w:val="0"/>
        <w:rPr>
          <w:rFonts w:hint="eastAsia" w:ascii="方正小标宋简体" w:hAnsi="方正小标宋简体" w:eastAsia="方正小标宋简体" w:cs="方正小标宋简体"/>
          <w:b w:val="0"/>
          <w:color w:val="auto"/>
          <w:sz w:val="44"/>
          <w:szCs w:val="44"/>
          <w:highlight w:val="none"/>
        </w:rPr>
      </w:pPr>
      <w:bookmarkStart w:id="90" w:name="_Toc15396618"/>
      <w:bookmarkStart w:id="91" w:name="_Toc27720"/>
      <w:bookmarkStart w:id="92" w:name="_Toc12274"/>
      <w:bookmarkStart w:id="93" w:name="_Toc9752"/>
      <w:r>
        <w:rPr>
          <w:rFonts w:hint="eastAsia" w:ascii="方正小标宋简体" w:hAnsi="方正小标宋简体" w:eastAsia="方正小标宋简体" w:cs="方正小标宋简体"/>
          <w:b w:val="0"/>
          <w:color w:val="auto"/>
          <w:sz w:val="44"/>
          <w:szCs w:val="44"/>
          <w:highlight w:val="none"/>
        </w:rPr>
        <w:t>第五部分</w:t>
      </w:r>
      <w:r>
        <w:rPr>
          <w:rFonts w:hint="eastAsia" w:ascii="方正小标宋简体" w:hAnsi="方正小标宋简体" w:eastAsia="方正小标宋简体" w:cs="方正小标宋简体"/>
          <w:b w:val="0"/>
          <w:color w:val="auto"/>
          <w:sz w:val="44"/>
          <w:szCs w:val="44"/>
          <w:highlight w:val="none"/>
          <w:lang w:val="en-US" w:eastAsia="zh-CN"/>
        </w:rPr>
        <w:t xml:space="preserve"> </w:t>
      </w:r>
      <w:r>
        <w:rPr>
          <w:rFonts w:hint="eastAsia" w:ascii="方正小标宋简体" w:hAnsi="方正小标宋简体" w:eastAsia="方正小标宋简体" w:cs="方正小标宋简体"/>
          <w:b w:val="0"/>
          <w:color w:val="auto"/>
          <w:sz w:val="44"/>
          <w:szCs w:val="44"/>
          <w:highlight w:val="none"/>
        </w:rPr>
        <w:t xml:space="preserve"> 附表</w:t>
      </w:r>
      <w:bookmarkEnd w:id="85"/>
      <w:bookmarkEnd w:id="90"/>
      <w:bookmarkEnd w:id="91"/>
      <w:bookmarkEnd w:id="92"/>
      <w:bookmarkEnd w:id="93"/>
      <w:bookmarkStart w:id="94" w:name="_Toc15396619"/>
    </w:p>
    <w:p>
      <w:pPr>
        <w:pStyle w:val="2"/>
        <w:keepNext w:val="0"/>
        <w:keepLines w:val="0"/>
        <w:pageBreakBefore w:val="0"/>
        <w:widowControl w:val="0"/>
        <w:shd w:val="clear"/>
        <w:kinsoku/>
        <w:wordWrap/>
        <w:overflowPunct/>
        <w:topLinePunct w:val="0"/>
        <w:autoSpaceDE/>
        <w:autoSpaceDN/>
        <w:bidi w:val="0"/>
        <w:adjustRightInd/>
        <w:snapToGrid/>
        <w:spacing w:line="576" w:lineRule="exact"/>
        <w:textAlignment w:val="auto"/>
        <w:outlineLvl w:val="9"/>
        <w:rPr>
          <w:rFonts w:hint="eastAsia"/>
          <w:color w:val="auto"/>
          <w:highlight w:val="none"/>
        </w:rPr>
      </w:pPr>
    </w:p>
    <w:p>
      <w:pPr>
        <w:keepNext w:val="0"/>
        <w:keepLines w:val="0"/>
        <w:pageBreakBefore w:val="0"/>
        <w:widowControl w:val="0"/>
        <w:shd w:val="clear"/>
        <w:kinsoku/>
        <w:wordWrap/>
        <w:overflowPunct/>
        <w:topLinePunct w:val="0"/>
        <w:autoSpaceDE/>
        <w:autoSpaceDN/>
        <w:bidi w:val="0"/>
        <w:adjustRightInd/>
        <w:snapToGrid/>
        <w:spacing w:before="0" w:after="0" w:line="576" w:lineRule="exact"/>
        <w:ind w:firstLine="640" w:firstLineChars="200"/>
        <w:textAlignment w:val="auto"/>
        <w:outlineLvl w:val="1"/>
        <w:rPr>
          <w:rFonts w:hint="eastAsia" w:ascii="黑体" w:hAnsi="黑体" w:eastAsia="黑体" w:cs="黑体"/>
          <w:color w:val="auto"/>
          <w:sz w:val="32"/>
          <w:szCs w:val="32"/>
          <w:highlight w:val="none"/>
        </w:rPr>
      </w:pPr>
      <w:bookmarkStart w:id="95" w:name="_Toc3483"/>
      <w:bookmarkStart w:id="96" w:name="_Toc28569"/>
      <w:r>
        <w:rPr>
          <w:rFonts w:hint="eastAsia" w:ascii="黑体" w:hAnsi="黑体" w:eastAsia="黑体" w:cs="黑体"/>
          <w:b w:val="0"/>
          <w:color w:val="auto"/>
          <w:sz w:val="32"/>
          <w:szCs w:val="32"/>
          <w:highlight w:val="none"/>
        </w:rPr>
        <w:t>一、收</w:t>
      </w:r>
      <w:r>
        <w:rPr>
          <w:rStyle w:val="23"/>
          <w:rFonts w:hint="eastAsia" w:ascii="黑体" w:hAnsi="黑体" w:eastAsia="黑体" w:cs="黑体"/>
          <w:b w:val="0"/>
          <w:bCs w:val="0"/>
          <w:color w:val="auto"/>
          <w:sz w:val="32"/>
          <w:szCs w:val="32"/>
          <w:highlight w:val="none"/>
        </w:rPr>
        <w:t>入支出决算总表</w:t>
      </w:r>
      <w:bookmarkEnd w:id="94"/>
      <w:bookmarkEnd w:id="95"/>
      <w:bookmarkEnd w:id="96"/>
    </w:p>
    <w:p>
      <w:pPr>
        <w:keepNext w:val="0"/>
        <w:keepLines w:val="0"/>
        <w:pageBreakBefore w:val="0"/>
        <w:widowControl w:val="0"/>
        <w:shd w:val="clear"/>
        <w:kinsoku/>
        <w:wordWrap/>
        <w:overflowPunct/>
        <w:topLinePunct w:val="0"/>
        <w:autoSpaceDE/>
        <w:autoSpaceDN/>
        <w:bidi w:val="0"/>
        <w:adjustRightInd/>
        <w:snapToGrid/>
        <w:spacing w:before="0" w:after="0" w:line="576" w:lineRule="exact"/>
        <w:ind w:firstLine="640" w:firstLineChars="200"/>
        <w:textAlignment w:val="auto"/>
        <w:outlineLvl w:val="1"/>
        <w:rPr>
          <w:rFonts w:hint="eastAsia" w:ascii="黑体" w:hAnsi="黑体" w:eastAsia="黑体" w:cs="黑体"/>
          <w:color w:val="auto"/>
          <w:sz w:val="32"/>
          <w:szCs w:val="32"/>
          <w:highlight w:val="none"/>
        </w:rPr>
      </w:pPr>
      <w:bookmarkStart w:id="97" w:name="_Toc9238"/>
      <w:bookmarkStart w:id="98" w:name="_Toc15303"/>
      <w:bookmarkStart w:id="99" w:name="_Toc15396620"/>
      <w:r>
        <w:rPr>
          <w:rFonts w:hint="eastAsia" w:ascii="黑体" w:hAnsi="黑体" w:eastAsia="黑体" w:cs="黑体"/>
          <w:b w:val="0"/>
          <w:color w:val="auto"/>
          <w:sz w:val="32"/>
          <w:szCs w:val="32"/>
          <w:highlight w:val="none"/>
        </w:rPr>
        <w:t>二、收</w:t>
      </w:r>
      <w:r>
        <w:rPr>
          <w:rStyle w:val="23"/>
          <w:rFonts w:hint="eastAsia" w:ascii="黑体" w:hAnsi="黑体" w:eastAsia="黑体" w:cs="黑体"/>
          <w:b w:val="0"/>
          <w:bCs w:val="0"/>
          <w:color w:val="auto"/>
          <w:sz w:val="32"/>
          <w:szCs w:val="32"/>
          <w:highlight w:val="none"/>
        </w:rPr>
        <w:t>入决算表</w:t>
      </w:r>
      <w:bookmarkEnd w:id="97"/>
      <w:bookmarkEnd w:id="98"/>
      <w:bookmarkEnd w:id="99"/>
    </w:p>
    <w:p>
      <w:pPr>
        <w:keepNext w:val="0"/>
        <w:keepLines w:val="0"/>
        <w:pageBreakBefore w:val="0"/>
        <w:widowControl w:val="0"/>
        <w:shd w:val="clear"/>
        <w:kinsoku/>
        <w:wordWrap/>
        <w:overflowPunct/>
        <w:topLinePunct w:val="0"/>
        <w:autoSpaceDE/>
        <w:autoSpaceDN/>
        <w:bidi w:val="0"/>
        <w:adjustRightInd/>
        <w:snapToGrid/>
        <w:spacing w:before="0" w:after="0" w:line="576" w:lineRule="exact"/>
        <w:ind w:firstLine="640" w:firstLineChars="200"/>
        <w:textAlignment w:val="auto"/>
        <w:outlineLvl w:val="1"/>
        <w:rPr>
          <w:rFonts w:hint="eastAsia" w:ascii="黑体" w:hAnsi="黑体" w:eastAsia="黑体" w:cs="黑体"/>
          <w:color w:val="auto"/>
          <w:sz w:val="32"/>
          <w:szCs w:val="32"/>
          <w:highlight w:val="none"/>
        </w:rPr>
      </w:pPr>
      <w:bookmarkStart w:id="100" w:name="_Toc25523"/>
      <w:bookmarkStart w:id="101" w:name="_Toc7048"/>
      <w:bookmarkStart w:id="102" w:name="_Toc15396621"/>
      <w:r>
        <w:rPr>
          <w:rStyle w:val="23"/>
          <w:rFonts w:hint="eastAsia" w:ascii="黑体" w:hAnsi="黑体" w:eastAsia="黑体" w:cs="黑体"/>
          <w:b w:val="0"/>
          <w:bCs w:val="0"/>
          <w:color w:val="auto"/>
          <w:sz w:val="32"/>
          <w:szCs w:val="32"/>
          <w:highlight w:val="none"/>
        </w:rPr>
        <w:t>三、</w:t>
      </w:r>
      <w:r>
        <w:rPr>
          <w:rFonts w:hint="eastAsia" w:ascii="黑体" w:hAnsi="黑体" w:eastAsia="黑体" w:cs="黑体"/>
          <w:b w:val="0"/>
          <w:color w:val="auto"/>
          <w:sz w:val="32"/>
          <w:szCs w:val="32"/>
          <w:highlight w:val="none"/>
        </w:rPr>
        <w:t>支</w:t>
      </w:r>
      <w:r>
        <w:rPr>
          <w:rStyle w:val="23"/>
          <w:rFonts w:hint="eastAsia" w:ascii="黑体" w:hAnsi="黑体" w:eastAsia="黑体" w:cs="黑体"/>
          <w:b w:val="0"/>
          <w:bCs w:val="0"/>
          <w:color w:val="auto"/>
          <w:sz w:val="32"/>
          <w:szCs w:val="32"/>
          <w:highlight w:val="none"/>
        </w:rPr>
        <w:t>出决算表</w:t>
      </w:r>
      <w:bookmarkEnd w:id="100"/>
      <w:bookmarkEnd w:id="101"/>
      <w:bookmarkEnd w:id="102"/>
    </w:p>
    <w:p>
      <w:pPr>
        <w:keepNext w:val="0"/>
        <w:keepLines w:val="0"/>
        <w:pageBreakBefore w:val="0"/>
        <w:widowControl w:val="0"/>
        <w:shd w:val="clear"/>
        <w:kinsoku/>
        <w:wordWrap/>
        <w:overflowPunct/>
        <w:topLinePunct w:val="0"/>
        <w:autoSpaceDE/>
        <w:autoSpaceDN/>
        <w:bidi w:val="0"/>
        <w:adjustRightInd/>
        <w:snapToGrid/>
        <w:spacing w:before="0" w:after="0" w:line="576" w:lineRule="exact"/>
        <w:ind w:firstLine="640" w:firstLineChars="200"/>
        <w:textAlignment w:val="auto"/>
        <w:outlineLvl w:val="1"/>
        <w:rPr>
          <w:rFonts w:hint="eastAsia" w:ascii="黑体" w:hAnsi="黑体" w:eastAsia="黑体" w:cs="黑体"/>
          <w:b w:val="0"/>
          <w:color w:val="auto"/>
          <w:sz w:val="32"/>
          <w:szCs w:val="32"/>
          <w:highlight w:val="none"/>
        </w:rPr>
      </w:pPr>
      <w:bookmarkStart w:id="103" w:name="_Toc6998"/>
      <w:bookmarkStart w:id="104" w:name="_Toc15396622"/>
      <w:bookmarkStart w:id="105" w:name="_Toc10078"/>
      <w:r>
        <w:rPr>
          <w:rStyle w:val="23"/>
          <w:rFonts w:hint="eastAsia" w:ascii="黑体" w:hAnsi="黑体" w:eastAsia="黑体" w:cs="黑体"/>
          <w:b w:val="0"/>
          <w:bCs w:val="0"/>
          <w:color w:val="auto"/>
          <w:sz w:val="32"/>
          <w:szCs w:val="32"/>
          <w:highlight w:val="none"/>
        </w:rPr>
        <w:t>四、</w:t>
      </w:r>
      <w:r>
        <w:rPr>
          <w:rFonts w:hint="eastAsia" w:ascii="黑体" w:hAnsi="黑体" w:eastAsia="黑体" w:cs="黑体"/>
          <w:b w:val="0"/>
          <w:color w:val="auto"/>
          <w:sz w:val="32"/>
          <w:szCs w:val="32"/>
          <w:highlight w:val="none"/>
        </w:rPr>
        <w:t>财</w:t>
      </w:r>
      <w:r>
        <w:rPr>
          <w:rStyle w:val="23"/>
          <w:rFonts w:hint="eastAsia" w:ascii="黑体" w:hAnsi="黑体" w:eastAsia="黑体" w:cs="黑体"/>
          <w:b w:val="0"/>
          <w:bCs w:val="0"/>
          <w:color w:val="auto"/>
          <w:sz w:val="32"/>
          <w:szCs w:val="32"/>
          <w:highlight w:val="none"/>
        </w:rPr>
        <w:t>政拨款收入支出决算总表</w:t>
      </w:r>
      <w:bookmarkEnd w:id="103"/>
      <w:bookmarkEnd w:id="104"/>
      <w:bookmarkEnd w:id="105"/>
    </w:p>
    <w:p>
      <w:pPr>
        <w:keepNext w:val="0"/>
        <w:keepLines w:val="0"/>
        <w:pageBreakBefore w:val="0"/>
        <w:widowControl w:val="0"/>
        <w:shd w:val="clear"/>
        <w:kinsoku/>
        <w:wordWrap/>
        <w:overflowPunct/>
        <w:topLinePunct w:val="0"/>
        <w:autoSpaceDE/>
        <w:autoSpaceDN/>
        <w:bidi w:val="0"/>
        <w:adjustRightInd/>
        <w:snapToGrid/>
        <w:spacing w:before="0" w:after="0" w:line="576" w:lineRule="exact"/>
        <w:ind w:firstLine="640" w:firstLineChars="200"/>
        <w:textAlignment w:val="auto"/>
        <w:outlineLvl w:val="1"/>
        <w:rPr>
          <w:rStyle w:val="23"/>
          <w:rFonts w:hint="eastAsia" w:ascii="黑体" w:hAnsi="黑体" w:eastAsia="黑体" w:cs="黑体"/>
          <w:b w:val="0"/>
          <w:bCs w:val="0"/>
          <w:color w:val="auto"/>
          <w:sz w:val="32"/>
          <w:szCs w:val="32"/>
          <w:highlight w:val="none"/>
        </w:rPr>
      </w:pPr>
      <w:bookmarkStart w:id="106" w:name="_Toc15080"/>
      <w:bookmarkStart w:id="107" w:name="_Toc29127"/>
      <w:bookmarkStart w:id="108" w:name="_Toc15396623"/>
      <w:r>
        <w:rPr>
          <w:rStyle w:val="23"/>
          <w:rFonts w:hint="eastAsia" w:ascii="黑体" w:hAnsi="黑体" w:eastAsia="黑体" w:cs="黑体"/>
          <w:b w:val="0"/>
          <w:bCs w:val="0"/>
          <w:color w:val="auto"/>
          <w:sz w:val="32"/>
          <w:szCs w:val="32"/>
          <w:highlight w:val="none"/>
        </w:rPr>
        <w:t>五、</w:t>
      </w:r>
      <w:r>
        <w:rPr>
          <w:rFonts w:hint="eastAsia" w:ascii="黑体" w:hAnsi="黑体" w:eastAsia="黑体" w:cs="黑体"/>
          <w:b w:val="0"/>
          <w:color w:val="auto"/>
          <w:sz w:val="32"/>
          <w:szCs w:val="32"/>
          <w:highlight w:val="none"/>
        </w:rPr>
        <w:t>财</w:t>
      </w:r>
      <w:r>
        <w:rPr>
          <w:rStyle w:val="23"/>
          <w:rFonts w:hint="eastAsia" w:ascii="黑体" w:hAnsi="黑体" w:eastAsia="黑体" w:cs="黑体"/>
          <w:b w:val="0"/>
          <w:bCs w:val="0"/>
          <w:color w:val="auto"/>
          <w:sz w:val="32"/>
          <w:szCs w:val="32"/>
          <w:highlight w:val="none"/>
        </w:rPr>
        <w:t>政拨款支出决算明细表</w:t>
      </w:r>
      <w:bookmarkEnd w:id="106"/>
      <w:bookmarkEnd w:id="107"/>
      <w:bookmarkEnd w:id="108"/>
      <w:bookmarkStart w:id="109" w:name="_Toc15396624"/>
    </w:p>
    <w:p>
      <w:pPr>
        <w:keepNext w:val="0"/>
        <w:keepLines w:val="0"/>
        <w:pageBreakBefore w:val="0"/>
        <w:widowControl w:val="0"/>
        <w:shd w:val="clear"/>
        <w:kinsoku/>
        <w:wordWrap/>
        <w:overflowPunct/>
        <w:topLinePunct w:val="0"/>
        <w:autoSpaceDE/>
        <w:autoSpaceDN/>
        <w:bidi w:val="0"/>
        <w:adjustRightInd/>
        <w:snapToGrid/>
        <w:spacing w:before="0" w:after="0" w:line="576" w:lineRule="exact"/>
        <w:ind w:firstLine="640" w:firstLineChars="200"/>
        <w:textAlignment w:val="auto"/>
        <w:outlineLvl w:val="1"/>
        <w:rPr>
          <w:rFonts w:hint="eastAsia" w:ascii="黑体" w:hAnsi="黑体" w:eastAsia="黑体" w:cs="黑体"/>
          <w:color w:val="auto"/>
          <w:sz w:val="32"/>
          <w:szCs w:val="32"/>
          <w:highlight w:val="none"/>
        </w:rPr>
      </w:pPr>
      <w:bookmarkStart w:id="110" w:name="_Toc19117"/>
      <w:bookmarkStart w:id="111" w:name="_Toc15233"/>
      <w:r>
        <w:rPr>
          <w:rStyle w:val="23"/>
          <w:rFonts w:hint="eastAsia" w:ascii="黑体" w:hAnsi="黑体" w:eastAsia="黑体" w:cs="黑体"/>
          <w:b w:val="0"/>
          <w:bCs w:val="0"/>
          <w:color w:val="auto"/>
          <w:sz w:val="32"/>
          <w:szCs w:val="32"/>
          <w:highlight w:val="none"/>
        </w:rPr>
        <w:t>六、</w:t>
      </w:r>
      <w:r>
        <w:rPr>
          <w:rFonts w:hint="eastAsia" w:ascii="黑体" w:hAnsi="黑体" w:eastAsia="黑体" w:cs="黑体"/>
          <w:b w:val="0"/>
          <w:color w:val="auto"/>
          <w:sz w:val="32"/>
          <w:szCs w:val="32"/>
          <w:highlight w:val="none"/>
        </w:rPr>
        <w:t>一</w:t>
      </w:r>
      <w:r>
        <w:rPr>
          <w:rStyle w:val="23"/>
          <w:rFonts w:hint="eastAsia" w:ascii="黑体" w:hAnsi="黑体" w:eastAsia="黑体" w:cs="黑体"/>
          <w:b w:val="0"/>
          <w:bCs w:val="0"/>
          <w:color w:val="auto"/>
          <w:sz w:val="32"/>
          <w:szCs w:val="32"/>
          <w:highlight w:val="none"/>
        </w:rPr>
        <w:t>般公共预算财政拨款支出决算表</w:t>
      </w:r>
      <w:bookmarkEnd w:id="109"/>
      <w:bookmarkEnd w:id="110"/>
      <w:bookmarkEnd w:id="111"/>
    </w:p>
    <w:p>
      <w:pPr>
        <w:keepNext w:val="0"/>
        <w:keepLines w:val="0"/>
        <w:pageBreakBefore w:val="0"/>
        <w:widowControl w:val="0"/>
        <w:shd w:val="clear"/>
        <w:kinsoku/>
        <w:wordWrap/>
        <w:overflowPunct/>
        <w:topLinePunct w:val="0"/>
        <w:autoSpaceDE/>
        <w:autoSpaceDN/>
        <w:bidi w:val="0"/>
        <w:adjustRightInd/>
        <w:snapToGrid/>
        <w:spacing w:before="0" w:after="0" w:line="576" w:lineRule="exact"/>
        <w:ind w:firstLine="640" w:firstLineChars="200"/>
        <w:textAlignment w:val="auto"/>
        <w:outlineLvl w:val="1"/>
        <w:rPr>
          <w:rFonts w:hint="eastAsia" w:ascii="黑体" w:hAnsi="黑体" w:eastAsia="黑体" w:cs="黑体"/>
          <w:color w:val="auto"/>
          <w:sz w:val="32"/>
          <w:szCs w:val="32"/>
          <w:highlight w:val="none"/>
        </w:rPr>
      </w:pPr>
      <w:bookmarkStart w:id="112" w:name="_Toc26594"/>
      <w:bookmarkStart w:id="113" w:name="_Toc11675"/>
      <w:bookmarkStart w:id="114" w:name="_Toc15396625"/>
      <w:r>
        <w:rPr>
          <w:rStyle w:val="23"/>
          <w:rFonts w:hint="eastAsia" w:ascii="黑体" w:hAnsi="黑体" w:eastAsia="黑体" w:cs="黑体"/>
          <w:b w:val="0"/>
          <w:bCs w:val="0"/>
          <w:color w:val="auto"/>
          <w:sz w:val="32"/>
          <w:szCs w:val="32"/>
          <w:highlight w:val="none"/>
        </w:rPr>
        <w:t>七、</w:t>
      </w:r>
      <w:r>
        <w:rPr>
          <w:rFonts w:hint="eastAsia" w:ascii="黑体" w:hAnsi="黑体" w:eastAsia="黑体" w:cs="黑体"/>
          <w:b w:val="0"/>
          <w:color w:val="auto"/>
          <w:sz w:val="32"/>
          <w:szCs w:val="32"/>
          <w:highlight w:val="none"/>
        </w:rPr>
        <w:t>一</w:t>
      </w:r>
      <w:r>
        <w:rPr>
          <w:rStyle w:val="23"/>
          <w:rFonts w:hint="eastAsia" w:ascii="黑体" w:hAnsi="黑体" w:eastAsia="黑体" w:cs="黑体"/>
          <w:b w:val="0"/>
          <w:bCs w:val="0"/>
          <w:color w:val="auto"/>
          <w:sz w:val="32"/>
          <w:szCs w:val="32"/>
          <w:highlight w:val="none"/>
        </w:rPr>
        <w:t>般公共预算财政拨款支出决算明细表</w:t>
      </w:r>
      <w:bookmarkEnd w:id="112"/>
      <w:bookmarkEnd w:id="113"/>
      <w:bookmarkEnd w:id="114"/>
    </w:p>
    <w:p>
      <w:pPr>
        <w:keepNext w:val="0"/>
        <w:keepLines w:val="0"/>
        <w:pageBreakBefore w:val="0"/>
        <w:widowControl w:val="0"/>
        <w:shd w:val="clear"/>
        <w:kinsoku/>
        <w:wordWrap/>
        <w:overflowPunct/>
        <w:topLinePunct w:val="0"/>
        <w:autoSpaceDE/>
        <w:autoSpaceDN/>
        <w:bidi w:val="0"/>
        <w:adjustRightInd/>
        <w:snapToGrid/>
        <w:spacing w:before="0" w:after="0" w:line="576" w:lineRule="exact"/>
        <w:ind w:firstLine="640" w:firstLineChars="200"/>
        <w:textAlignment w:val="auto"/>
        <w:outlineLvl w:val="1"/>
        <w:rPr>
          <w:rFonts w:hint="eastAsia" w:ascii="黑体" w:hAnsi="黑体" w:eastAsia="黑体" w:cs="黑体"/>
          <w:color w:val="auto"/>
          <w:sz w:val="32"/>
          <w:szCs w:val="32"/>
          <w:highlight w:val="none"/>
        </w:rPr>
      </w:pPr>
      <w:bookmarkStart w:id="115" w:name="_Toc29963"/>
      <w:bookmarkStart w:id="116" w:name="_Toc30920"/>
      <w:bookmarkStart w:id="117" w:name="_Toc15396626"/>
      <w:r>
        <w:rPr>
          <w:rStyle w:val="23"/>
          <w:rFonts w:hint="eastAsia" w:ascii="黑体" w:hAnsi="黑体" w:eastAsia="黑体" w:cs="黑体"/>
          <w:b w:val="0"/>
          <w:bCs w:val="0"/>
          <w:color w:val="auto"/>
          <w:sz w:val="32"/>
          <w:szCs w:val="32"/>
          <w:highlight w:val="none"/>
        </w:rPr>
        <w:t>八、</w:t>
      </w:r>
      <w:r>
        <w:rPr>
          <w:rFonts w:hint="eastAsia" w:ascii="黑体" w:hAnsi="黑体" w:eastAsia="黑体" w:cs="黑体"/>
          <w:b w:val="0"/>
          <w:color w:val="auto"/>
          <w:sz w:val="32"/>
          <w:szCs w:val="32"/>
          <w:highlight w:val="none"/>
        </w:rPr>
        <w:t>一</w:t>
      </w:r>
      <w:r>
        <w:rPr>
          <w:rStyle w:val="23"/>
          <w:rFonts w:hint="eastAsia" w:ascii="黑体" w:hAnsi="黑体" w:eastAsia="黑体" w:cs="黑体"/>
          <w:b w:val="0"/>
          <w:bCs w:val="0"/>
          <w:color w:val="auto"/>
          <w:sz w:val="32"/>
          <w:szCs w:val="32"/>
          <w:highlight w:val="none"/>
        </w:rPr>
        <w:t>般公共预算财政拨款基本支出决算表</w:t>
      </w:r>
      <w:bookmarkEnd w:id="115"/>
      <w:bookmarkEnd w:id="116"/>
      <w:bookmarkEnd w:id="117"/>
    </w:p>
    <w:p>
      <w:pPr>
        <w:keepNext w:val="0"/>
        <w:keepLines w:val="0"/>
        <w:pageBreakBefore w:val="0"/>
        <w:widowControl w:val="0"/>
        <w:shd w:val="clear"/>
        <w:kinsoku/>
        <w:wordWrap/>
        <w:overflowPunct/>
        <w:topLinePunct w:val="0"/>
        <w:autoSpaceDE/>
        <w:autoSpaceDN/>
        <w:bidi w:val="0"/>
        <w:adjustRightInd/>
        <w:snapToGrid/>
        <w:spacing w:before="0" w:after="0" w:line="576" w:lineRule="exact"/>
        <w:ind w:firstLine="640" w:firstLineChars="200"/>
        <w:textAlignment w:val="auto"/>
        <w:outlineLvl w:val="1"/>
        <w:rPr>
          <w:rFonts w:hint="eastAsia" w:ascii="黑体" w:hAnsi="黑体" w:eastAsia="黑体" w:cs="黑体"/>
          <w:color w:val="auto"/>
          <w:sz w:val="32"/>
          <w:szCs w:val="32"/>
          <w:highlight w:val="none"/>
        </w:rPr>
      </w:pPr>
      <w:bookmarkStart w:id="118" w:name="_Toc6465"/>
      <w:bookmarkStart w:id="119" w:name="_Toc11242"/>
      <w:bookmarkStart w:id="120" w:name="_Toc15396627"/>
      <w:r>
        <w:rPr>
          <w:rStyle w:val="23"/>
          <w:rFonts w:hint="eastAsia" w:ascii="黑体" w:hAnsi="黑体" w:eastAsia="黑体" w:cs="黑体"/>
          <w:b w:val="0"/>
          <w:bCs w:val="0"/>
          <w:color w:val="auto"/>
          <w:sz w:val="32"/>
          <w:szCs w:val="32"/>
          <w:highlight w:val="none"/>
        </w:rPr>
        <w:t>九、</w:t>
      </w:r>
      <w:r>
        <w:rPr>
          <w:rFonts w:hint="eastAsia" w:ascii="黑体" w:hAnsi="黑体" w:eastAsia="黑体" w:cs="黑体"/>
          <w:b w:val="0"/>
          <w:color w:val="auto"/>
          <w:sz w:val="32"/>
          <w:szCs w:val="32"/>
          <w:highlight w:val="none"/>
        </w:rPr>
        <w:t>一</w:t>
      </w:r>
      <w:r>
        <w:rPr>
          <w:rStyle w:val="23"/>
          <w:rFonts w:hint="eastAsia" w:ascii="黑体" w:hAnsi="黑体" w:eastAsia="黑体" w:cs="黑体"/>
          <w:b w:val="0"/>
          <w:bCs w:val="0"/>
          <w:color w:val="auto"/>
          <w:sz w:val="32"/>
          <w:szCs w:val="32"/>
          <w:highlight w:val="none"/>
        </w:rPr>
        <w:t>般公共预算财政拨款项目支出决算表</w:t>
      </w:r>
      <w:bookmarkEnd w:id="118"/>
      <w:bookmarkEnd w:id="119"/>
      <w:bookmarkEnd w:id="120"/>
    </w:p>
    <w:p>
      <w:pPr>
        <w:keepNext w:val="0"/>
        <w:keepLines w:val="0"/>
        <w:pageBreakBefore w:val="0"/>
        <w:widowControl w:val="0"/>
        <w:shd w:val="clear"/>
        <w:kinsoku/>
        <w:wordWrap/>
        <w:overflowPunct/>
        <w:topLinePunct w:val="0"/>
        <w:autoSpaceDE/>
        <w:autoSpaceDN/>
        <w:bidi w:val="0"/>
        <w:adjustRightInd/>
        <w:snapToGrid/>
        <w:spacing w:before="0" w:after="0" w:line="576" w:lineRule="exact"/>
        <w:ind w:firstLine="640" w:firstLineChars="200"/>
        <w:textAlignment w:val="auto"/>
        <w:outlineLvl w:val="1"/>
        <w:rPr>
          <w:rFonts w:hint="eastAsia" w:ascii="黑体" w:hAnsi="黑体" w:eastAsia="黑体" w:cs="黑体"/>
          <w:color w:val="auto"/>
          <w:sz w:val="32"/>
          <w:szCs w:val="32"/>
          <w:highlight w:val="none"/>
        </w:rPr>
      </w:pPr>
      <w:bookmarkStart w:id="121" w:name="_Toc15396628"/>
      <w:bookmarkStart w:id="122" w:name="_Toc7041"/>
      <w:bookmarkStart w:id="123" w:name="_Toc10550"/>
      <w:r>
        <w:rPr>
          <w:rStyle w:val="23"/>
          <w:rFonts w:hint="eastAsia" w:ascii="黑体" w:hAnsi="黑体" w:eastAsia="黑体" w:cs="黑体"/>
          <w:b w:val="0"/>
          <w:bCs w:val="0"/>
          <w:color w:val="auto"/>
          <w:sz w:val="32"/>
          <w:szCs w:val="32"/>
          <w:highlight w:val="none"/>
        </w:rPr>
        <w:t>十、</w:t>
      </w:r>
      <w:bookmarkEnd w:id="121"/>
      <w:r>
        <w:rPr>
          <w:rFonts w:hint="eastAsia" w:ascii="黑体" w:hAnsi="黑体" w:eastAsia="黑体" w:cs="黑体"/>
          <w:b w:val="0"/>
          <w:color w:val="auto"/>
          <w:sz w:val="32"/>
          <w:szCs w:val="32"/>
          <w:highlight w:val="none"/>
        </w:rPr>
        <w:t>政</w:t>
      </w:r>
      <w:r>
        <w:rPr>
          <w:rStyle w:val="23"/>
          <w:rFonts w:hint="eastAsia" w:ascii="黑体" w:hAnsi="黑体" w:eastAsia="黑体" w:cs="黑体"/>
          <w:b w:val="0"/>
          <w:bCs w:val="0"/>
          <w:color w:val="auto"/>
          <w:sz w:val="32"/>
          <w:szCs w:val="32"/>
          <w:highlight w:val="none"/>
        </w:rPr>
        <w:t>府性基金预算财政拨款收入支出决算表</w:t>
      </w:r>
      <w:bookmarkEnd w:id="122"/>
      <w:bookmarkEnd w:id="123"/>
    </w:p>
    <w:p>
      <w:pPr>
        <w:keepNext w:val="0"/>
        <w:keepLines w:val="0"/>
        <w:pageBreakBefore w:val="0"/>
        <w:widowControl w:val="0"/>
        <w:shd w:val="clear"/>
        <w:kinsoku/>
        <w:wordWrap/>
        <w:overflowPunct/>
        <w:topLinePunct w:val="0"/>
        <w:autoSpaceDE/>
        <w:autoSpaceDN/>
        <w:bidi w:val="0"/>
        <w:adjustRightInd/>
        <w:snapToGrid/>
        <w:spacing w:before="0" w:after="0" w:line="576" w:lineRule="exact"/>
        <w:ind w:firstLine="640" w:firstLineChars="200"/>
        <w:textAlignment w:val="auto"/>
        <w:outlineLvl w:val="1"/>
        <w:rPr>
          <w:rFonts w:hint="eastAsia" w:ascii="黑体" w:hAnsi="黑体" w:eastAsia="黑体" w:cs="黑体"/>
          <w:color w:val="auto"/>
          <w:sz w:val="32"/>
          <w:szCs w:val="32"/>
          <w:highlight w:val="none"/>
        </w:rPr>
      </w:pPr>
      <w:bookmarkStart w:id="124" w:name="_Toc15396629"/>
      <w:bookmarkStart w:id="125" w:name="_Toc21673"/>
      <w:bookmarkStart w:id="126" w:name="_Toc27851"/>
      <w:r>
        <w:rPr>
          <w:rStyle w:val="23"/>
          <w:rFonts w:hint="eastAsia" w:ascii="黑体" w:hAnsi="黑体" w:eastAsia="黑体" w:cs="黑体"/>
          <w:b w:val="0"/>
          <w:bCs w:val="0"/>
          <w:color w:val="auto"/>
          <w:sz w:val="32"/>
          <w:szCs w:val="32"/>
          <w:highlight w:val="none"/>
        </w:rPr>
        <w:t>十一、</w:t>
      </w:r>
      <w:bookmarkEnd w:id="124"/>
      <w:r>
        <w:rPr>
          <w:rFonts w:hint="eastAsia" w:ascii="黑体" w:hAnsi="黑体" w:eastAsia="黑体" w:cs="黑体"/>
          <w:b w:val="0"/>
          <w:color w:val="auto"/>
          <w:sz w:val="32"/>
          <w:szCs w:val="32"/>
          <w:highlight w:val="none"/>
        </w:rPr>
        <w:t>国</w:t>
      </w:r>
      <w:r>
        <w:rPr>
          <w:rStyle w:val="23"/>
          <w:rFonts w:hint="eastAsia" w:ascii="黑体" w:hAnsi="黑体" w:eastAsia="黑体" w:cs="黑体"/>
          <w:b w:val="0"/>
          <w:bCs w:val="0"/>
          <w:color w:val="auto"/>
          <w:sz w:val="32"/>
          <w:szCs w:val="32"/>
          <w:highlight w:val="none"/>
        </w:rPr>
        <w:t>有资本经营预算</w:t>
      </w:r>
      <w:r>
        <w:rPr>
          <w:rStyle w:val="23"/>
          <w:rFonts w:hint="eastAsia" w:ascii="黑体" w:hAnsi="黑体" w:eastAsia="黑体" w:cs="黑体"/>
          <w:b w:val="0"/>
          <w:bCs w:val="0"/>
          <w:color w:val="auto"/>
          <w:sz w:val="32"/>
          <w:szCs w:val="32"/>
          <w:highlight w:val="none"/>
          <w:lang w:eastAsia="zh-CN"/>
        </w:rPr>
        <w:t>财政拨款收入</w:t>
      </w:r>
      <w:r>
        <w:rPr>
          <w:rStyle w:val="23"/>
          <w:rFonts w:hint="eastAsia" w:ascii="黑体" w:hAnsi="黑体" w:eastAsia="黑体" w:cs="黑体"/>
          <w:b w:val="0"/>
          <w:bCs w:val="0"/>
          <w:color w:val="auto"/>
          <w:sz w:val="32"/>
          <w:szCs w:val="32"/>
          <w:highlight w:val="none"/>
        </w:rPr>
        <w:t>支出决算表</w:t>
      </w:r>
      <w:bookmarkEnd w:id="125"/>
      <w:bookmarkEnd w:id="126"/>
    </w:p>
    <w:p>
      <w:pPr>
        <w:keepNext w:val="0"/>
        <w:keepLines w:val="0"/>
        <w:pageBreakBefore w:val="0"/>
        <w:widowControl w:val="0"/>
        <w:shd w:val="clear"/>
        <w:kinsoku/>
        <w:wordWrap/>
        <w:overflowPunct/>
        <w:topLinePunct w:val="0"/>
        <w:autoSpaceDE/>
        <w:autoSpaceDN/>
        <w:bidi w:val="0"/>
        <w:adjustRightInd/>
        <w:snapToGrid/>
        <w:spacing w:before="0" w:after="0" w:line="576" w:lineRule="exact"/>
        <w:ind w:firstLine="640" w:firstLineChars="200"/>
        <w:textAlignment w:val="auto"/>
        <w:outlineLvl w:val="1"/>
        <w:rPr>
          <w:rFonts w:hint="eastAsia" w:ascii="黑体" w:hAnsi="黑体" w:eastAsia="黑体" w:cs="黑体"/>
          <w:color w:val="auto"/>
          <w:sz w:val="32"/>
          <w:szCs w:val="32"/>
          <w:highlight w:val="none"/>
        </w:rPr>
      </w:pPr>
      <w:bookmarkStart w:id="127" w:name="_Toc15396630"/>
      <w:bookmarkStart w:id="128" w:name="_Toc17083"/>
      <w:bookmarkStart w:id="129" w:name="_Toc29179"/>
      <w:r>
        <w:rPr>
          <w:rStyle w:val="23"/>
          <w:rFonts w:hint="eastAsia" w:ascii="黑体" w:hAnsi="黑体" w:eastAsia="黑体" w:cs="黑体"/>
          <w:b w:val="0"/>
          <w:bCs w:val="0"/>
          <w:color w:val="auto"/>
          <w:sz w:val="32"/>
          <w:szCs w:val="32"/>
          <w:highlight w:val="none"/>
        </w:rPr>
        <w:t>十二、</w:t>
      </w:r>
      <w:bookmarkEnd w:id="127"/>
      <w:r>
        <w:rPr>
          <w:rStyle w:val="23"/>
          <w:rFonts w:hint="eastAsia" w:ascii="黑体" w:hAnsi="黑体" w:eastAsia="黑体" w:cs="黑体"/>
          <w:b w:val="0"/>
          <w:bCs w:val="0"/>
          <w:color w:val="auto"/>
          <w:sz w:val="32"/>
          <w:szCs w:val="32"/>
          <w:highlight w:val="none"/>
          <w:lang w:eastAsia="zh-CN"/>
        </w:rPr>
        <w:t>国有资本经营预算财政拨款支出决算表</w:t>
      </w:r>
      <w:bookmarkEnd w:id="128"/>
      <w:bookmarkEnd w:id="129"/>
    </w:p>
    <w:p>
      <w:pPr>
        <w:keepNext w:val="0"/>
        <w:keepLines w:val="0"/>
        <w:pageBreakBefore w:val="0"/>
        <w:widowControl w:val="0"/>
        <w:shd w:val="clear"/>
        <w:kinsoku/>
        <w:wordWrap/>
        <w:overflowPunct/>
        <w:topLinePunct w:val="0"/>
        <w:autoSpaceDE/>
        <w:autoSpaceDN/>
        <w:bidi w:val="0"/>
        <w:adjustRightInd/>
        <w:snapToGrid/>
        <w:spacing w:before="0" w:after="0" w:line="576" w:lineRule="exact"/>
        <w:ind w:firstLine="640" w:firstLineChars="200"/>
        <w:textAlignment w:val="auto"/>
        <w:outlineLvl w:val="1"/>
        <w:rPr>
          <w:rFonts w:hint="eastAsia" w:ascii="黑体" w:hAnsi="黑体" w:eastAsia="黑体" w:cs="黑体"/>
          <w:color w:val="auto"/>
          <w:sz w:val="32"/>
          <w:szCs w:val="32"/>
          <w:highlight w:val="none"/>
          <w:lang w:eastAsia="zh-CN"/>
        </w:rPr>
      </w:pPr>
      <w:bookmarkStart w:id="130" w:name="_Toc15396631"/>
      <w:bookmarkStart w:id="131" w:name="_Toc11700"/>
      <w:bookmarkStart w:id="132" w:name="_Toc24051"/>
      <w:r>
        <w:rPr>
          <w:rStyle w:val="23"/>
          <w:rFonts w:hint="eastAsia" w:ascii="黑体" w:hAnsi="黑体" w:eastAsia="黑体" w:cs="黑体"/>
          <w:b w:val="0"/>
          <w:bCs w:val="0"/>
          <w:color w:val="auto"/>
          <w:sz w:val="32"/>
          <w:szCs w:val="32"/>
          <w:highlight w:val="none"/>
        </w:rPr>
        <w:t>十三、</w:t>
      </w:r>
      <w:bookmarkEnd w:id="130"/>
      <w:r>
        <w:rPr>
          <w:rStyle w:val="23"/>
          <w:rFonts w:hint="eastAsia" w:ascii="黑体" w:hAnsi="黑体" w:eastAsia="黑体" w:cs="黑体"/>
          <w:b w:val="0"/>
          <w:bCs w:val="0"/>
          <w:color w:val="auto"/>
          <w:sz w:val="32"/>
          <w:szCs w:val="32"/>
          <w:highlight w:val="none"/>
          <w:lang w:eastAsia="zh-CN"/>
        </w:rPr>
        <w:t>财政拨款“三公”经费支出决算表</w:t>
      </w:r>
      <w:bookmarkEnd w:id="131"/>
      <w:bookmarkEnd w:id="132"/>
    </w:p>
    <w:sectPr>
      <w:pgSz w:w="11906" w:h="16838"/>
      <w:pgMar w:top="2098" w:right="1474" w:bottom="1984" w:left="1587" w:header="851" w:footer="1587" w:gutter="0"/>
      <w:pgNumType w:fmt="decimal"/>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
    <w:altName w:val="仿宋_GB2312"/>
    <w:panose1 w:val="000000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方正楷体简体">
    <w:altName w:val="方正楷体_GBK"/>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NanumGothic">
    <w:panose1 w:val="020D0604000000000000"/>
    <w:charset w:val="81"/>
    <w:family w:val="auto"/>
    <w:pitch w:val="default"/>
    <w:sig w:usb0="900002A7" w:usb1="29D7FCFB" w:usb2="00000010" w:usb3="00000000" w:csb0="00080001"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1"/>
          <w:jc w:val="center"/>
        </w:pPr>
      </w:p>
    </w:sdtContent>
  </w:sdt>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keepNext w:val="0"/>
                            <w:keepLines w:val="0"/>
                            <w:pageBreakBefore w:val="0"/>
                            <w:widowControl w:val="0"/>
                            <w:kinsoku/>
                            <w:wordWrap/>
                            <w:overflowPunct/>
                            <w:topLinePunct w:val="0"/>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11"/>
                      <w:keepNext w:val="0"/>
                      <w:keepLines w:val="0"/>
                      <w:pageBreakBefore w:val="0"/>
                      <w:widowControl w:val="0"/>
                      <w:kinsoku/>
                      <w:wordWrap/>
                      <w:overflowPunct/>
                      <w:topLinePunct w:val="0"/>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sdt>
      <w:sdtPr>
        <w:id w:val="-1994781956"/>
      </w:sdtPr>
      <w:sdtContent/>
    </w:sdt>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keepNext w:val="0"/>
                            <w:keepLines w:val="0"/>
                            <w:pageBreakBefore w:val="0"/>
                            <w:widowControl w:val="0"/>
                            <w:kinsoku/>
                            <w:wordWrap/>
                            <w:overflowPunct/>
                            <w:topLinePunct w:val="0"/>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11"/>
                      <w:keepNext w:val="0"/>
                      <w:keepLines w:val="0"/>
                      <w:pageBreakBefore w:val="0"/>
                      <w:widowControl w:val="0"/>
                      <w:kinsoku/>
                      <w:wordWrap/>
                      <w:overflowPunct/>
                      <w:topLinePunct w:val="0"/>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keepNext w:val="0"/>
                            <w:keepLines w:val="0"/>
                            <w:pageBreakBefore w:val="0"/>
                            <w:widowControl w:val="0"/>
                            <w:kinsoku/>
                            <w:wordWrap/>
                            <w:overflowPunct/>
                            <w:topLinePunct w:val="0"/>
                            <w:bidi w:val="0"/>
                            <w:adjustRightInd/>
                            <w:snapToGrid w:val="0"/>
                            <w:ind w:left="210" w:leftChars="100" w:right="210" w:rightChars="1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11"/>
                      <w:keepNext w:val="0"/>
                      <w:keepLines w:val="0"/>
                      <w:pageBreakBefore w:val="0"/>
                      <w:widowControl w:val="0"/>
                      <w:kinsoku/>
                      <w:wordWrap/>
                      <w:overflowPunct/>
                      <w:topLinePunct w:val="0"/>
                      <w:bidi w:val="0"/>
                      <w:adjustRightInd/>
                      <w:snapToGrid w:val="0"/>
                      <w:ind w:left="210" w:leftChars="100" w:right="210" w:rightChars="1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sdt>
      <w:sdtPr>
        <w:id w:val="-1994781956"/>
      </w:sdtPr>
      <w:sdtContent/>
    </w:sdt>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48C8E2"/>
    <w:multiLevelType w:val="singleLevel"/>
    <w:tmpl w:val="EB48C8E2"/>
    <w:lvl w:ilvl="0" w:tentative="0">
      <w:start w:val="1"/>
      <w:numFmt w:val="decimal"/>
      <w:lvlText w:val="%1."/>
      <w:lvlJc w:val="left"/>
      <w:pPr>
        <w:tabs>
          <w:tab w:val="left" w:pos="312"/>
        </w:tabs>
      </w:pPr>
    </w:lvl>
  </w:abstractNum>
  <w:abstractNum w:abstractNumId="1">
    <w:nsid w:val="5FD0F684"/>
    <w:multiLevelType w:val="singleLevel"/>
    <w:tmpl w:val="5FD0F684"/>
    <w:lvl w:ilvl="0" w:tentative="0">
      <w:start w:val="1"/>
      <w:numFmt w:val="decimal"/>
      <w:suff w:val="space"/>
      <w:lvlText w:val="%1."/>
      <w:lvlJc w:val="left"/>
    </w:lvl>
  </w:abstractNum>
  <w:abstractNum w:abstractNumId="2">
    <w:nsid w:val="733AA38F"/>
    <w:multiLevelType w:val="singleLevel"/>
    <w:tmpl w:val="733AA38F"/>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HorizontalSpacing w:val="105"/>
  <w:drawingGridVerticalSpacing w:val="160"/>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4ODBlZjE2MjQ4NmJkYzJiNGQxMjllMWNiMmNhYW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52E1C"/>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5975B8"/>
    <w:rsid w:val="02143E91"/>
    <w:rsid w:val="066E0107"/>
    <w:rsid w:val="07623C11"/>
    <w:rsid w:val="07996F6E"/>
    <w:rsid w:val="0A2032A3"/>
    <w:rsid w:val="0F98263C"/>
    <w:rsid w:val="0FF77AA3"/>
    <w:rsid w:val="101860EC"/>
    <w:rsid w:val="108F5D13"/>
    <w:rsid w:val="10C055FF"/>
    <w:rsid w:val="118107EC"/>
    <w:rsid w:val="11AD7D8F"/>
    <w:rsid w:val="13D50BC4"/>
    <w:rsid w:val="16BB723D"/>
    <w:rsid w:val="1B641233"/>
    <w:rsid w:val="1BE8440E"/>
    <w:rsid w:val="1D155CEE"/>
    <w:rsid w:val="1D6565CB"/>
    <w:rsid w:val="1FF35744"/>
    <w:rsid w:val="23860B96"/>
    <w:rsid w:val="240371BF"/>
    <w:rsid w:val="246B4DDC"/>
    <w:rsid w:val="25CF4656"/>
    <w:rsid w:val="26C26CF7"/>
    <w:rsid w:val="297D6BF7"/>
    <w:rsid w:val="29FD04D3"/>
    <w:rsid w:val="2C8A61B5"/>
    <w:rsid w:val="2DF04E50"/>
    <w:rsid w:val="2F040D46"/>
    <w:rsid w:val="306D4B10"/>
    <w:rsid w:val="319F7F4E"/>
    <w:rsid w:val="32A9493D"/>
    <w:rsid w:val="3304709D"/>
    <w:rsid w:val="36297177"/>
    <w:rsid w:val="36AA5135"/>
    <w:rsid w:val="376D39B2"/>
    <w:rsid w:val="37E16F03"/>
    <w:rsid w:val="38D469F0"/>
    <w:rsid w:val="39913C3B"/>
    <w:rsid w:val="3D98207C"/>
    <w:rsid w:val="3E78745D"/>
    <w:rsid w:val="40D9220F"/>
    <w:rsid w:val="410463BE"/>
    <w:rsid w:val="422E093B"/>
    <w:rsid w:val="44E268DA"/>
    <w:rsid w:val="46942BA1"/>
    <w:rsid w:val="48C86725"/>
    <w:rsid w:val="4A627F82"/>
    <w:rsid w:val="4B0E749A"/>
    <w:rsid w:val="4B4F25DA"/>
    <w:rsid w:val="4BE068DB"/>
    <w:rsid w:val="4D577224"/>
    <w:rsid w:val="4EAB630A"/>
    <w:rsid w:val="4ECE2238"/>
    <w:rsid w:val="501C7DBB"/>
    <w:rsid w:val="537E6D0A"/>
    <w:rsid w:val="552D518D"/>
    <w:rsid w:val="5AF92295"/>
    <w:rsid w:val="5CD71FC4"/>
    <w:rsid w:val="601F1B03"/>
    <w:rsid w:val="62B9487B"/>
    <w:rsid w:val="687C2CD5"/>
    <w:rsid w:val="6C4A05C8"/>
    <w:rsid w:val="6E7E3605"/>
    <w:rsid w:val="6FF5CC65"/>
    <w:rsid w:val="7137124E"/>
    <w:rsid w:val="715C0E4B"/>
    <w:rsid w:val="71671D9D"/>
    <w:rsid w:val="72734D90"/>
    <w:rsid w:val="72C232B3"/>
    <w:rsid w:val="73AD73D5"/>
    <w:rsid w:val="73B6EB34"/>
    <w:rsid w:val="744731E5"/>
    <w:rsid w:val="76E3355F"/>
    <w:rsid w:val="778769C8"/>
    <w:rsid w:val="79EE5BA4"/>
    <w:rsid w:val="7A894339"/>
    <w:rsid w:val="7EEF11D3"/>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99" w:semiHidden="0"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4"/>
    <w:unhideWhenUsed/>
    <w:qFormat/>
    <w:uiPriority w:val="9"/>
    <w:pPr>
      <w:keepNext/>
      <w:keepLines/>
      <w:spacing w:before="260" w:after="260" w:line="416" w:lineRule="auto"/>
      <w:outlineLvl w:val="2"/>
    </w:pPr>
    <w:rPr>
      <w:b/>
      <w:bCs/>
      <w:sz w:val="32"/>
      <w:szCs w:val="32"/>
    </w:rPr>
  </w:style>
  <w:style w:type="character" w:default="1" w:styleId="19">
    <w:name w:val="Default Paragraph Font"/>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keepNext w:val="0"/>
      <w:keepLines w:val="0"/>
      <w:widowControl w:val="0"/>
      <w:suppressLineNumbers w:val="0"/>
      <w:spacing w:before="0" w:beforeAutospacing="0" w:after="0" w:afterAutospacing="0" w:line="240" w:lineRule="auto"/>
      <w:ind w:left="0" w:right="0" w:firstLine="0"/>
      <w:jc w:val="left"/>
    </w:pPr>
    <w:rPr>
      <w:rFonts w:hint="default" w:ascii="Calibri" w:hAnsi="Calibri" w:eastAsia="宋体" w:cs="Times New Roman"/>
      <w:kern w:val="0"/>
      <w:sz w:val="24"/>
      <w:szCs w:val="20"/>
      <w:lang w:val="en-US" w:eastAsia="zh-CN" w:bidi="ar"/>
    </w:rPr>
  </w:style>
  <w:style w:type="paragraph" w:styleId="6">
    <w:name w:val="Salutation"/>
    <w:basedOn w:val="1"/>
    <w:next w:val="1"/>
    <w:qFormat/>
    <w:uiPriority w:val="99"/>
    <w:pPr>
      <w:widowControl/>
      <w:ind w:firstLine="573"/>
    </w:pPr>
  </w:style>
  <w:style w:type="paragraph" w:styleId="7">
    <w:name w:val="Body Text"/>
    <w:basedOn w:val="1"/>
    <w:link w:val="31"/>
    <w:qFormat/>
    <w:uiPriority w:val="99"/>
    <w:pPr>
      <w:spacing w:beforeLines="30"/>
    </w:pPr>
    <w:rPr>
      <w:rFonts w:ascii="仿宋_GB2312" w:eastAsia="仿宋_GB2312"/>
      <w:kern w:val="0"/>
      <w:sz w:val="30"/>
    </w:rPr>
  </w:style>
  <w:style w:type="paragraph" w:styleId="8">
    <w:name w:val="Body Text Indent"/>
    <w:basedOn w:val="1"/>
    <w:qFormat/>
    <w:uiPriority w:val="0"/>
    <w:pPr>
      <w:spacing w:after="120"/>
      <w:ind w:leftChars="200"/>
    </w:pPr>
    <w:rPr>
      <w:rFonts w:ascii="仿宋_GB2312"/>
      <w:szCs w:val="32"/>
    </w:rPr>
  </w:style>
  <w:style w:type="paragraph" w:styleId="9">
    <w:name w:val="toc 3"/>
    <w:basedOn w:val="1"/>
    <w:next w:val="1"/>
    <w:unhideWhenUsed/>
    <w:qFormat/>
    <w:uiPriority w:val="39"/>
    <w:pPr>
      <w:tabs>
        <w:tab w:val="right" w:leader="dot" w:pos="8296"/>
      </w:tabs>
      <w:ind w:left="840" w:leftChars="400"/>
    </w:pPr>
  </w:style>
  <w:style w:type="paragraph" w:styleId="10">
    <w:name w:val="Balloon Text"/>
    <w:basedOn w:val="1"/>
    <w:link w:val="35"/>
    <w:semiHidden/>
    <w:unhideWhenUsed/>
    <w:qFormat/>
    <w:uiPriority w:val="99"/>
    <w:rPr>
      <w:sz w:val="18"/>
      <w:szCs w:val="18"/>
    </w:rPr>
  </w:style>
  <w:style w:type="paragraph" w:styleId="11">
    <w:name w:val="footer"/>
    <w:basedOn w:val="1"/>
    <w:link w:val="29"/>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able of figures"/>
    <w:basedOn w:val="1"/>
    <w:next w:val="1"/>
    <w:unhideWhenUsed/>
    <w:qFormat/>
    <w:uiPriority w:val="99"/>
    <w:pPr>
      <w:spacing w:before="100" w:beforeAutospacing="1" w:after="100" w:afterAutospacing="1"/>
      <w:ind w:left="400" w:leftChars="200" w:hanging="200" w:hangingChars="200"/>
    </w:pPr>
    <w:rPr>
      <w:rFonts w:ascii="Times New Roman" w:hAnsi="Times New Roman"/>
    </w:rPr>
  </w:style>
  <w:style w:type="paragraph" w:styleId="15">
    <w:name w:val="toc 2"/>
    <w:basedOn w:val="1"/>
    <w:next w:val="1"/>
    <w:unhideWhenUsed/>
    <w:qFormat/>
    <w:uiPriority w:val="39"/>
    <w:pPr>
      <w:tabs>
        <w:tab w:val="right" w:leader="dot" w:pos="8296"/>
      </w:tabs>
      <w:ind w:left="420" w:leftChars="200"/>
    </w:pPr>
  </w:style>
  <w:style w:type="paragraph" w:styleId="16">
    <w:name w:val="Body Text First Indent"/>
    <w:basedOn w:val="7"/>
    <w:qFormat/>
    <w:uiPriority w:val="0"/>
    <w:pPr>
      <w:ind w:firstLine="420" w:firstLineChars="100"/>
    </w:pPr>
  </w:style>
  <w:style w:type="paragraph" w:styleId="17">
    <w:name w:val="Body Text First Indent 2"/>
    <w:basedOn w:val="8"/>
    <w:next w:val="1"/>
    <w:unhideWhenUsed/>
    <w:qFormat/>
    <w:uiPriority w:val="99"/>
    <w:pPr>
      <w:ind w:firstLine="420" w:firstLineChars="200"/>
    </w:pPr>
  </w:style>
  <w:style w:type="character" w:styleId="20">
    <w:name w:val="Strong"/>
    <w:basedOn w:val="19"/>
    <w:qFormat/>
    <w:uiPriority w:val="99"/>
    <w:rPr>
      <w:b/>
    </w:rPr>
  </w:style>
  <w:style w:type="character" w:styleId="21">
    <w:name w:val="Hyperlink"/>
    <w:basedOn w:val="19"/>
    <w:unhideWhenUsed/>
    <w:qFormat/>
    <w:uiPriority w:val="99"/>
    <w:rPr>
      <w:color w:val="0000FF" w:themeColor="hyperlink"/>
      <w:u w:val="single"/>
      <w14:textFill>
        <w14:solidFill>
          <w14:schemeClr w14:val="hlink"/>
        </w14:solidFill>
      </w14:textFill>
    </w:rPr>
  </w:style>
  <w:style w:type="character" w:customStyle="1" w:styleId="22">
    <w:name w:val="标题 1 Char"/>
    <w:basedOn w:val="19"/>
    <w:link w:val="3"/>
    <w:qFormat/>
    <w:uiPriority w:val="9"/>
    <w:rPr>
      <w:rFonts w:ascii="Times New Roman" w:hAnsi="Times New Roman"/>
      <w:b/>
      <w:bCs/>
      <w:kern w:val="44"/>
      <w:sz w:val="44"/>
      <w:szCs w:val="44"/>
    </w:rPr>
  </w:style>
  <w:style w:type="character" w:customStyle="1" w:styleId="23">
    <w:name w:val="标题 2 Char"/>
    <w:basedOn w:val="19"/>
    <w:link w:val="4"/>
    <w:qFormat/>
    <w:uiPriority w:val="9"/>
    <w:rPr>
      <w:rFonts w:asciiTheme="majorHAnsi" w:hAnsiTheme="majorHAnsi" w:eastAsiaTheme="majorEastAsia" w:cstheme="majorBidi"/>
      <w:b/>
      <w:bCs/>
      <w:kern w:val="2"/>
      <w:sz w:val="32"/>
      <w:szCs w:val="32"/>
    </w:rPr>
  </w:style>
  <w:style w:type="character" w:customStyle="1" w:styleId="24">
    <w:name w:val="标题 3 Char"/>
    <w:basedOn w:val="19"/>
    <w:link w:val="5"/>
    <w:qFormat/>
    <w:uiPriority w:val="9"/>
    <w:rPr>
      <w:rFonts w:ascii="Times New Roman" w:hAnsi="Times New Roman"/>
      <w:b/>
      <w:bCs/>
      <w:kern w:val="2"/>
      <w:sz w:val="32"/>
      <w:szCs w:val="32"/>
    </w:rPr>
  </w:style>
  <w:style w:type="paragraph" w:customStyle="1" w:styleId="25">
    <w:name w:val="标题 5（有编号）（绿盟科技）"/>
    <w:next w:val="1"/>
    <w:qFormat/>
    <w:uiPriority w:val="99"/>
    <w:pPr>
      <w:keepNext/>
      <w:keepLines/>
      <w:widowControl w:val="0"/>
      <w:spacing w:before="280" w:after="156" w:line="377" w:lineRule="auto"/>
      <w:jc w:val="left"/>
      <w:outlineLvl w:val="4"/>
    </w:pPr>
    <w:rPr>
      <w:rFonts w:ascii="Arial" w:hAnsi="Arial" w:eastAsia="黑体" w:cs="Times New Roman"/>
      <w:b/>
      <w:kern w:val="2"/>
      <w:sz w:val="24"/>
      <w:szCs w:val="28"/>
      <w:lang w:val="en-US" w:eastAsia="zh-CN" w:bidi="ar-SA"/>
    </w:rPr>
  </w:style>
  <w:style w:type="character" w:customStyle="1" w:styleId="26">
    <w:name w:val="Header Char"/>
    <w:basedOn w:val="19"/>
    <w:semiHidden/>
    <w:qFormat/>
    <w:uiPriority w:val="99"/>
    <w:rPr>
      <w:rFonts w:ascii="Times New Roman" w:hAnsi="Times New Roman"/>
      <w:sz w:val="18"/>
      <w:szCs w:val="18"/>
    </w:rPr>
  </w:style>
  <w:style w:type="character" w:customStyle="1" w:styleId="27">
    <w:name w:val="页眉 Char"/>
    <w:link w:val="12"/>
    <w:semiHidden/>
    <w:qFormat/>
    <w:locked/>
    <w:uiPriority w:val="99"/>
    <w:rPr>
      <w:sz w:val="18"/>
    </w:rPr>
  </w:style>
  <w:style w:type="character" w:customStyle="1" w:styleId="28">
    <w:name w:val="Footer Char"/>
    <w:basedOn w:val="19"/>
    <w:semiHidden/>
    <w:qFormat/>
    <w:uiPriority w:val="99"/>
    <w:rPr>
      <w:rFonts w:ascii="Times New Roman" w:hAnsi="Times New Roman"/>
      <w:sz w:val="18"/>
      <w:szCs w:val="18"/>
    </w:rPr>
  </w:style>
  <w:style w:type="character" w:customStyle="1" w:styleId="29">
    <w:name w:val="页脚 Char"/>
    <w:link w:val="11"/>
    <w:qFormat/>
    <w:locked/>
    <w:uiPriority w:val="99"/>
    <w:rPr>
      <w:sz w:val="18"/>
    </w:rPr>
  </w:style>
  <w:style w:type="character" w:customStyle="1" w:styleId="30">
    <w:name w:val="Body Text Char"/>
    <w:basedOn w:val="19"/>
    <w:semiHidden/>
    <w:qFormat/>
    <w:uiPriority w:val="99"/>
    <w:rPr>
      <w:rFonts w:ascii="Times New Roman" w:hAnsi="Times New Roman"/>
      <w:szCs w:val="24"/>
    </w:rPr>
  </w:style>
  <w:style w:type="character" w:customStyle="1" w:styleId="31">
    <w:name w:val="正文文本 Char"/>
    <w:link w:val="7"/>
    <w:qFormat/>
    <w:locked/>
    <w:uiPriority w:val="99"/>
    <w:rPr>
      <w:rFonts w:ascii="仿宋_GB2312" w:hAnsi="Times New Roman" w:eastAsia="仿宋_GB2312"/>
      <w:sz w:val="24"/>
    </w:rPr>
  </w:style>
  <w:style w:type="paragraph" w:customStyle="1" w:styleId="3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3">
    <w:name w:val="List Paragraph"/>
    <w:basedOn w:val="1"/>
    <w:qFormat/>
    <w:uiPriority w:val="34"/>
    <w:pPr>
      <w:ind w:firstLine="420" w:firstLineChars="200"/>
    </w:pPr>
  </w:style>
  <w:style w:type="paragraph" w:customStyle="1" w:styleId="34">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5">
    <w:name w:val="批注框文本 Char"/>
    <w:basedOn w:val="19"/>
    <w:link w:val="10"/>
    <w:semiHidden/>
    <w:qFormat/>
    <w:uiPriority w:val="99"/>
    <w:rPr>
      <w:rFonts w:ascii="Times New Roman" w:hAnsi="Times New Roman"/>
      <w:kern w:val="2"/>
      <w:sz w:val="18"/>
      <w:szCs w:val="18"/>
    </w:rPr>
  </w:style>
  <w:style w:type="paragraph" w:customStyle="1" w:styleId="36">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7">
    <w:name w:val="四号正文"/>
    <w:basedOn w:val="1"/>
    <w:qFormat/>
    <w:uiPriority w:val="0"/>
    <w:pPr>
      <w:spacing w:line="360" w:lineRule="auto"/>
    </w:pPr>
    <w:rPr>
      <w:rFonts w:ascii="??" w:hAnsi="??" w:eastAsia="宋体"/>
      <w:color w:val="000000"/>
      <w:kern w:val="0"/>
      <w:sz w:val="28"/>
      <w:szCs w:val="21"/>
      <w:lang w:val="zh-CN" w:eastAsia="zh-CN"/>
    </w:rPr>
  </w:style>
  <w:style w:type="paragraph" w:customStyle="1" w:styleId="38">
    <w:name w:val="样式 行距: 固定值 28.9 磅"/>
    <w:basedOn w:val="1"/>
    <w:qFormat/>
    <w:uiPriority w:val="0"/>
    <w:pPr>
      <w:spacing w:line="578" w:lineRule="exact"/>
    </w:pPr>
    <w:rPr>
      <w:rFonts w:cs="宋体"/>
      <w:szCs w:val="20"/>
    </w:rPr>
  </w:style>
  <w:style w:type="character" w:customStyle="1" w:styleId="39">
    <w:name w:val="font21"/>
    <w:basedOn w:val="19"/>
    <w:qFormat/>
    <w:uiPriority w:val="0"/>
    <w:rPr>
      <w:rFonts w:hint="eastAsia" w:ascii="宋体" w:hAnsi="宋体" w:eastAsia="宋体" w:cs="宋体"/>
      <w:color w:val="000000"/>
      <w:sz w:val="18"/>
      <w:szCs w:val="18"/>
      <w:u w:val="none"/>
    </w:rPr>
  </w:style>
  <w:style w:type="character" w:customStyle="1" w:styleId="40">
    <w:name w:val="font41"/>
    <w:basedOn w:val="19"/>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7.xml"/><Relationship Id="rId14" Type="http://schemas.openxmlformats.org/officeDocument/2006/relationships/chart" Target="charts/chart6.xml"/><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D:\&#38889;&#21191;&#20197;&#21069;&#36164;&#26009;\Desktop\2022&#24180;&#20915;&#31639;&#22270;&#34920;.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D:\&#38889;&#21191;&#20197;&#21069;&#36164;&#26009;\Desktop\2022&#24180;&#20915;&#31639;&#22270;&#34920;.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D:\&#38889;&#21191;&#20197;&#21069;&#36164;&#26009;\Desktop\2022&#24180;&#20915;&#31639;&#22270;&#34920;.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D:\&#38889;&#21191;&#20197;&#21069;&#36164;&#26009;\Desktop\2022&#24180;&#20915;&#31639;&#22270;&#34920;.xls"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D:\&#38889;&#21191;&#20197;&#21069;&#36164;&#26009;\Desktop\2022&#24180;&#20915;&#31639;&#22270;&#34920;.xls"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D:\&#38889;&#21191;&#20197;&#21069;&#36164;&#26009;\Desktop\2022&#24180;&#20915;&#31639;&#22270;&#34920;.xls"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D:\&#38889;&#21191;&#20197;&#21069;&#36164;&#26009;\Desktop\2022&#24180;&#20915;&#31639;&#22270;&#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1" i="0" u="none" strike="noStrike" kern="1200" baseline="0">
                <a:solidFill>
                  <a:schemeClr val="dk1">
                    <a:lumMod val="75000"/>
                    <a:lumOff val="25000"/>
                  </a:schemeClr>
                </a:solidFill>
                <a:latin typeface="+mn-lt"/>
                <a:ea typeface="+mn-ea"/>
                <a:cs typeface="+mn-cs"/>
              </a:defRPr>
            </a:pPr>
            <a:r>
              <a:t>收、支决算总计变动情况图</a:t>
            </a:r>
          </a:p>
        </c:rich>
      </c:tx>
      <c:layout/>
      <c:overlay val="false"/>
      <c:spPr>
        <a:noFill/>
        <a:ln>
          <a:noFill/>
        </a:ln>
        <a:effectLst/>
      </c:spPr>
    </c:title>
    <c:autoTitleDeleted val="false"/>
    <c:plotArea>
      <c:layout/>
      <c:barChart>
        <c:barDir val="col"/>
        <c:grouping val="clustered"/>
        <c:varyColors val="false"/>
        <c:ser>
          <c:idx val="0"/>
          <c:order val="0"/>
          <c:spPr>
            <a:solidFill>
              <a:schemeClr val="accent1"/>
            </a:solidFill>
            <a:ln>
              <a:noFill/>
            </a:ln>
            <a:effectLst/>
          </c:spPr>
          <c:invertIfNegative val="false"/>
          <c:dLbls>
            <c:delete val="true"/>
          </c:dLbls>
          <c:cat>
            <c:strRef>
              <c:f>[2022年决算图表.xls]Sheet1!$A$1:$A$2</c:f>
              <c:strCache>
                <c:ptCount val="2"/>
                <c:pt idx="0">
                  <c:v>2021年</c:v>
                </c:pt>
                <c:pt idx="1">
                  <c:v>2022年</c:v>
                </c:pt>
              </c:strCache>
            </c:strRef>
          </c:cat>
          <c:val>
            <c:numRef>
              <c:f>[2022年决算图表.xls]Sheet1!$B$1:$B$2</c:f>
              <c:numCache>
                <c:formatCode>General</c:formatCode>
                <c:ptCount val="2"/>
                <c:pt idx="0">
                  <c:v>1815.63</c:v>
                </c:pt>
                <c:pt idx="1">
                  <c:v>1588.71</c:v>
                </c:pt>
              </c:numCache>
            </c:numRef>
          </c:val>
        </c:ser>
        <c:dLbls>
          <c:showLegendKey val="false"/>
          <c:showVal val="false"/>
          <c:showCatName val="false"/>
          <c:showSerName val="false"/>
          <c:showPercent val="false"/>
          <c:showBubbleSize val="false"/>
        </c:dLbls>
        <c:gapWidth val="246"/>
        <c:overlap val="-28"/>
        <c:axId val="535574783"/>
        <c:axId val="860130199"/>
      </c:barChart>
      <c:catAx>
        <c:axId val="535574783"/>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860130199"/>
        <c:crosses val="autoZero"/>
        <c:auto val="true"/>
        <c:lblAlgn val="ctr"/>
        <c:lblOffset val="100"/>
        <c:noMultiLvlLbl val="false"/>
      </c:catAx>
      <c:valAx>
        <c:axId val="860130199"/>
        <c:scaling>
          <c:orientation val="minMax"/>
        </c:scaling>
        <c:delete val="false"/>
        <c:axPos val="l"/>
        <c:majorGridlines>
          <c:spPr>
            <a:ln w="9525" cap="flat" cmpd="sng" algn="ctr">
              <a:solidFill>
                <a:schemeClr val="bg1">
                  <a:lumMod val="902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535574783"/>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1" i="0" u="none" strike="noStrike" kern="1200" baseline="0">
                <a:solidFill>
                  <a:schemeClr val="dk1">
                    <a:lumMod val="75000"/>
                    <a:lumOff val="25000"/>
                  </a:schemeClr>
                </a:solidFill>
                <a:latin typeface="+mn-lt"/>
                <a:ea typeface="+mn-ea"/>
                <a:cs typeface="+mn-cs"/>
              </a:defRPr>
            </a:pPr>
            <a:r>
              <a:t>收入决算结构图</a:t>
            </a:r>
          </a:p>
        </c:rich>
      </c:tx>
      <c:layout/>
      <c:overlay val="false"/>
      <c:spPr>
        <a:noFill/>
        <a:ln>
          <a:noFill/>
        </a:ln>
        <a:effectLst/>
      </c:spPr>
    </c:title>
    <c:autoTitleDeleted val="false"/>
    <c:plotArea>
      <c:layout/>
      <c:pieChart>
        <c:varyColors val="true"/>
        <c:ser>
          <c:idx val="0"/>
          <c:order val="0"/>
          <c:spPr/>
          <c:explosion val="0"/>
          <c:dPt>
            <c:idx val="0"/>
            <c:bubble3D val="false"/>
            <c:spPr>
              <a:solidFill>
                <a:schemeClr val="accent1"/>
              </a:solidFill>
              <a:ln>
                <a:solidFill>
                  <a:schemeClr val="bg1"/>
                </a:solidFill>
              </a:ln>
              <a:effectLst/>
            </c:spPr>
          </c:dPt>
          <c:dPt>
            <c:idx val="1"/>
            <c:bubble3D val="false"/>
            <c:spPr>
              <a:solidFill>
                <a:schemeClr val="accent2"/>
              </a:solidFill>
              <a:ln>
                <a:solidFill>
                  <a:schemeClr val="bg1"/>
                </a:solidFill>
              </a:ln>
              <a:effectLst/>
            </c:spPr>
          </c:dPt>
          <c:dLbls>
            <c:delete val="true"/>
          </c:dLbls>
          <c:cat>
            <c:strRef>
              <c:f>[2022年决算图表.xls]Sheet1!$A$19:$A$20</c:f>
              <c:strCache>
                <c:ptCount val="2"/>
                <c:pt idx="0">
                  <c:v>一般公共预算财政收入</c:v>
                </c:pt>
                <c:pt idx="1">
                  <c:v>其他收入</c:v>
                </c:pt>
              </c:strCache>
            </c:strRef>
          </c:cat>
          <c:val>
            <c:numRef>
              <c:f>[2022年决算图表.xls]Sheet1!$B$19:$B$20</c:f>
              <c:numCache>
                <c:formatCode>General</c:formatCode>
                <c:ptCount val="2"/>
                <c:pt idx="0">
                  <c:v>1756.11</c:v>
                </c:pt>
                <c:pt idx="1">
                  <c:v>1</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1" i="0" u="none" strike="noStrike" kern="1200" baseline="0">
                <a:solidFill>
                  <a:schemeClr val="dk1">
                    <a:lumMod val="75000"/>
                    <a:lumOff val="25000"/>
                  </a:schemeClr>
                </a:solidFill>
                <a:latin typeface="+mn-lt"/>
                <a:ea typeface="+mn-ea"/>
                <a:cs typeface="+mn-cs"/>
              </a:defRPr>
            </a:pPr>
            <a:r>
              <a:t>支出决算结构图</a:t>
            </a:r>
          </a:p>
        </c:rich>
      </c:tx>
      <c:layout>
        <c:manualLayout>
          <c:xMode val="edge"/>
          <c:yMode val="edge"/>
          <c:x val="0.345187999557485"/>
          <c:y val="0.0318877108321152"/>
        </c:manualLayout>
      </c:layout>
      <c:overlay val="false"/>
      <c:spPr>
        <a:noFill/>
        <a:ln>
          <a:noFill/>
        </a:ln>
        <a:effectLst/>
      </c:spPr>
    </c:title>
    <c:autoTitleDeleted val="false"/>
    <c:plotArea>
      <c:layout/>
      <c:pieChart>
        <c:varyColors val="true"/>
        <c:ser>
          <c:idx val="0"/>
          <c:order val="0"/>
          <c:spPr/>
          <c:explosion val="0"/>
          <c:dPt>
            <c:idx val="0"/>
            <c:bubble3D val="false"/>
            <c:spPr>
              <a:solidFill>
                <a:schemeClr val="accent1"/>
              </a:solidFill>
              <a:ln>
                <a:solidFill>
                  <a:schemeClr val="bg1"/>
                </a:solidFill>
              </a:ln>
              <a:effectLst/>
            </c:spPr>
          </c:dPt>
          <c:dPt>
            <c:idx val="1"/>
            <c:bubble3D val="false"/>
            <c:spPr>
              <a:solidFill>
                <a:schemeClr val="accent2"/>
              </a:solidFill>
              <a:ln>
                <a:solidFill>
                  <a:schemeClr val="bg1"/>
                </a:solidFill>
              </a:ln>
              <a:effectLst/>
            </c:spPr>
          </c:dPt>
          <c:dLbls>
            <c:delete val="true"/>
          </c:dLbls>
          <c:cat>
            <c:strRef>
              <c:f>[2022年决算图表.xls]Sheet1!$A$35:$A$36</c:f>
              <c:strCache>
                <c:ptCount val="2"/>
                <c:pt idx="0">
                  <c:v>基本支出</c:v>
                </c:pt>
                <c:pt idx="1">
                  <c:v>项目支出</c:v>
                </c:pt>
              </c:strCache>
            </c:strRef>
          </c:cat>
          <c:val>
            <c:numRef>
              <c:f>[2022年决算图表.xls]Sheet1!$B$35:$B$36</c:f>
              <c:numCache>
                <c:formatCode>General</c:formatCode>
                <c:ptCount val="2"/>
                <c:pt idx="0">
                  <c:v>977.81</c:v>
                </c:pt>
                <c:pt idx="1">
                  <c:v>548.98</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t"/>
      <c:layout>
        <c:manualLayout>
          <c:xMode val="edge"/>
          <c:yMode val="edge"/>
          <c:x val="0.370365409004439"/>
          <c:y val="0.196029553457555"/>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1" i="0" u="none" strike="noStrike" kern="1200" baseline="0">
                <a:solidFill>
                  <a:schemeClr val="dk1">
                    <a:lumMod val="75000"/>
                    <a:lumOff val="25000"/>
                  </a:schemeClr>
                </a:solidFill>
                <a:latin typeface="+mn-lt"/>
                <a:ea typeface="+mn-ea"/>
                <a:cs typeface="+mn-cs"/>
              </a:defRPr>
            </a:pPr>
            <a:r>
              <a:t>收、支决算总计变动情况图</a:t>
            </a:r>
          </a:p>
        </c:rich>
      </c:tx>
      <c:layout/>
      <c:overlay val="false"/>
      <c:spPr>
        <a:noFill/>
        <a:ln>
          <a:noFill/>
        </a:ln>
        <a:effectLst/>
      </c:spPr>
    </c:title>
    <c:autoTitleDeleted val="false"/>
    <c:plotArea>
      <c:layout/>
      <c:barChart>
        <c:barDir val="col"/>
        <c:grouping val="clustered"/>
        <c:varyColors val="false"/>
        <c:ser>
          <c:idx val="0"/>
          <c:order val="0"/>
          <c:spPr>
            <a:solidFill>
              <a:schemeClr val="accent1"/>
            </a:solidFill>
            <a:ln>
              <a:noFill/>
            </a:ln>
            <a:effectLst/>
          </c:spPr>
          <c:invertIfNegative val="false"/>
          <c:dLbls>
            <c:delete val="true"/>
          </c:dLbls>
          <c:cat>
            <c:strRef>
              <c:f>[2022年决算图表.xls]Sheet1!$A$1:$A$2</c:f>
              <c:strCache>
                <c:ptCount val="2"/>
                <c:pt idx="0">
                  <c:v>2021年</c:v>
                </c:pt>
                <c:pt idx="1">
                  <c:v>2022年</c:v>
                </c:pt>
              </c:strCache>
            </c:strRef>
          </c:cat>
          <c:val>
            <c:numRef>
              <c:f>[2022年决算图表.xls]Sheet1!$B$1:$B$2</c:f>
              <c:numCache>
                <c:formatCode>General</c:formatCode>
                <c:ptCount val="2"/>
                <c:pt idx="0">
                  <c:v>1815.63</c:v>
                </c:pt>
                <c:pt idx="1">
                  <c:v>1588.71</c:v>
                </c:pt>
              </c:numCache>
            </c:numRef>
          </c:val>
        </c:ser>
        <c:dLbls>
          <c:showLegendKey val="false"/>
          <c:showVal val="false"/>
          <c:showCatName val="false"/>
          <c:showSerName val="false"/>
          <c:showPercent val="false"/>
          <c:showBubbleSize val="false"/>
        </c:dLbls>
        <c:gapWidth val="246"/>
        <c:overlap val="-28"/>
        <c:axId val="535574783"/>
        <c:axId val="860130199"/>
      </c:barChart>
      <c:catAx>
        <c:axId val="535574783"/>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860130199"/>
        <c:crosses val="autoZero"/>
        <c:auto val="true"/>
        <c:lblAlgn val="ctr"/>
        <c:lblOffset val="100"/>
        <c:noMultiLvlLbl val="false"/>
      </c:catAx>
      <c:valAx>
        <c:axId val="860130199"/>
        <c:scaling>
          <c:orientation val="minMax"/>
        </c:scaling>
        <c:delete val="false"/>
        <c:axPos val="l"/>
        <c:majorGridlines>
          <c:spPr>
            <a:ln w="9525" cap="flat" cmpd="sng" algn="ctr">
              <a:solidFill>
                <a:schemeClr val="bg1">
                  <a:lumMod val="902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535574783"/>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1" i="0" u="none" strike="noStrike" kern="1200" baseline="0">
                <a:solidFill>
                  <a:schemeClr val="dk1">
                    <a:lumMod val="75000"/>
                    <a:lumOff val="25000"/>
                  </a:schemeClr>
                </a:solidFill>
                <a:latin typeface="+mn-lt"/>
                <a:ea typeface="+mn-ea"/>
                <a:cs typeface="+mn-cs"/>
              </a:defRPr>
            </a:pPr>
            <a:r>
              <a:t>一般公共预算财政拨款支出决算变动情况</a:t>
            </a:r>
          </a:p>
        </c:rich>
      </c:tx>
      <c:layout/>
      <c:overlay val="false"/>
      <c:spPr>
        <a:noFill/>
        <a:ln>
          <a:noFill/>
        </a:ln>
        <a:effectLst/>
      </c:spPr>
    </c:title>
    <c:autoTitleDeleted val="false"/>
    <c:plotArea>
      <c:layout/>
      <c:barChart>
        <c:barDir val="col"/>
        <c:grouping val="clustered"/>
        <c:varyColors val="false"/>
        <c:ser>
          <c:idx val="0"/>
          <c:order val="0"/>
          <c:spPr>
            <a:solidFill>
              <a:schemeClr val="accent1"/>
            </a:solidFill>
            <a:ln>
              <a:noFill/>
            </a:ln>
            <a:effectLst/>
          </c:spPr>
          <c:invertIfNegative val="false"/>
          <c:dLbls>
            <c:delete val="true"/>
          </c:dLbls>
          <c:cat>
            <c:strRef>
              <c:f>[2022年决算图表.xls]Sheet1!$A$56:$A$57</c:f>
              <c:strCache>
                <c:ptCount val="2"/>
                <c:pt idx="0">
                  <c:v>2021年</c:v>
                </c:pt>
                <c:pt idx="1">
                  <c:v>2022年</c:v>
                </c:pt>
              </c:strCache>
            </c:strRef>
          </c:cat>
          <c:val>
            <c:numRef>
              <c:f>[2022年决算图表.xls]Sheet1!$B$56:$B$57</c:f>
              <c:numCache>
                <c:formatCode>General</c:formatCode>
                <c:ptCount val="2"/>
                <c:pt idx="0">
                  <c:v>1758</c:v>
                </c:pt>
                <c:pt idx="1">
                  <c:v>1526.78</c:v>
                </c:pt>
              </c:numCache>
            </c:numRef>
          </c:val>
        </c:ser>
        <c:dLbls>
          <c:showLegendKey val="false"/>
          <c:showVal val="false"/>
          <c:showCatName val="false"/>
          <c:showSerName val="false"/>
          <c:showPercent val="false"/>
          <c:showBubbleSize val="false"/>
        </c:dLbls>
        <c:gapWidth val="246"/>
        <c:overlap val="-28"/>
        <c:axId val="990421015"/>
        <c:axId val="17353094"/>
      </c:barChart>
      <c:catAx>
        <c:axId val="990421015"/>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7353094"/>
        <c:crosses val="autoZero"/>
        <c:auto val="true"/>
        <c:lblAlgn val="ctr"/>
        <c:lblOffset val="100"/>
        <c:noMultiLvlLbl val="false"/>
      </c:catAx>
      <c:valAx>
        <c:axId val="17353094"/>
        <c:scaling>
          <c:orientation val="minMax"/>
        </c:scaling>
        <c:delete val="false"/>
        <c:axPos val="l"/>
        <c:majorGridlines>
          <c:spPr>
            <a:ln w="9525" cap="flat" cmpd="sng" algn="ctr">
              <a:solidFill>
                <a:schemeClr val="bg1">
                  <a:lumMod val="902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990421015"/>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1" i="0" u="none" strike="noStrike" kern="1200" baseline="0">
                <a:solidFill>
                  <a:schemeClr val="dk1">
                    <a:lumMod val="75000"/>
                    <a:lumOff val="25000"/>
                  </a:schemeClr>
                </a:solidFill>
                <a:latin typeface="+mn-lt"/>
                <a:ea typeface="+mn-ea"/>
                <a:cs typeface="+mn-cs"/>
              </a:defRPr>
            </a:pPr>
            <a:r>
              <a:t>一般公共预算财政拨款支出决算结构</a:t>
            </a:r>
          </a:p>
        </c:rich>
      </c:tx>
      <c:layout/>
      <c:overlay val="false"/>
      <c:spPr>
        <a:noFill/>
        <a:ln>
          <a:noFill/>
        </a:ln>
        <a:effectLst/>
      </c:spPr>
    </c:title>
    <c:autoTitleDeleted val="false"/>
    <c:plotArea>
      <c:layout/>
      <c:pieChart>
        <c:varyColors val="true"/>
        <c:ser>
          <c:idx val="0"/>
          <c:order val="0"/>
          <c:spPr/>
          <c:explosion val="0"/>
          <c:dPt>
            <c:idx val="0"/>
            <c:bubble3D val="false"/>
            <c:spPr>
              <a:solidFill>
                <a:schemeClr val="accent1"/>
              </a:solidFill>
              <a:ln>
                <a:solidFill>
                  <a:schemeClr val="bg1"/>
                </a:solidFill>
              </a:ln>
              <a:effectLst/>
            </c:spPr>
          </c:dPt>
          <c:dPt>
            <c:idx val="1"/>
            <c:bubble3D val="false"/>
            <c:spPr>
              <a:solidFill>
                <a:schemeClr val="accent2"/>
              </a:solidFill>
              <a:ln>
                <a:solidFill>
                  <a:schemeClr val="bg1"/>
                </a:solidFill>
              </a:ln>
              <a:effectLst/>
            </c:spPr>
          </c:dPt>
          <c:dPt>
            <c:idx val="2"/>
            <c:bubble3D val="false"/>
            <c:spPr>
              <a:solidFill>
                <a:schemeClr val="accent3"/>
              </a:solidFill>
              <a:ln>
                <a:solidFill>
                  <a:schemeClr val="bg1"/>
                </a:solidFill>
              </a:ln>
              <a:effectLst/>
            </c:spPr>
          </c:dPt>
          <c:dPt>
            <c:idx val="3"/>
            <c:bubble3D val="false"/>
            <c:spPr>
              <a:solidFill>
                <a:schemeClr val="accent4"/>
              </a:solidFill>
              <a:ln>
                <a:solidFill>
                  <a:schemeClr val="bg1"/>
                </a:solidFill>
              </a:ln>
              <a:effectLst/>
            </c:spPr>
          </c:dPt>
          <c:dLbls>
            <c:delete val="true"/>
          </c:dLbls>
          <c:cat>
            <c:strRef>
              <c:f>[2022年决算图表.xls]Sheet1!$L$1:$L$4</c:f>
              <c:strCache>
                <c:ptCount val="4"/>
                <c:pt idx="0">
                  <c:v>一般公共服务</c:v>
                </c:pt>
                <c:pt idx="1">
                  <c:v>社会保障和就业</c:v>
                </c:pt>
                <c:pt idx="2">
                  <c:v>卫生健康</c:v>
                </c:pt>
                <c:pt idx="3">
                  <c:v>住房保障</c:v>
                </c:pt>
              </c:strCache>
            </c:strRef>
          </c:cat>
          <c:val>
            <c:numRef>
              <c:f>[2022年决算图表.xls]Sheet1!$M$1:$M$4</c:f>
              <c:numCache>
                <c:formatCode>General</c:formatCode>
                <c:ptCount val="4"/>
                <c:pt idx="0">
                  <c:v>1353.7</c:v>
                </c:pt>
                <c:pt idx="1">
                  <c:v>87.84</c:v>
                </c:pt>
                <c:pt idx="2">
                  <c:v>22.52</c:v>
                </c:pt>
                <c:pt idx="3">
                  <c:v>62.72</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t"/>
      <c:layout>
        <c:manualLayout>
          <c:xMode val="edge"/>
          <c:yMode val="edge"/>
          <c:x val="0.193486842105263"/>
          <c:y val="0.169166666666667"/>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1" i="0" u="none" strike="noStrike" kern="1200" baseline="0">
                <a:solidFill>
                  <a:schemeClr val="dk1">
                    <a:lumMod val="75000"/>
                    <a:lumOff val="25000"/>
                  </a:schemeClr>
                </a:solidFill>
                <a:latin typeface="+mn-lt"/>
                <a:ea typeface="+mn-ea"/>
                <a:cs typeface="+mn-cs"/>
              </a:defRPr>
            </a:pPr>
            <a:r>
              <a:t>“三公”经费财政拨款支出结构</a:t>
            </a:r>
          </a:p>
        </c:rich>
      </c:tx>
      <c:layout/>
      <c:overlay val="false"/>
      <c:spPr>
        <a:noFill/>
        <a:ln>
          <a:noFill/>
        </a:ln>
        <a:effectLst/>
      </c:spPr>
    </c:title>
    <c:autoTitleDeleted val="false"/>
    <c:plotArea>
      <c:layout/>
      <c:pieChart>
        <c:varyColors val="true"/>
        <c:ser>
          <c:idx val="0"/>
          <c:order val="0"/>
          <c:spPr/>
          <c:explosion val="0"/>
          <c:dPt>
            <c:idx val="0"/>
            <c:bubble3D val="false"/>
            <c:spPr>
              <a:solidFill>
                <a:schemeClr val="accent1"/>
              </a:solidFill>
              <a:ln>
                <a:solidFill>
                  <a:schemeClr val="bg1"/>
                </a:solidFill>
              </a:ln>
              <a:effectLst/>
            </c:spPr>
          </c:dPt>
          <c:dPt>
            <c:idx val="1"/>
            <c:bubble3D val="false"/>
            <c:spPr>
              <a:solidFill>
                <a:schemeClr val="accent2"/>
              </a:solidFill>
              <a:ln>
                <a:solidFill>
                  <a:schemeClr val="bg1"/>
                </a:solidFill>
              </a:ln>
              <a:effectLst/>
            </c:spPr>
          </c:dPt>
          <c:dPt>
            <c:idx val="2"/>
            <c:bubble3D val="false"/>
            <c:spPr>
              <a:solidFill>
                <a:schemeClr val="accent3"/>
              </a:solidFill>
              <a:ln>
                <a:solidFill>
                  <a:schemeClr val="bg1"/>
                </a:solidFill>
              </a:ln>
              <a:effectLst/>
            </c:spPr>
          </c:dPt>
          <c:dLbls>
            <c:delete val="true"/>
          </c:dLbls>
          <c:cat>
            <c:strRef>
              <c:f>[2022年决算图表.xls]Sheet1!$L$20:$L$22</c:f>
              <c:strCache>
                <c:ptCount val="3"/>
                <c:pt idx="0">
                  <c:v>因公出国（境）</c:v>
                </c:pt>
                <c:pt idx="1">
                  <c:v>公务用车购置及维修</c:v>
                </c:pt>
                <c:pt idx="2">
                  <c:v>公务接待</c:v>
                </c:pt>
              </c:strCache>
            </c:strRef>
          </c:cat>
          <c:val>
            <c:numRef>
              <c:f>[2022年决算图表.xls]Sheet1!$M$20:$M$22</c:f>
              <c:numCache>
                <c:formatCode>General</c:formatCode>
                <c:ptCount val="3"/>
                <c:pt idx="0">
                  <c:v>0</c:v>
                </c:pt>
                <c:pt idx="1">
                  <c:v>2.94</c:v>
                </c:pt>
                <c:pt idx="2">
                  <c:v>0.24</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true">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true">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true">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true">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true">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true">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true">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56</Pages>
  <Words>21803</Words>
  <Characters>23360</Characters>
  <Lines>61</Lines>
  <Paragraphs>17</Paragraphs>
  <TotalTime>29</TotalTime>
  <ScaleCrop>false</ScaleCrop>
  <LinksUpToDate>false</LinksUpToDate>
  <CharactersWithSpaces>23569</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uos</cp:lastModifiedBy>
  <cp:lastPrinted>2023-09-28T09:32:00Z</cp:lastPrinted>
  <dcterms:modified xsi:type="dcterms:W3CDTF">2023-10-07T10:45:10Z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F5DAAF16632D4D65A77DACC0E0D11412_13</vt:lpwstr>
  </property>
</Properties>
</file>