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黑体_GBK"/>
          <w:color w:val="auto"/>
          <w:sz w:val="32"/>
          <w:szCs w:val="32"/>
        </w:rPr>
      </w:pPr>
      <w:r>
        <w:rPr>
          <w:rFonts w:hint="eastAsia" w:ascii="黑体" w:eastAsia="黑体" w:cs="黑体"/>
          <w:color w:val="auto"/>
          <w:sz w:val="32"/>
          <w:szCs w:val="32"/>
          <w:lang w:bidi="ar-SA"/>
        </w:rPr>
        <w:t>附件1</w:t>
      </w:r>
    </w:p>
    <w:p>
      <w:pPr>
        <w:spacing w:line="700" w:lineRule="exact"/>
        <w:jc w:val="center"/>
        <w:rPr>
          <w:rFonts w:eastAsia="方正小标宋简体"/>
          <w:color w:val="auto"/>
          <w:sz w:val="36"/>
          <w:szCs w:val="36"/>
        </w:rPr>
      </w:pPr>
    </w:p>
    <w:p>
      <w:pPr>
        <w:spacing w:line="700" w:lineRule="exact"/>
        <w:jc w:val="center"/>
        <w:rPr>
          <w:rFonts w:eastAsia="方正小标宋简体"/>
          <w:color w:val="auto"/>
          <w:sz w:val="44"/>
          <w:szCs w:val="44"/>
        </w:rPr>
      </w:pPr>
      <w:r>
        <w:rPr>
          <w:rFonts w:hint="eastAsia" w:ascii="方正小标宋简体" w:eastAsia="方正小标宋简体" w:cs="方正小标宋简体"/>
          <w:color w:val="auto"/>
          <w:sz w:val="44"/>
          <w:szCs w:val="44"/>
          <w:lang w:bidi="ar-SA"/>
        </w:rPr>
        <w:t>202</w:t>
      </w:r>
      <w:r>
        <w:rPr>
          <w:rFonts w:hint="eastAsia" w:ascii="方正小标宋简体" w:eastAsia="方正小标宋简体" w:cs="方正小标宋简体"/>
          <w:color w:val="auto"/>
          <w:sz w:val="44"/>
          <w:szCs w:val="44"/>
          <w:lang w:val="en-US" w:eastAsia="zh-CN" w:bidi="ar-SA"/>
        </w:rPr>
        <w:t>4</w:t>
      </w:r>
      <w:r>
        <w:rPr>
          <w:rFonts w:eastAsia="方正小标宋简体"/>
          <w:color w:val="auto"/>
          <w:sz w:val="44"/>
          <w:szCs w:val="44"/>
        </w:rPr>
        <w:t>年</w:t>
      </w:r>
      <w:r>
        <w:rPr>
          <w:rFonts w:hint="eastAsia" w:eastAsia="方正小标宋简体"/>
          <w:color w:val="auto"/>
          <w:sz w:val="44"/>
          <w:szCs w:val="44"/>
          <w:lang w:eastAsia="zh-CN"/>
        </w:rPr>
        <w:t>广元市</w:t>
      </w:r>
      <w:r>
        <w:rPr>
          <w:rFonts w:eastAsia="方正小标宋简体"/>
          <w:color w:val="auto"/>
          <w:sz w:val="44"/>
          <w:szCs w:val="44"/>
        </w:rPr>
        <w:t>外商投资信息报告监督检查</w:t>
      </w:r>
    </w:p>
    <w:p>
      <w:pPr>
        <w:spacing w:line="700" w:lineRule="exact"/>
        <w:jc w:val="center"/>
        <w:rPr>
          <w:rFonts w:eastAsia="仿宋_GB2312"/>
          <w:color w:val="auto"/>
          <w:sz w:val="44"/>
          <w:szCs w:val="44"/>
        </w:rPr>
      </w:pPr>
      <w:r>
        <w:rPr>
          <w:rFonts w:eastAsia="方正小标宋简体"/>
          <w:color w:val="auto"/>
          <w:sz w:val="44"/>
          <w:szCs w:val="44"/>
        </w:rPr>
        <w:t>工</w:t>
      </w:r>
      <w:r>
        <w:rPr>
          <w:rFonts w:hint="eastAsia" w:eastAsia="方正小标宋简体"/>
          <w:color w:val="auto"/>
          <w:sz w:val="44"/>
          <w:szCs w:val="44"/>
          <w:lang w:val="en-US" w:eastAsia="zh-CN"/>
        </w:rPr>
        <w:t xml:space="preserve"> </w:t>
      </w:r>
      <w:r>
        <w:rPr>
          <w:rFonts w:eastAsia="方正小标宋简体"/>
          <w:color w:val="auto"/>
          <w:sz w:val="44"/>
          <w:szCs w:val="44"/>
        </w:rPr>
        <w:t>作</w:t>
      </w:r>
      <w:r>
        <w:rPr>
          <w:rFonts w:hint="eastAsia" w:eastAsia="方正小标宋简体"/>
          <w:color w:val="auto"/>
          <w:sz w:val="44"/>
          <w:szCs w:val="44"/>
          <w:lang w:val="en-US" w:eastAsia="zh-CN"/>
        </w:rPr>
        <w:t xml:space="preserve"> </w:t>
      </w:r>
      <w:r>
        <w:rPr>
          <w:rFonts w:eastAsia="方正小标宋简体"/>
          <w:color w:val="auto"/>
          <w:sz w:val="44"/>
          <w:szCs w:val="44"/>
        </w:rPr>
        <w:t>方</w:t>
      </w:r>
      <w:r>
        <w:rPr>
          <w:rFonts w:hint="eastAsia" w:eastAsia="方正小标宋简体"/>
          <w:color w:val="auto"/>
          <w:sz w:val="44"/>
          <w:szCs w:val="44"/>
          <w:lang w:val="en-US" w:eastAsia="zh-CN"/>
        </w:rPr>
        <w:t xml:space="preserve"> </w:t>
      </w:r>
      <w:r>
        <w:rPr>
          <w:rFonts w:eastAsia="方正小标宋简体"/>
          <w:color w:val="auto"/>
          <w:sz w:val="44"/>
          <w:szCs w:val="44"/>
        </w:rPr>
        <w:t>案</w:t>
      </w:r>
    </w:p>
    <w:p>
      <w:pPr>
        <w:spacing w:line="560" w:lineRule="exact"/>
        <w:ind w:firstLine="640" w:firstLineChars="200"/>
        <w:rPr>
          <w:rFonts w:ascii="Times New Roman" w:hAnsi="Times New Roman" w:eastAsia="方正仿宋_GBK"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val="en-US" w:eastAsia="zh-CN" w:bidi="ar-SA"/>
        </w:rPr>
      </w:pPr>
      <w:r>
        <w:rPr>
          <w:rFonts w:hint="eastAsia" w:ascii="宋体" w:hAnsi="宋体" w:eastAsia="仿宋_GB2312" w:cs="仿宋_GB2312"/>
          <w:color w:val="auto"/>
          <w:sz w:val="32"/>
          <w:szCs w:val="32"/>
          <w:lang w:val="en-US" w:eastAsia="zh-CN" w:bidi="ar-SA"/>
        </w:rPr>
        <w:t>根据《四川省经济合作局关于做好2024年外商投资信息报告监督检查工作的通知》（川经合发〔2024〕5号）</w:t>
      </w:r>
      <w:r>
        <w:rPr>
          <w:rFonts w:ascii="宋体" w:hAnsi="宋体" w:eastAsia="仿宋_GB2312" w:cs="仿宋_GB2312"/>
          <w:color w:val="auto"/>
          <w:sz w:val="32"/>
          <w:szCs w:val="32"/>
          <w:lang w:val="en-US" w:eastAsia="zh-CN" w:bidi="ar-SA"/>
        </w:rPr>
        <w:t>精神</w:t>
      </w:r>
      <w:r>
        <w:rPr>
          <w:rFonts w:hint="eastAsia" w:ascii="宋体" w:hAnsi="宋体" w:eastAsia="仿宋_GB2312" w:cs="仿宋_GB2312"/>
          <w:color w:val="auto"/>
          <w:sz w:val="32"/>
          <w:szCs w:val="32"/>
          <w:lang w:val="en-US" w:eastAsia="zh-CN" w:bidi="ar-SA"/>
        </w:rPr>
        <w:t>，结合我市实际，特制定本方案。</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bidi="ar-SA"/>
        </w:rPr>
      </w:pPr>
      <w:r>
        <w:rPr>
          <w:rFonts w:hint="eastAsia" w:ascii="黑体" w:eastAsia="黑体" w:cs="黑体"/>
          <w:color w:val="auto"/>
          <w:sz w:val="32"/>
          <w:szCs w:val="32"/>
          <w:lang w:bidi="ar-SA"/>
        </w:rPr>
        <w:t>一、监督检查机构及分工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eastAsia="zh-CN" w:bidi="ar-SA"/>
        </w:rPr>
        <w:t>市经济合作和外事局在</w:t>
      </w:r>
      <w:r>
        <w:rPr>
          <w:rFonts w:hint="eastAsia" w:ascii="宋体" w:hAnsi="宋体" w:eastAsia="仿宋_GB2312" w:cs="仿宋_GB2312"/>
          <w:color w:val="auto"/>
          <w:sz w:val="32"/>
          <w:szCs w:val="32"/>
          <w:lang w:bidi="ar-SA"/>
        </w:rPr>
        <w:t>省经济合作局</w:t>
      </w:r>
      <w:r>
        <w:rPr>
          <w:rFonts w:hint="eastAsia" w:ascii="宋体" w:hAnsi="宋体" w:eastAsia="仿宋_GB2312" w:cs="仿宋_GB2312"/>
          <w:color w:val="auto"/>
          <w:sz w:val="32"/>
          <w:szCs w:val="32"/>
          <w:lang w:eastAsia="zh-CN" w:bidi="ar-SA"/>
        </w:rPr>
        <w:t>指导下，</w:t>
      </w:r>
      <w:r>
        <w:rPr>
          <w:rFonts w:hint="eastAsia" w:ascii="宋体" w:hAnsi="宋体" w:eastAsia="仿宋_GB2312" w:cs="仿宋_GB2312"/>
          <w:color w:val="auto"/>
          <w:sz w:val="32"/>
          <w:szCs w:val="32"/>
          <w:lang w:bidi="ar-SA"/>
        </w:rPr>
        <w:t>负责统筹全</w:t>
      </w:r>
      <w:r>
        <w:rPr>
          <w:rFonts w:hint="eastAsia" w:ascii="宋体" w:hAnsi="宋体" w:eastAsia="仿宋_GB2312" w:cs="仿宋_GB2312"/>
          <w:color w:val="auto"/>
          <w:sz w:val="32"/>
          <w:szCs w:val="32"/>
          <w:lang w:eastAsia="zh-CN" w:bidi="ar-SA"/>
        </w:rPr>
        <w:t>市外商投资信息报告的</w:t>
      </w:r>
      <w:r>
        <w:rPr>
          <w:rFonts w:hint="eastAsia" w:ascii="宋体" w:hAnsi="宋体" w:eastAsia="仿宋_GB2312" w:cs="仿宋_GB2312"/>
          <w:color w:val="auto"/>
          <w:sz w:val="32"/>
          <w:szCs w:val="32"/>
          <w:lang w:bidi="ar-SA"/>
        </w:rPr>
        <w:t>监督检查工作，制定年度监督检查工作方案，对</w:t>
      </w:r>
      <w:r>
        <w:rPr>
          <w:rFonts w:hint="eastAsia" w:ascii="宋体" w:hAnsi="宋体" w:eastAsia="仿宋_GB2312" w:cs="仿宋_GB2312"/>
          <w:color w:val="auto"/>
          <w:sz w:val="32"/>
          <w:szCs w:val="32"/>
          <w:lang w:eastAsia="zh-CN" w:bidi="ar-SA"/>
        </w:rPr>
        <w:t>各县（区）、广元经济技术开发区外商投资信息报告监督</w:t>
      </w:r>
      <w:r>
        <w:rPr>
          <w:rFonts w:hint="eastAsia" w:ascii="宋体" w:hAnsi="宋体" w:eastAsia="仿宋_GB2312" w:cs="仿宋_GB2312"/>
          <w:color w:val="auto"/>
          <w:sz w:val="32"/>
          <w:szCs w:val="32"/>
          <w:lang w:bidi="ar-SA"/>
        </w:rPr>
        <w:t>检查工作进行</w:t>
      </w:r>
      <w:r>
        <w:rPr>
          <w:rFonts w:hint="eastAsia" w:ascii="宋体" w:hAnsi="宋体" w:eastAsia="仿宋_GB2312" w:cs="仿宋_GB2312"/>
          <w:color w:val="auto"/>
          <w:sz w:val="32"/>
          <w:szCs w:val="32"/>
          <w:lang w:eastAsia="zh-CN" w:bidi="ar-SA"/>
        </w:rPr>
        <w:t>指导和监督</w:t>
      </w:r>
      <w:r>
        <w:rPr>
          <w:rFonts w:hint="eastAsia" w:ascii="宋体" w:hAnsi="宋体" w:eastAsia="仿宋_GB2312" w:cs="仿宋_GB2312"/>
          <w:color w:val="auto"/>
          <w:sz w:val="32"/>
          <w:szCs w:val="32"/>
          <w:lang w:bidi="ar-SA"/>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eastAsia="zh-CN" w:bidi="ar-SA"/>
        </w:rPr>
      </w:pPr>
      <w:r>
        <w:rPr>
          <w:rFonts w:hint="eastAsia" w:ascii="宋体" w:hAnsi="宋体" w:eastAsia="仿宋_GB2312" w:cs="仿宋_GB2312"/>
          <w:color w:val="auto"/>
          <w:sz w:val="32"/>
          <w:szCs w:val="32"/>
          <w:lang w:bidi="ar-SA"/>
        </w:rPr>
        <w:t>各县（区）</w:t>
      </w:r>
      <w:r>
        <w:rPr>
          <w:rFonts w:hint="eastAsia" w:ascii="宋体" w:hAnsi="宋体" w:eastAsia="仿宋_GB2312" w:cs="仿宋_GB2312"/>
          <w:color w:val="auto"/>
          <w:sz w:val="32"/>
          <w:szCs w:val="32"/>
          <w:lang w:eastAsia="zh-CN" w:bidi="ar-SA"/>
        </w:rPr>
        <w:t>、广元经济技术开发区外资工作部门按照市经济合作和外事局要求，负责具体实施并统筹本地监督检查工作。</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上述机构以下简称为监督检查机构。</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bidi="ar-SA"/>
        </w:rPr>
      </w:pPr>
      <w:r>
        <w:rPr>
          <w:rFonts w:hint="eastAsia" w:ascii="黑体" w:eastAsia="黑体" w:cs="黑体"/>
          <w:color w:val="auto"/>
          <w:sz w:val="32"/>
          <w:szCs w:val="32"/>
          <w:lang w:bidi="ar-SA"/>
        </w:rPr>
        <w:t>二、监督检查内容及范围</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楷体_GB2312" w:eastAsia="楷体_GB2312" w:cs="楷体_GB2312"/>
          <w:color w:val="auto"/>
          <w:sz w:val="32"/>
          <w:szCs w:val="32"/>
          <w:lang w:val="en-US" w:eastAsia="zh-CN" w:bidi="ar-SA"/>
        </w:rPr>
        <w:t>（一）检查内容。</w:t>
      </w:r>
      <w:r>
        <w:rPr>
          <w:rFonts w:hint="eastAsia" w:ascii="宋体" w:hAnsi="宋体" w:eastAsia="仿宋_GB2312" w:cs="仿宋_GB2312"/>
          <w:color w:val="auto"/>
          <w:sz w:val="32"/>
          <w:szCs w:val="32"/>
          <w:lang w:bidi="ar-SA"/>
        </w:rPr>
        <w:t>监督检查机构按照《</w:t>
      </w:r>
      <w:r>
        <w:rPr>
          <w:rFonts w:hint="eastAsia" w:ascii="宋体" w:hAnsi="宋体" w:eastAsia="仿宋_GB2312" w:cs="仿宋_GB2312"/>
          <w:color w:val="auto"/>
          <w:sz w:val="32"/>
          <w:szCs w:val="32"/>
          <w:lang w:eastAsia="zh-CN" w:bidi="ar-SA"/>
        </w:rPr>
        <w:t>外商投资信息报告办法</w:t>
      </w:r>
      <w:r>
        <w:rPr>
          <w:rFonts w:hint="eastAsia" w:ascii="宋体" w:hAnsi="宋体" w:eastAsia="仿宋_GB2312" w:cs="仿宋_GB2312"/>
          <w:color w:val="auto"/>
          <w:sz w:val="32"/>
          <w:szCs w:val="32"/>
          <w:lang w:bidi="ar-SA"/>
        </w:rPr>
        <w:t>》</w:t>
      </w:r>
      <w:r>
        <w:rPr>
          <w:rFonts w:hint="eastAsia" w:ascii="宋体" w:hAnsi="宋体" w:eastAsia="仿宋_GB2312" w:cs="仿宋_GB2312"/>
          <w:color w:val="auto"/>
          <w:sz w:val="32"/>
          <w:szCs w:val="32"/>
          <w:lang w:eastAsia="zh-CN" w:bidi="ar-SA"/>
        </w:rPr>
        <w:t>（以下称《办法》）</w:t>
      </w:r>
      <w:r>
        <w:rPr>
          <w:rFonts w:hint="eastAsia" w:ascii="宋体" w:hAnsi="宋体" w:eastAsia="仿宋_GB2312" w:cs="仿宋_GB2312"/>
          <w:color w:val="auto"/>
          <w:sz w:val="32"/>
          <w:szCs w:val="32"/>
          <w:lang w:bidi="ar-SA"/>
        </w:rPr>
        <w:t>有关规定，对外商投资企业及其投资者是否履行信息报告义务，报告信息是否真实、准确、完整，以及</w:t>
      </w:r>
      <w:r>
        <w:rPr>
          <w:rFonts w:hint="eastAsia" w:ascii="宋体" w:hAnsi="宋体" w:eastAsia="仿宋_GB2312" w:cs="仿宋_GB2312"/>
          <w:color w:val="auto"/>
          <w:spacing w:val="-6"/>
          <w:sz w:val="32"/>
          <w:szCs w:val="32"/>
          <w:lang w:bidi="ar-SA"/>
        </w:rPr>
        <w:t>是否履行监督检查机构作出的行政处罚决定等方面进行监督检查。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ascii="宋体" w:hAnsi="宋体" w:eastAsia="仿宋_GB2312" w:cs="仿宋_GB2312"/>
          <w:color w:val="auto"/>
          <w:sz w:val="32"/>
          <w:szCs w:val="32"/>
          <w:lang w:bidi="ar-SA"/>
        </w:rPr>
        <w:t>监督检查机构实施监督检查时，可将监督检查对象报送的信息报告与实地核查发现的情况、检查对象提交的材料、从其他部门获取的信息进行比对，重点检查内容详见《外商投资信息监督检查指引》</w:t>
      </w:r>
      <w:r>
        <w:rPr>
          <w:rFonts w:ascii="宋体" w:hAnsi="宋体" w:eastAsia="仿宋_GB2312" w:cs="仿宋_GB2312"/>
          <w:color w:val="auto"/>
          <w:sz w:val="32"/>
          <w:szCs w:val="32"/>
          <w:lang w:eastAsia="zh-CN" w:bidi="ar-SA"/>
        </w:rPr>
        <w:t>检查内容和方法的</w:t>
      </w:r>
      <w:r>
        <w:rPr>
          <w:rFonts w:ascii="宋体" w:hAnsi="宋体" w:eastAsia="仿宋_GB2312" w:cs="仿宋_GB2312"/>
          <w:color w:val="auto"/>
          <w:sz w:val="32"/>
          <w:szCs w:val="32"/>
          <w:lang w:bidi="ar-SA"/>
        </w:rPr>
        <w:t>第</w:t>
      </w:r>
      <w:r>
        <w:rPr>
          <w:rFonts w:ascii="宋体" w:hAnsi="宋体" w:eastAsia="仿宋_GB2312" w:cs="仿宋_GB2312"/>
          <w:color w:val="auto"/>
          <w:sz w:val="32"/>
          <w:szCs w:val="32"/>
          <w:lang w:eastAsia="zh-CN" w:bidi="ar-SA"/>
        </w:rPr>
        <w:t>九</w:t>
      </w:r>
      <w:r>
        <w:rPr>
          <w:rFonts w:ascii="宋体" w:hAnsi="宋体" w:eastAsia="仿宋_GB2312" w:cs="仿宋_GB2312"/>
          <w:color w:val="auto"/>
          <w:sz w:val="32"/>
          <w:szCs w:val="32"/>
          <w:lang w:bidi="ar-SA"/>
        </w:rPr>
        <w:t>条。</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楷体_GB2312" w:eastAsia="楷体_GB2312" w:cs="楷体_GB2312"/>
          <w:color w:val="auto"/>
          <w:sz w:val="32"/>
          <w:szCs w:val="32"/>
          <w:lang w:val="en-US" w:eastAsia="zh-CN" w:bidi="ar-SA"/>
        </w:rPr>
        <w:t>（二）检查范围。</w:t>
      </w:r>
      <w:r>
        <w:rPr>
          <w:rFonts w:hint="eastAsia" w:ascii="宋体" w:hAnsi="宋体" w:eastAsia="仿宋_GB2312" w:cs="仿宋_GB2312"/>
          <w:color w:val="auto"/>
          <w:sz w:val="32"/>
          <w:szCs w:val="32"/>
          <w:lang w:bidi="ar-SA"/>
        </w:rPr>
        <w:t>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年1月1日以来，商务部业务系统平台收到的外商直接投资初始、变更、年度报告。</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bidi="ar-SA"/>
        </w:rPr>
      </w:pPr>
      <w:r>
        <w:rPr>
          <w:rFonts w:hint="eastAsia" w:ascii="黑体" w:eastAsia="黑体" w:cs="黑体"/>
          <w:color w:val="auto"/>
          <w:sz w:val="32"/>
          <w:szCs w:val="32"/>
          <w:lang w:bidi="ar-SA"/>
        </w:rPr>
        <w:t>三、监督检查方式</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初始、变更报告监督检查工作由监督检查机构自主开展，年度报告监督检查工作由监督检查机构联合同级市场监管、</w:t>
      </w:r>
      <w:r>
        <w:rPr>
          <w:rFonts w:hint="eastAsia" w:ascii="宋体" w:hAnsi="宋体" w:eastAsia="仿宋_GB2312" w:cs="仿宋_GB2312"/>
          <w:color w:val="auto"/>
          <w:sz w:val="32"/>
          <w:szCs w:val="32"/>
          <w:lang w:eastAsia="zh-CN" w:bidi="ar-SA"/>
        </w:rPr>
        <w:t>外汇管理、</w:t>
      </w:r>
      <w:r>
        <w:rPr>
          <w:rFonts w:ascii="宋体" w:hAnsi="宋体" w:eastAsia="仿宋_GB2312" w:cs="仿宋_GB2312"/>
          <w:color w:val="auto"/>
          <w:sz w:val="32"/>
          <w:szCs w:val="32"/>
          <w:lang w:bidi="ar-SA"/>
        </w:rPr>
        <w:t>税务等部门开展。检查方式以抽查为主，还可根据举报进行检查、根据有关部门或司法机关的建议和反映的情况进行检查，以及依职权启动检查等方式开展监督检查。其中抽查方式具体要求如下。</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抽查频率应不少于每年度两次，采取不定向抽查或定向抽查</w:t>
      </w:r>
      <w:r>
        <w:rPr>
          <w:rFonts w:hint="eastAsia" w:ascii="宋体" w:hAnsi="宋体" w:eastAsia="仿宋_GB2312" w:cs="仿宋_GB2312"/>
          <w:color w:val="auto"/>
          <w:sz w:val="32"/>
          <w:szCs w:val="32"/>
          <w:lang w:eastAsia="zh-CN" w:bidi="ar-SA"/>
        </w:rPr>
        <w:t>（定向为主）</w:t>
      </w:r>
      <w:r>
        <w:rPr>
          <w:rFonts w:hint="eastAsia" w:ascii="宋体" w:hAnsi="宋体" w:eastAsia="仿宋_GB2312" w:cs="仿宋_GB2312"/>
          <w:color w:val="auto"/>
          <w:sz w:val="32"/>
          <w:szCs w:val="32"/>
          <w:lang w:bidi="ar-SA"/>
        </w:rPr>
        <w:t>，针对初始报告、变更报告的抽查频率应不少于每年一次，针对年度报告的抽查频率应不少于每年一次。</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楷体_GB2312" w:eastAsia="楷体_GB2312" w:cs="楷体_GB2312"/>
          <w:color w:val="auto"/>
          <w:sz w:val="32"/>
          <w:szCs w:val="32"/>
          <w:lang w:val="en-US" w:eastAsia="zh-CN" w:bidi="ar-SA"/>
        </w:rPr>
        <w:t>不定向抽查：</w:t>
      </w:r>
      <w:r>
        <w:rPr>
          <w:rFonts w:hint="eastAsia" w:ascii="宋体" w:hAnsi="宋体" w:eastAsia="仿宋_GB2312" w:cs="仿宋_GB2312"/>
          <w:color w:val="auto"/>
          <w:sz w:val="32"/>
          <w:szCs w:val="32"/>
          <w:lang w:bidi="ar-SA"/>
        </w:rPr>
        <w:t>监督检查机构按照“双随机、一公开”的原则，根据外商投资企业（机构）的统一社会信用代码，以不低于3%的比例随机抽取本地区的企业，生成抽查名单，对名单内对象遵守《办法》的情况进行检查。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楷体_GB2312" w:eastAsia="楷体_GB2312" w:cs="楷体_GB2312"/>
          <w:color w:val="auto"/>
          <w:sz w:val="32"/>
          <w:szCs w:val="32"/>
          <w:lang w:val="en-US" w:eastAsia="zh-CN" w:bidi="ar-SA"/>
        </w:rPr>
        <w:t>定向抽查：</w:t>
      </w:r>
      <w:r>
        <w:rPr>
          <w:rFonts w:hint="eastAsia" w:ascii="宋体" w:hAnsi="宋体" w:eastAsia="仿宋_GB2312" w:cs="仿宋_GB2312"/>
          <w:color w:val="auto"/>
          <w:sz w:val="32"/>
          <w:szCs w:val="32"/>
          <w:lang w:bidi="ar-SA"/>
        </w:rPr>
        <w:t>监督检查机构按照本地区外商投资企业（机构）投资规模、经营规模、所属行业、地理区域等特征，按照风险程度，以适当比例随机抽取本区域内企业，生成抽查名单，对名单内检查对象遵守《办法》的情况进行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bidi="ar-SA"/>
        </w:rPr>
      </w:pPr>
      <w:r>
        <w:rPr>
          <w:rFonts w:hint="eastAsia" w:ascii="黑体" w:eastAsia="黑体" w:cs="黑体"/>
          <w:color w:val="auto"/>
          <w:sz w:val="32"/>
          <w:szCs w:val="32"/>
          <w:lang w:bidi="ar-SA"/>
        </w:rPr>
        <w:t>四、监督检查规范</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楷体_GB2312" w:eastAsia="楷体_GB2312" w:cs="楷体_GB2312"/>
          <w:color w:val="auto"/>
          <w:sz w:val="32"/>
          <w:szCs w:val="32"/>
          <w:lang w:val="en-US" w:eastAsia="zh-CN" w:bidi="ar-SA"/>
        </w:rPr>
        <w:t>（一）利用工作平台抽检。</w:t>
      </w:r>
      <w:r>
        <w:rPr>
          <w:rFonts w:hint="eastAsia" w:ascii="宋体" w:hAnsi="宋体" w:eastAsia="仿宋_GB2312" w:cs="仿宋_GB2312"/>
          <w:color w:val="auto"/>
          <w:sz w:val="32"/>
          <w:szCs w:val="32"/>
          <w:lang w:bidi="ar-SA"/>
        </w:rPr>
        <w:t>针对初始、变更、年度报告抽查，监督检查机构应当根据“双随机、一公开”原则，利用市场监管部门“双随机、一公开”监管平台系统随机抽取检查对象、随机选派执法检查人员，录入抽查结果，抽查事项及查处结果及时予以公示，做到全程留痕、责任可追溯。</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val="en-US" w:bidi="ar-SA"/>
        </w:rPr>
      </w:pPr>
      <w:r>
        <w:rPr>
          <w:rFonts w:hint="eastAsia" w:ascii="楷体_GB2312" w:eastAsia="楷体_GB2312" w:cs="楷体_GB2312"/>
          <w:color w:val="auto"/>
          <w:sz w:val="32"/>
          <w:szCs w:val="32"/>
          <w:lang w:val="en-US" w:bidi="ar-SA"/>
        </w:rPr>
        <w:t>（二）</w:t>
      </w:r>
      <w:r>
        <w:rPr>
          <w:rFonts w:hint="eastAsia" w:ascii="楷体_GB2312" w:eastAsia="楷体_GB2312" w:cs="楷体_GB2312"/>
          <w:color w:val="auto"/>
          <w:sz w:val="32"/>
          <w:szCs w:val="32"/>
          <w:lang w:val="en-US" w:eastAsia="zh-CN" w:bidi="ar-SA"/>
        </w:rPr>
        <w:t>动态更新</w:t>
      </w:r>
      <w:r>
        <w:rPr>
          <w:rFonts w:hint="eastAsia" w:ascii="楷体_GB2312" w:eastAsia="楷体_GB2312" w:cs="楷体_GB2312"/>
          <w:color w:val="auto"/>
          <w:sz w:val="32"/>
          <w:szCs w:val="32"/>
          <w:lang w:val="en-US" w:bidi="ar-SA"/>
        </w:rPr>
        <w:t>“一单两库”。</w:t>
      </w:r>
      <w:r>
        <w:rPr>
          <w:rFonts w:hint="eastAsia" w:ascii="宋体" w:hAnsi="宋体" w:eastAsia="仿宋_GB2312" w:cs="仿宋_GB2312"/>
          <w:color w:val="auto"/>
          <w:sz w:val="32"/>
          <w:szCs w:val="32"/>
          <w:lang w:val="en-US" w:bidi="ar-SA"/>
        </w:rPr>
        <w:t>各县（区）、广元经济技术开发区</w:t>
      </w:r>
      <w:r>
        <w:rPr>
          <w:rFonts w:hint="eastAsia" w:ascii="宋体" w:hAnsi="宋体" w:eastAsia="仿宋_GB2312" w:cs="仿宋_GB2312"/>
          <w:color w:val="auto"/>
          <w:sz w:val="32"/>
          <w:szCs w:val="32"/>
          <w:lang w:val="en-US" w:eastAsia="zh-CN" w:bidi="ar-SA"/>
        </w:rPr>
        <w:t>外资工作部门</w:t>
      </w:r>
      <w:r>
        <w:rPr>
          <w:rFonts w:hint="eastAsia" w:ascii="宋体" w:hAnsi="宋体" w:eastAsia="仿宋_GB2312" w:cs="仿宋_GB2312"/>
          <w:color w:val="auto"/>
          <w:sz w:val="32"/>
          <w:szCs w:val="32"/>
          <w:lang w:val="en-US" w:bidi="ar-SA"/>
        </w:rPr>
        <w:t>应持续</w:t>
      </w:r>
      <w:r>
        <w:rPr>
          <w:rFonts w:hint="eastAsia" w:ascii="宋体" w:hAnsi="宋体" w:eastAsia="仿宋_GB2312" w:cs="仿宋_GB2312"/>
          <w:color w:val="auto"/>
          <w:sz w:val="32"/>
          <w:szCs w:val="32"/>
          <w:lang w:val="en-US" w:eastAsia="zh-CN" w:bidi="ar-SA"/>
        </w:rPr>
        <w:t>更新</w:t>
      </w:r>
      <w:r>
        <w:rPr>
          <w:rFonts w:hint="eastAsia" w:ascii="宋体" w:hAnsi="宋体" w:eastAsia="仿宋_GB2312" w:cs="仿宋_GB2312"/>
          <w:color w:val="auto"/>
          <w:sz w:val="32"/>
          <w:szCs w:val="32"/>
          <w:lang w:bidi="ar-SA"/>
        </w:rPr>
        <w:t>市场监管部门“双随机、一公开”监管平台系统“一单两库”，结合抽查事项清单，及时</w:t>
      </w:r>
      <w:r>
        <w:rPr>
          <w:rFonts w:hint="eastAsia" w:ascii="宋体" w:hAnsi="宋体" w:eastAsia="仿宋_GB2312" w:cs="仿宋_GB2312"/>
          <w:color w:val="auto"/>
          <w:sz w:val="32"/>
          <w:szCs w:val="32"/>
          <w:lang w:eastAsia="zh-CN" w:bidi="ar-SA"/>
        </w:rPr>
        <w:t>完善</w:t>
      </w:r>
      <w:r>
        <w:rPr>
          <w:rFonts w:hint="eastAsia" w:ascii="宋体" w:hAnsi="宋体" w:eastAsia="仿宋_GB2312" w:cs="仿宋_GB2312"/>
          <w:color w:val="auto"/>
          <w:sz w:val="32"/>
          <w:szCs w:val="32"/>
          <w:lang w:bidi="ar-SA"/>
        </w:rPr>
        <w:t>本地区抽查事项所对应的检查对象库</w:t>
      </w:r>
      <w:r>
        <w:rPr>
          <w:rFonts w:hint="eastAsia" w:ascii="宋体" w:hAnsi="宋体" w:eastAsia="仿宋_GB2312" w:cs="仿宋_GB2312"/>
          <w:color w:val="auto"/>
          <w:sz w:val="32"/>
          <w:szCs w:val="32"/>
          <w:lang w:eastAsia="zh-CN" w:bidi="ar-SA"/>
        </w:rPr>
        <w:t>，完成</w:t>
      </w:r>
      <w:r>
        <w:rPr>
          <w:rFonts w:hint="eastAsia" w:ascii="宋体" w:hAnsi="宋体" w:eastAsia="仿宋_GB2312" w:cs="仿宋_GB2312"/>
          <w:color w:val="auto"/>
          <w:sz w:val="32"/>
          <w:szCs w:val="32"/>
          <w:lang w:bidi="ar-SA"/>
        </w:rPr>
        <w:t>本部门</w:t>
      </w:r>
      <w:r>
        <w:rPr>
          <w:rFonts w:hint="eastAsia" w:ascii="宋体" w:hAnsi="宋体" w:eastAsia="仿宋_GB2312" w:cs="仿宋_GB2312"/>
          <w:color w:val="auto"/>
          <w:sz w:val="32"/>
          <w:szCs w:val="32"/>
          <w:lang w:eastAsia="zh-CN" w:bidi="ar-SA"/>
        </w:rPr>
        <w:t>新进</w:t>
      </w:r>
      <w:r>
        <w:rPr>
          <w:rFonts w:hint="eastAsia" w:ascii="宋体" w:hAnsi="宋体" w:eastAsia="仿宋_GB2312" w:cs="仿宋_GB2312"/>
          <w:color w:val="auto"/>
          <w:sz w:val="32"/>
          <w:szCs w:val="32"/>
          <w:lang w:bidi="ar-SA"/>
        </w:rPr>
        <w:t>执法人员录入和执法类型标签设置，为抽查工作实施打下</w:t>
      </w:r>
      <w:r>
        <w:rPr>
          <w:rFonts w:hint="eastAsia" w:ascii="宋体" w:hAnsi="宋体" w:eastAsia="仿宋_GB2312" w:cs="仿宋_GB2312"/>
          <w:color w:val="auto"/>
          <w:sz w:val="32"/>
          <w:szCs w:val="32"/>
          <w:lang w:eastAsia="zh-CN" w:bidi="ar-SA"/>
        </w:rPr>
        <w:t>良好</w:t>
      </w:r>
      <w:r>
        <w:rPr>
          <w:rFonts w:hint="eastAsia" w:ascii="宋体" w:hAnsi="宋体" w:eastAsia="仿宋_GB2312" w:cs="仿宋_GB2312"/>
          <w:color w:val="auto"/>
          <w:sz w:val="32"/>
          <w:szCs w:val="32"/>
          <w:lang w:bidi="ar-SA"/>
        </w:rPr>
        <w:t>基础</w:t>
      </w:r>
      <w:r>
        <w:rPr>
          <w:rFonts w:hint="eastAsia" w:ascii="宋体" w:hAnsi="宋体" w:eastAsia="仿宋_GB2312" w:cs="仿宋_GB2312"/>
          <w:color w:val="auto"/>
          <w:sz w:val="32"/>
          <w:szCs w:val="32"/>
          <w:lang w:val="en-US" w:bidi="ar-SA"/>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楷体_GB2312" w:eastAsia="楷体_GB2312" w:cs="楷体_GB2312"/>
          <w:color w:val="auto"/>
          <w:sz w:val="32"/>
          <w:szCs w:val="32"/>
          <w:lang w:val="en-US" w:bidi="ar-SA"/>
        </w:rPr>
        <w:t>（三）实施监督检查。</w:t>
      </w:r>
      <w:r>
        <w:rPr>
          <w:rFonts w:hint="eastAsia" w:ascii="宋体" w:hAnsi="宋体" w:eastAsia="仿宋_GB2312" w:cs="仿宋_GB2312"/>
          <w:color w:val="auto"/>
          <w:sz w:val="32"/>
          <w:szCs w:val="32"/>
          <w:lang w:bidi="ar-SA"/>
        </w:rPr>
        <w:t>监督检查机构通过书面检查或实地核查进行检查，每次执行检查任务的工作人员不得少于2人，并至少提前3个工作日向检查对象下达《外商投资信息报告检查通知》（见《外商投资监督检查指引》附件</w:t>
      </w:r>
      <w:r>
        <w:rPr>
          <w:rFonts w:hint="eastAsia" w:ascii="宋体" w:hAnsi="宋体" w:eastAsia="仿宋_GB2312" w:cs="仿宋_GB2312"/>
          <w:color w:val="auto"/>
          <w:sz w:val="32"/>
          <w:szCs w:val="32"/>
          <w:lang w:val="en-US" w:bidi="ar-SA"/>
        </w:rPr>
        <w:t>1、2</w:t>
      </w:r>
      <w:r>
        <w:rPr>
          <w:rFonts w:hint="eastAsia" w:ascii="宋体" w:hAnsi="宋体" w:eastAsia="仿宋_GB2312" w:cs="仿宋_GB2312"/>
          <w:color w:val="auto"/>
          <w:sz w:val="32"/>
          <w:szCs w:val="32"/>
          <w:lang w:bidi="ar-SA"/>
        </w:rPr>
        <w:t>），并告知检查时需查阅或要求提交的全部文件材料。现场查验时须佩戴执法标识、出示“行政执法证”进行现场查验。根据检查情况填写《</w:t>
      </w:r>
      <w:r>
        <w:rPr>
          <w:rFonts w:hint="eastAsia" w:ascii="宋体" w:hAnsi="宋体" w:eastAsia="仿宋_GB2312" w:cs="仿宋_GB2312"/>
          <w:color w:val="auto"/>
          <w:sz w:val="32"/>
          <w:szCs w:val="32"/>
          <w:lang w:val="en-US" w:bidi="ar-SA"/>
        </w:rPr>
        <w:t>外商投资信息报告监督</w:t>
      </w:r>
      <w:r>
        <w:rPr>
          <w:rFonts w:hint="eastAsia" w:ascii="宋体" w:hAnsi="宋体" w:eastAsia="仿宋_GB2312" w:cs="仿宋_GB2312"/>
          <w:color w:val="auto"/>
          <w:sz w:val="32"/>
          <w:szCs w:val="32"/>
          <w:lang w:bidi="ar-SA"/>
        </w:rPr>
        <w:t>检查记录表》（见《外商投资监督检查指引》附件</w:t>
      </w:r>
      <w:r>
        <w:rPr>
          <w:rFonts w:hint="eastAsia" w:ascii="宋体" w:hAnsi="宋体" w:eastAsia="仿宋_GB2312" w:cs="仿宋_GB2312"/>
          <w:color w:val="auto"/>
          <w:sz w:val="32"/>
          <w:szCs w:val="32"/>
          <w:lang w:val="en-US" w:bidi="ar-SA"/>
        </w:rPr>
        <w:t>7</w:t>
      </w:r>
      <w:r>
        <w:rPr>
          <w:rFonts w:hint="eastAsia" w:ascii="宋体" w:hAnsi="宋体" w:eastAsia="仿宋_GB2312" w:cs="仿宋_GB2312"/>
          <w:color w:val="auto"/>
          <w:sz w:val="32"/>
          <w:szCs w:val="32"/>
          <w:lang w:bidi="ar-SA"/>
        </w:rPr>
        <w:t>），</w:t>
      </w:r>
      <w:r>
        <w:rPr>
          <w:rFonts w:hint="eastAsia" w:ascii="宋体" w:hAnsi="宋体" w:eastAsia="仿宋_GB2312" w:cs="仿宋_GB2312"/>
          <w:color w:val="auto"/>
          <w:sz w:val="32"/>
          <w:szCs w:val="32"/>
          <w:lang w:eastAsia="zh-CN" w:bidi="ar-SA"/>
        </w:rPr>
        <w:t>并</w:t>
      </w:r>
      <w:r>
        <w:rPr>
          <w:rFonts w:hint="eastAsia" w:ascii="宋体" w:hAnsi="宋体" w:eastAsia="仿宋_GB2312" w:cs="仿宋_GB2312"/>
          <w:color w:val="auto"/>
          <w:sz w:val="32"/>
          <w:szCs w:val="32"/>
          <w:lang w:bidi="ar-SA"/>
        </w:rPr>
        <w:t>由检查对象签字或盖章。不能取得签字或盖章的，应注明原因，并请有关人员见证记录。</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楷体_GB2312" w:eastAsia="楷体_GB2312" w:cs="楷体_GB2312"/>
          <w:color w:val="auto"/>
          <w:sz w:val="32"/>
          <w:szCs w:val="32"/>
          <w:lang w:val="en-US" w:bidi="ar-SA"/>
        </w:rPr>
        <w:t>（四）检查结果反馈</w:t>
      </w:r>
      <w:r>
        <w:rPr>
          <w:rFonts w:hint="eastAsia" w:ascii="楷体_GB2312" w:eastAsia="楷体_GB2312" w:cs="楷体_GB2312"/>
          <w:color w:val="auto"/>
          <w:sz w:val="32"/>
          <w:szCs w:val="32"/>
          <w:lang w:val="en-US" w:eastAsia="zh-CN" w:bidi="ar-SA"/>
        </w:rPr>
        <w:t>及公示</w:t>
      </w:r>
      <w:r>
        <w:rPr>
          <w:rFonts w:hint="eastAsia" w:ascii="楷体_GB2312" w:eastAsia="楷体_GB2312" w:cs="楷体_GB2312"/>
          <w:color w:val="auto"/>
          <w:sz w:val="32"/>
          <w:szCs w:val="32"/>
          <w:lang w:val="en-US" w:bidi="ar-SA"/>
        </w:rPr>
        <w:t>。</w:t>
      </w:r>
      <w:r>
        <w:rPr>
          <w:rFonts w:hint="eastAsia" w:ascii="宋体" w:hAnsi="宋体" w:eastAsia="仿宋_GB2312" w:cs="仿宋_GB2312"/>
          <w:color w:val="auto"/>
          <w:sz w:val="32"/>
          <w:szCs w:val="32"/>
          <w:lang w:bidi="ar-SA"/>
        </w:rPr>
        <w:t>监督检查机构发现检查对象可能存在未报、漏报、错报，应当首先与市场监管部门对接，比对监督检查机构接收到的信息报告与检查对象在当地企业登记系统或企业信用信息公示系统填报的信息。监督检查机构应在收到检查对象提交的全部备查材料或现场查验后20个工作日内将检查结果书面告知检查对象。抽查事项及查处结果应及时予以公示。如检查对象存在违反《办法》有关规定情况，有关流程参照《外商投资信息监督检查指引》</w:t>
      </w:r>
      <w:r>
        <w:rPr>
          <w:rFonts w:hint="eastAsia" w:ascii="宋体" w:hAnsi="宋体" w:eastAsia="仿宋_GB2312" w:cs="仿宋_GB2312"/>
          <w:color w:val="auto"/>
          <w:sz w:val="32"/>
          <w:szCs w:val="32"/>
          <w:lang w:eastAsia="zh-CN" w:bidi="ar-SA"/>
        </w:rPr>
        <w:t>检查内容和方法的</w:t>
      </w:r>
      <w:r>
        <w:rPr>
          <w:rFonts w:hint="eastAsia" w:ascii="宋体" w:hAnsi="宋体" w:eastAsia="仿宋_GB2312" w:cs="仿宋_GB2312"/>
          <w:color w:val="auto"/>
          <w:sz w:val="32"/>
          <w:szCs w:val="32"/>
          <w:lang w:bidi="ar-SA"/>
        </w:rPr>
        <w:t>第十</w:t>
      </w:r>
      <w:r>
        <w:rPr>
          <w:rFonts w:hint="eastAsia" w:ascii="宋体" w:hAnsi="宋体" w:eastAsia="仿宋_GB2312" w:cs="仿宋_GB2312"/>
          <w:color w:val="auto"/>
          <w:sz w:val="32"/>
          <w:szCs w:val="32"/>
          <w:lang w:eastAsia="zh-CN" w:bidi="ar-SA"/>
        </w:rPr>
        <w:t>二</w:t>
      </w:r>
      <w:r>
        <w:rPr>
          <w:rFonts w:hint="eastAsia" w:ascii="宋体" w:hAnsi="宋体" w:eastAsia="仿宋_GB2312" w:cs="仿宋_GB2312"/>
          <w:color w:val="auto"/>
          <w:sz w:val="32"/>
          <w:szCs w:val="32"/>
          <w:lang w:bidi="ar-SA"/>
        </w:rPr>
        <w:t>至十</w:t>
      </w:r>
      <w:r>
        <w:rPr>
          <w:rFonts w:hint="eastAsia" w:ascii="宋体" w:hAnsi="宋体" w:eastAsia="仿宋_GB2312" w:cs="仿宋_GB2312"/>
          <w:color w:val="auto"/>
          <w:sz w:val="32"/>
          <w:szCs w:val="32"/>
          <w:lang w:eastAsia="zh-CN" w:bidi="ar-SA"/>
        </w:rPr>
        <w:t>五</w:t>
      </w:r>
      <w:r>
        <w:rPr>
          <w:rFonts w:hint="eastAsia" w:ascii="宋体" w:hAnsi="宋体" w:eastAsia="仿宋_GB2312" w:cs="仿宋_GB2312"/>
          <w:color w:val="auto"/>
          <w:sz w:val="32"/>
          <w:szCs w:val="32"/>
          <w:lang w:bidi="ar-SA"/>
        </w:rPr>
        <w:t>条执行。</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楷体_GB2312" w:eastAsia="楷体_GB2312" w:cs="楷体_GB2312"/>
          <w:color w:val="auto"/>
          <w:sz w:val="32"/>
          <w:szCs w:val="32"/>
          <w:lang w:val="en-US" w:bidi="ar-SA"/>
        </w:rPr>
        <w:t>（五）</w:t>
      </w:r>
      <w:r>
        <w:rPr>
          <w:rFonts w:hint="eastAsia" w:ascii="楷体_GB2312" w:eastAsia="楷体_GB2312" w:cs="楷体_GB2312"/>
          <w:color w:val="auto"/>
          <w:sz w:val="32"/>
          <w:szCs w:val="32"/>
          <w:lang w:val="en-US" w:eastAsia="zh-CN" w:bidi="ar-SA"/>
        </w:rPr>
        <w:t>检查资料</w:t>
      </w:r>
      <w:r>
        <w:rPr>
          <w:rFonts w:hint="eastAsia" w:ascii="楷体_GB2312" w:eastAsia="楷体_GB2312" w:cs="楷体_GB2312"/>
          <w:color w:val="auto"/>
          <w:sz w:val="32"/>
          <w:szCs w:val="32"/>
          <w:lang w:val="en-US" w:bidi="ar-SA"/>
        </w:rPr>
        <w:t>存档。</w:t>
      </w:r>
      <w:r>
        <w:rPr>
          <w:rFonts w:hint="eastAsia" w:ascii="宋体" w:hAnsi="宋体" w:eastAsia="仿宋_GB2312" w:cs="仿宋_GB2312"/>
          <w:color w:val="auto"/>
          <w:sz w:val="32"/>
          <w:szCs w:val="32"/>
          <w:lang w:bidi="ar-SA"/>
        </w:rPr>
        <w:t>监督检查完成后，应及时形成年度监督检查报告归档备查并抄报</w:t>
      </w:r>
      <w:r>
        <w:rPr>
          <w:rFonts w:ascii="宋体" w:hAnsi="宋体" w:eastAsia="仿宋_GB2312" w:cs="仿宋_GB2312"/>
          <w:color w:val="auto"/>
          <w:sz w:val="32"/>
          <w:szCs w:val="32"/>
          <w:lang w:bidi="ar-SA"/>
        </w:rPr>
        <w:t>市</w:t>
      </w:r>
      <w:r>
        <w:rPr>
          <w:rFonts w:hint="eastAsia" w:ascii="宋体" w:hAnsi="宋体" w:eastAsia="仿宋_GB2312" w:cs="仿宋_GB2312"/>
          <w:color w:val="auto"/>
          <w:sz w:val="32"/>
          <w:szCs w:val="32"/>
          <w:lang w:bidi="ar-SA"/>
        </w:rPr>
        <w:t>经济合作</w:t>
      </w:r>
      <w:r>
        <w:rPr>
          <w:rFonts w:ascii="宋体" w:hAnsi="宋体" w:eastAsia="仿宋_GB2312" w:cs="仿宋_GB2312"/>
          <w:color w:val="auto"/>
          <w:sz w:val="32"/>
          <w:szCs w:val="32"/>
          <w:lang w:bidi="ar-SA"/>
        </w:rPr>
        <w:t>和外事</w:t>
      </w:r>
      <w:r>
        <w:rPr>
          <w:rFonts w:hint="eastAsia" w:ascii="宋体" w:hAnsi="宋体" w:eastAsia="仿宋_GB2312" w:cs="仿宋_GB2312"/>
          <w:color w:val="auto"/>
          <w:sz w:val="32"/>
          <w:szCs w:val="32"/>
          <w:lang w:bidi="ar-SA"/>
        </w:rPr>
        <w:t>局。抽查检查过程中形成的书面材料等，应单独组成随机抽查专卷，并进行扫描、装卷、归档</w:t>
      </w:r>
      <w:r>
        <w:rPr>
          <w:rFonts w:hint="eastAsia" w:ascii="宋体" w:hAnsi="宋体" w:eastAsia="仿宋_GB2312" w:cs="仿宋_GB2312"/>
          <w:color w:val="auto"/>
          <w:sz w:val="32"/>
          <w:szCs w:val="32"/>
          <w:lang w:eastAsia="zh-CN" w:bidi="ar-SA"/>
        </w:rPr>
        <w:t>，以便</w:t>
      </w:r>
      <w:r>
        <w:rPr>
          <w:rFonts w:hint="eastAsia" w:ascii="宋体" w:hAnsi="宋体" w:eastAsia="仿宋_GB2312" w:cs="仿宋_GB2312"/>
          <w:color w:val="auto"/>
          <w:sz w:val="32"/>
          <w:szCs w:val="32"/>
          <w:lang w:val="en-US" w:eastAsia="zh-CN" w:bidi="ar-SA"/>
        </w:rPr>
        <w:t>随时迎接上级工作督查</w:t>
      </w:r>
      <w:r>
        <w:rPr>
          <w:rFonts w:hint="eastAsia" w:ascii="宋体" w:hAnsi="宋体" w:eastAsia="仿宋_GB2312" w:cs="仿宋_GB2312"/>
          <w:color w:val="auto"/>
          <w:sz w:val="32"/>
          <w:szCs w:val="32"/>
          <w:lang w:bidi="ar-SA"/>
        </w:rPr>
        <w:t>。涉及企业财务数据信息等与商业秘密等相关的抽查材料，未经该企业同意，不得对外公开。</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val="en-US" w:bidi="ar-SA"/>
        </w:rPr>
      </w:pPr>
      <w:r>
        <w:rPr>
          <w:rFonts w:hint="eastAsia" w:ascii="黑体" w:eastAsia="黑体" w:cs="黑体"/>
          <w:color w:val="auto"/>
          <w:sz w:val="32"/>
          <w:szCs w:val="32"/>
          <w:lang w:val="en-US" w:bidi="ar-SA"/>
        </w:rPr>
        <w:t>五、工作时限</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eastAsia="zh-CN" w:bidi="ar-SA"/>
        </w:rPr>
        <w:t>各县（区）、广元经济技术开发区外资工作部门</w:t>
      </w:r>
      <w:r>
        <w:rPr>
          <w:rFonts w:hint="eastAsia" w:ascii="宋体" w:hAnsi="宋体" w:eastAsia="仿宋_GB2312" w:cs="仿宋_GB2312"/>
          <w:color w:val="auto"/>
          <w:sz w:val="32"/>
          <w:szCs w:val="32"/>
          <w:lang w:bidi="ar-SA"/>
        </w:rPr>
        <w:t>原则上按照如下时间安排开展202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年监督检查工作。</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eastAsia="zh-CN" w:bidi="ar-SA"/>
        </w:rPr>
        <w:t>（一）</w:t>
      </w:r>
      <w:r>
        <w:rPr>
          <w:rFonts w:hint="eastAsia" w:ascii="宋体" w:hAnsi="宋体" w:eastAsia="仿宋_GB2312" w:cs="仿宋_GB2312"/>
          <w:color w:val="auto"/>
          <w:sz w:val="32"/>
          <w:szCs w:val="32"/>
          <w:lang w:bidi="ar-SA"/>
        </w:rPr>
        <w:t>监督检查实施阶段（初始、变更报告监督检查时限：202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年1月1日—202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年9月</w:t>
      </w:r>
      <w:r>
        <w:rPr>
          <w:rFonts w:hint="eastAsia" w:ascii="宋体" w:hAnsi="宋体" w:eastAsia="仿宋_GB2312" w:cs="仿宋_GB2312"/>
          <w:color w:val="auto"/>
          <w:sz w:val="32"/>
          <w:szCs w:val="32"/>
          <w:lang w:val="en-US" w:eastAsia="zh-CN" w:bidi="ar-SA"/>
        </w:rPr>
        <w:t>25</w:t>
      </w:r>
      <w:r>
        <w:rPr>
          <w:rFonts w:hint="eastAsia" w:ascii="宋体" w:hAnsi="宋体" w:eastAsia="仿宋_GB2312" w:cs="仿宋_GB2312"/>
          <w:color w:val="auto"/>
          <w:sz w:val="32"/>
          <w:szCs w:val="32"/>
          <w:lang w:bidi="ar-SA"/>
        </w:rPr>
        <w:t>日；年度报告监督检查时限：202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年7月1日—202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年9月</w:t>
      </w:r>
      <w:r>
        <w:rPr>
          <w:rFonts w:hint="eastAsia" w:ascii="宋体" w:hAnsi="宋体" w:eastAsia="仿宋_GB2312" w:cs="仿宋_GB2312"/>
          <w:color w:val="auto"/>
          <w:sz w:val="32"/>
          <w:szCs w:val="32"/>
          <w:lang w:val="en-US" w:eastAsia="zh-CN" w:bidi="ar-SA"/>
        </w:rPr>
        <w:t>25</w:t>
      </w:r>
      <w:r>
        <w:rPr>
          <w:rFonts w:hint="eastAsia" w:ascii="宋体" w:hAnsi="宋体" w:eastAsia="仿宋_GB2312" w:cs="仿宋_GB2312"/>
          <w:color w:val="auto"/>
          <w:sz w:val="32"/>
          <w:szCs w:val="32"/>
          <w:lang w:bidi="ar-SA"/>
        </w:rPr>
        <w:t>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eastAsia="zh-CN" w:bidi="ar-SA"/>
        </w:rPr>
        <w:t>（二）</w:t>
      </w:r>
      <w:r>
        <w:rPr>
          <w:rFonts w:hint="eastAsia" w:ascii="宋体" w:hAnsi="宋体" w:eastAsia="仿宋_GB2312" w:cs="仿宋_GB2312"/>
          <w:color w:val="auto"/>
          <w:sz w:val="32"/>
          <w:szCs w:val="32"/>
          <w:lang w:bidi="ar-SA"/>
        </w:rPr>
        <w:t>检查反馈及企业整改阶段（202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lang w:val="en-US" w:eastAsia="zh-CN" w:bidi="ar-SA"/>
        </w:rPr>
        <w:t>9</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lang w:val="en-US" w:eastAsia="zh-CN" w:bidi="ar-SA"/>
        </w:rPr>
        <w:t>26</w:t>
      </w:r>
      <w:r>
        <w:rPr>
          <w:rFonts w:hint="eastAsia" w:ascii="宋体" w:hAnsi="宋体" w:eastAsia="仿宋_GB2312" w:cs="仿宋_GB2312"/>
          <w:color w:val="auto"/>
          <w:sz w:val="32"/>
          <w:szCs w:val="32"/>
          <w:lang w:bidi="ar-SA"/>
        </w:rPr>
        <w:t>日—202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年10月</w:t>
      </w:r>
      <w:r>
        <w:rPr>
          <w:rFonts w:hint="eastAsia" w:ascii="宋体" w:hAnsi="宋体" w:eastAsia="仿宋_GB2312" w:cs="仿宋_GB2312"/>
          <w:color w:val="auto"/>
          <w:sz w:val="32"/>
          <w:szCs w:val="32"/>
          <w:lang w:val="en-US" w:eastAsia="zh-CN" w:bidi="ar-SA"/>
        </w:rPr>
        <w:t>20</w:t>
      </w:r>
      <w:r>
        <w:rPr>
          <w:rFonts w:hint="eastAsia" w:ascii="宋体" w:hAnsi="宋体" w:eastAsia="仿宋_GB2312" w:cs="仿宋_GB2312"/>
          <w:color w:val="auto"/>
          <w:sz w:val="32"/>
          <w:szCs w:val="32"/>
          <w:lang w:bidi="ar-SA"/>
        </w:rPr>
        <w:t>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val="en-US" w:bidi="ar-SA"/>
        </w:rPr>
      </w:pPr>
      <w:r>
        <w:rPr>
          <w:rFonts w:hint="eastAsia" w:ascii="宋体" w:hAnsi="宋体" w:eastAsia="仿宋_GB2312" w:cs="仿宋_GB2312"/>
          <w:color w:val="auto"/>
          <w:sz w:val="32"/>
          <w:szCs w:val="32"/>
          <w:lang w:val="en-US" w:eastAsia="zh-CN" w:bidi="ar-SA"/>
        </w:rPr>
        <w:t>（三）</w:t>
      </w:r>
      <w:r>
        <w:rPr>
          <w:rFonts w:hint="eastAsia" w:ascii="宋体" w:hAnsi="宋体" w:eastAsia="仿宋_GB2312" w:cs="仿宋_GB2312"/>
          <w:color w:val="auto"/>
          <w:sz w:val="32"/>
          <w:szCs w:val="32"/>
          <w:lang w:val="en-US" w:bidi="ar-SA"/>
        </w:rPr>
        <w:t>各县（区）、广元经济技术开发区外资工作部门</w:t>
      </w:r>
      <w:r>
        <w:rPr>
          <w:rFonts w:hint="eastAsia" w:ascii="宋体" w:hAnsi="宋体" w:eastAsia="仿宋_GB2312" w:cs="仿宋_GB2312"/>
          <w:color w:val="auto"/>
          <w:sz w:val="32"/>
          <w:szCs w:val="32"/>
          <w:lang w:bidi="ar-SA"/>
        </w:rPr>
        <w:t>应于202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lang w:val="en-US" w:bidi="ar-SA"/>
        </w:rPr>
        <w:t>10月</w:t>
      </w:r>
      <w:r>
        <w:rPr>
          <w:rFonts w:hint="eastAsia" w:ascii="宋体" w:hAnsi="宋体" w:eastAsia="仿宋_GB2312" w:cs="仿宋_GB2312"/>
          <w:color w:val="auto"/>
          <w:sz w:val="32"/>
          <w:szCs w:val="32"/>
          <w:lang w:val="en-US" w:eastAsia="zh-CN" w:bidi="ar-SA"/>
        </w:rPr>
        <w:t>20</w:t>
      </w:r>
      <w:r>
        <w:rPr>
          <w:rFonts w:hint="eastAsia" w:ascii="宋体" w:hAnsi="宋体" w:eastAsia="仿宋_GB2312" w:cs="仿宋_GB2312"/>
          <w:color w:val="auto"/>
          <w:sz w:val="32"/>
          <w:szCs w:val="32"/>
          <w:lang w:val="en-US" w:bidi="ar-SA"/>
        </w:rPr>
        <w:t>日前向</w:t>
      </w:r>
      <w:r>
        <w:rPr>
          <w:rFonts w:hint="eastAsia" w:ascii="宋体" w:hAnsi="宋体" w:eastAsia="仿宋_GB2312" w:cs="仿宋_GB2312"/>
          <w:color w:val="auto"/>
          <w:sz w:val="32"/>
          <w:szCs w:val="32"/>
          <w:lang w:val="en-US" w:eastAsia="zh-CN" w:bidi="ar-SA"/>
        </w:rPr>
        <w:t>市</w:t>
      </w:r>
      <w:r>
        <w:rPr>
          <w:rFonts w:hint="eastAsia" w:ascii="宋体" w:hAnsi="宋体" w:eastAsia="仿宋_GB2312" w:cs="仿宋_GB2312"/>
          <w:color w:val="auto"/>
          <w:sz w:val="32"/>
          <w:szCs w:val="32"/>
          <w:lang w:val="en-US" w:bidi="ar-SA"/>
        </w:rPr>
        <w:t>经济合作</w:t>
      </w:r>
      <w:r>
        <w:rPr>
          <w:rFonts w:hint="eastAsia" w:ascii="宋体" w:hAnsi="宋体" w:eastAsia="仿宋_GB2312" w:cs="仿宋_GB2312"/>
          <w:color w:val="auto"/>
          <w:sz w:val="32"/>
          <w:szCs w:val="32"/>
          <w:lang w:val="en-US" w:eastAsia="zh-CN" w:bidi="ar-SA"/>
        </w:rPr>
        <w:t>和外事</w:t>
      </w:r>
      <w:r>
        <w:rPr>
          <w:rFonts w:hint="eastAsia" w:ascii="宋体" w:hAnsi="宋体" w:eastAsia="仿宋_GB2312" w:cs="仿宋_GB2312"/>
          <w:color w:val="auto"/>
          <w:sz w:val="32"/>
          <w:szCs w:val="32"/>
          <w:lang w:val="en-US" w:bidi="ar-SA"/>
        </w:rPr>
        <w:t>局报送本年度监督检查工作报告。</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仿宋_GB2312" w:cs="仿宋_GB2312"/>
          <w:color w:val="auto"/>
          <w:sz w:val="32"/>
          <w:szCs w:val="32"/>
          <w:lang w:val="en-US" w:bidi="ar-SA"/>
        </w:rPr>
      </w:pPr>
      <w:r>
        <w:rPr>
          <w:rFonts w:hint="eastAsia" w:ascii="宋体" w:hAnsi="宋体" w:eastAsia="仿宋_GB2312" w:cs="仿宋_GB2312"/>
          <w:color w:val="auto"/>
          <w:sz w:val="32"/>
          <w:szCs w:val="32"/>
          <w:lang w:val="en-US" w:eastAsia="zh-CN" w:bidi="ar-SA"/>
        </w:rPr>
        <w:t>（四）</w:t>
      </w:r>
      <w:r>
        <w:rPr>
          <w:rFonts w:hint="eastAsia" w:ascii="宋体" w:hAnsi="宋体" w:eastAsia="仿宋_GB2312" w:cs="仿宋_GB2312"/>
          <w:color w:val="auto"/>
          <w:sz w:val="32"/>
          <w:szCs w:val="32"/>
          <w:lang w:val="en-US" w:bidi="ar-SA"/>
        </w:rPr>
        <w:t>市经济合作和外事局将于202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val="en-US" w:bidi="ar-SA"/>
        </w:rPr>
        <w:t>年</w:t>
      </w:r>
      <w:r>
        <w:rPr>
          <w:rFonts w:hint="eastAsia" w:ascii="宋体" w:hAnsi="宋体" w:eastAsia="仿宋_GB2312" w:cs="仿宋_GB2312"/>
          <w:color w:val="auto"/>
          <w:sz w:val="32"/>
          <w:szCs w:val="32"/>
          <w:lang w:val="en-US" w:eastAsia="zh-CN" w:bidi="ar-SA"/>
        </w:rPr>
        <w:t>11</w:t>
      </w:r>
      <w:r>
        <w:rPr>
          <w:rFonts w:hint="eastAsia" w:ascii="宋体" w:hAnsi="宋体" w:eastAsia="仿宋_GB2312" w:cs="仿宋_GB2312"/>
          <w:color w:val="auto"/>
          <w:sz w:val="32"/>
          <w:szCs w:val="32"/>
          <w:lang w:val="en-US" w:bidi="ar-SA"/>
        </w:rPr>
        <w:t>月</w:t>
      </w:r>
      <w:r>
        <w:rPr>
          <w:rFonts w:hint="eastAsia" w:ascii="宋体" w:hAnsi="宋体" w:eastAsia="仿宋_GB2312" w:cs="仿宋_GB2312"/>
          <w:color w:val="auto"/>
          <w:sz w:val="32"/>
          <w:szCs w:val="32"/>
          <w:lang w:val="en-US" w:eastAsia="zh-CN" w:bidi="ar-SA"/>
        </w:rPr>
        <w:t>30</w:t>
      </w:r>
      <w:r>
        <w:rPr>
          <w:rFonts w:hint="eastAsia" w:ascii="宋体" w:hAnsi="宋体" w:eastAsia="仿宋_GB2312" w:cs="仿宋_GB2312"/>
          <w:color w:val="auto"/>
          <w:sz w:val="32"/>
          <w:szCs w:val="32"/>
          <w:lang w:val="en-US" w:bidi="ar-SA"/>
        </w:rPr>
        <w:t>日前对</w:t>
      </w:r>
      <w:r>
        <w:rPr>
          <w:rFonts w:ascii="宋体" w:hAnsi="宋体" w:eastAsia="仿宋_GB2312" w:cs="仿宋_GB2312"/>
          <w:color w:val="auto"/>
          <w:sz w:val="32"/>
          <w:szCs w:val="32"/>
          <w:lang w:val="en-US" w:bidi="ar-SA"/>
        </w:rPr>
        <w:t>各</w:t>
      </w:r>
      <w:r>
        <w:rPr>
          <w:rFonts w:hint="eastAsia" w:ascii="宋体" w:hAnsi="宋体" w:eastAsia="仿宋_GB2312" w:cs="仿宋_GB2312"/>
          <w:color w:val="auto"/>
          <w:sz w:val="32"/>
          <w:szCs w:val="32"/>
          <w:lang w:val="en-US" w:eastAsia="zh-CN" w:bidi="ar-SA"/>
        </w:rPr>
        <w:t>县区</w:t>
      </w:r>
      <w:r>
        <w:rPr>
          <w:rFonts w:ascii="宋体" w:hAnsi="宋体" w:eastAsia="仿宋_GB2312" w:cs="仿宋_GB2312"/>
          <w:color w:val="auto"/>
          <w:sz w:val="32"/>
          <w:szCs w:val="32"/>
          <w:lang w:val="en-US" w:eastAsia="zh-CN" w:bidi="ar-SA"/>
        </w:rPr>
        <w:t>、</w:t>
      </w:r>
      <w:r>
        <w:rPr>
          <w:rFonts w:hint="eastAsia" w:ascii="宋体" w:hAnsi="宋体" w:eastAsia="仿宋_GB2312" w:cs="仿宋_GB2312"/>
          <w:color w:val="auto"/>
          <w:sz w:val="32"/>
          <w:szCs w:val="32"/>
          <w:lang w:val="en-US" w:bidi="ar-SA"/>
        </w:rPr>
        <w:t>广元经济技术开发区</w:t>
      </w:r>
      <w:r>
        <w:rPr>
          <w:rFonts w:hint="eastAsia" w:ascii="宋体" w:hAnsi="宋体" w:eastAsia="仿宋_GB2312" w:cs="仿宋_GB2312"/>
          <w:color w:val="auto"/>
          <w:sz w:val="32"/>
          <w:szCs w:val="32"/>
          <w:lang w:val="en-US" w:eastAsia="zh-CN" w:bidi="ar-SA"/>
        </w:rPr>
        <w:t>外资工作</w:t>
      </w:r>
      <w:r>
        <w:rPr>
          <w:rFonts w:hint="eastAsia" w:ascii="宋体" w:hAnsi="宋体" w:eastAsia="仿宋_GB2312" w:cs="仿宋_GB2312"/>
          <w:color w:val="auto"/>
          <w:sz w:val="32"/>
          <w:szCs w:val="32"/>
          <w:lang w:val="en-US" w:bidi="ar-SA"/>
        </w:rPr>
        <w:t>部门202</w:t>
      </w:r>
      <w:r>
        <w:rPr>
          <w:rFonts w:hint="eastAsia" w:ascii="宋体" w:hAnsi="宋体" w:eastAsia="仿宋_GB2312" w:cs="仿宋_GB2312"/>
          <w:color w:val="auto"/>
          <w:sz w:val="32"/>
          <w:szCs w:val="32"/>
          <w:lang w:val="en-US" w:eastAsia="zh-CN" w:bidi="ar-SA"/>
        </w:rPr>
        <w:t>4</w:t>
      </w:r>
      <w:r>
        <w:rPr>
          <w:rFonts w:hint="eastAsia" w:ascii="宋体" w:hAnsi="宋体" w:eastAsia="仿宋_GB2312" w:cs="仿宋_GB2312"/>
          <w:color w:val="auto"/>
          <w:sz w:val="32"/>
          <w:szCs w:val="32"/>
          <w:lang w:val="en-US" w:bidi="ar-SA"/>
        </w:rPr>
        <w:t>年外商投资信息报告监督检查工作进行督查。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val="en-US" w:eastAsia="zh-CN" w:bidi="ar-SA"/>
        </w:rPr>
      </w:pPr>
      <w:r>
        <w:rPr>
          <w:rFonts w:hint="eastAsia" w:ascii="黑体" w:eastAsia="黑体" w:cs="黑体"/>
          <w:color w:val="auto"/>
          <w:sz w:val="32"/>
          <w:szCs w:val="32"/>
          <w:lang w:val="en-US" w:eastAsia="zh-CN" w:bidi="ar-SA"/>
        </w:rPr>
        <w:t>六、有关要求</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hint="eastAsia" w:ascii="宋体" w:hAnsi="宋体" w:eastAsia="仿宋_GB2312" w:cs="仿宋_GB2312"/>
          <w:color w:val="auto"/>
          <w:sz w:val="32"/>
          <w:szCs w:val="32"/>
          <w:lang w:eastAsia="zh-CN" w:bidi="ar-SA"/>
        </w:rPr>
        <w:t>按照国务院和省政府的相关文件精神，</w:t>
      </w:r>
      <w:r>
        <w:rPr>
          <w:rFonts w:ascii="宋体" w:hAnsi="宋体" w:eastAsia="仿宋_GB2312" w:cs="仿宋_GB2312"/>
          <w:color w:val="auto"/>
          <w:sz w:val="32"/>
          <w:szCs w:val="32"/>
          <w:lang w:bidi="ar-SA"/>
        </w:rPr>
        <w:t>统筹推进“双随机、一公开”监管与信用风险分类管理</w:t>
      </w:r>
      <w:r>
        <w:rPr>
          <w:rFonts w:hint="eastAsia" w:ascii="宋体" w:hAnsi="宋体" w:eastAsia="仿宋_GB2312" w:cs="仿宋_GB2312"/>
          <w:color w:val="auto"/>
          <w:sz w:val="32"/>
          <w:szCs w:val="32"/>
          <w:lang w:val="en-US" w:eastAsia="zh-CN" w:bidi="ar-SA"/>
        </w:rPr>
        <w:t>，</w:t>
      </w:r>
      <w:r>
        <w:rPr>
          <w:rFonts w:ascii="宋体" w:hAnsi="宋体" w:eastAsia="仿宋_GB2312" w:cs="仿宋_GB2312"/>
          <w:color w:val="auto"/>
          <w:sz w:val="32"/>
          <w:szCs w:val="32"/>
          <w:lang w:bidi="ar-SA"/>
        </w:rPr>
        <w:t>对信用风险低的外商投资企业进一步降低抽查比例和频次</w:t>
      </w:r>
      <w:r>
        <w:rPr>
          <w:rFonts w:hint="eastAsia" w:ascii="宋体" w:hAnsi="宋体" w:eastAsia="仿宋_GB2312" w:cs="仿宋_GB2312"/>
          <w:color w:val="auto"/>
          <w:sz w:val="32"/>
          <w:szCs w:val="32"/>
          <w:lang w:val="en-US" w:eastAsia="zh-CN" w:bidi="ar-SA"/>
        </w:rPr>
        <w:t>。各地在系统平台制定方案时，可参考四川省企业信用风险分类结果，设置不同信用风险等级企业的抽取数比例，</w:t>
      </w:r>
      <w:r>
        <w:rPr>
          <w:rFonts w:hint="eastAsia" w:ascii="宋体" w:hAnsi="宋体" w:eastAsia="仿宋_GB2312" w:cs="仿宋_GB2312"/>
          <w:color w:val="auto"/>
          <w:sz w:val="32"/>
          <w:szCs w:val="32"/>
          <w:lang w:eastAsia="zh-CN" w:bidi="ar-SA"/>
        </w:rPr>
        <w:t>实施差异化监管</w:t>
      </w:r>
      <w:r>
        <w:rPr>
          <w:rFonts w:hint="eastAsia" w:ascii="宋体" w:hAnsi="宋体" w:eastAsia="仿宋_GB2312" w:cs="仿宋_GB2312"/>
          <w:color w:val="auto"/>
          <w:sz w:val="32"/>
          <w:szCs w:val="32"/>
          <w:lang w:val="en-US" w:eastAsia="zh-CN" w:bidi="ar-SA"/>
        </w:rPr>
        <w:t>。（</w:t>
      </w:r>
      <w:r>
        <w:rPr>
          <w:rFonts w:ascii="宋体" w:hAnsi="宋体" w:eastAsia="仿宋_GB2312" w:cs="仿宋_GB2312"/>
          <w:color w:val="auto"/>
          <w:sz w:val="32"/>
          <w:szCs w:val="32"/>
          <w:lang w:val="en-US" w:eastAsia="zh-CN" w:bidi="ar-SA"/>
        </w:rPr>
        <w:t>按照信用风险状况由低到高将企业分为信用风险低A类、信用风险一般B类、信用风险较高C类、信用风险高D类四类。对A类企业，可合理降低抽查比例和频次，除投诉举报、大数据监测发现问题、转办交办案件线索及法律法规另有规定外，根据实际情况可不主动实施现场检查，实现“无事不扰”；对B类企业，按常规比例和频次开展抽查；对C类企业，实行重点关注，适当提高抽查比例和频次；对D类企业，实行严格监管，有针对性地大幅提高抽查比例和频次，必要时主动实施现场检查。</w:t>
      </w:r>
      <w:r>
        <w:rPr>
          <w:rFonts w:hint="eastAsia" w:ascii="宋体" w:hAnsi="宋体" w:eastAsia="仿宋_GB2312" w:cs="仿宋_GB2312"/>
          <w:color w:val="auto"/>
          <w:sz w:val="32"/>
          <w:szCs w:val="32"/>
          <w:lang w:val="en-US" w:eastAsia="zh-CN" w:bidi="ar-SA"/>
        </w:rPr>
        <w:t>）</w:t>
      </w:r>
    </w:p>
    <w:p>
      <w:pPr>
        <w:pStyle w:val="7"/>
        <w:spacing w:line="560" w:lineRule="exact"/>
        <w:ind w:left="0"/>
        <w:rPr>
          <w:rFonts w:ascii="Times New Roman" w:hAnsi="Times New Roman" w:eastAsia="仿宋_GB2312" w:cs="Times New Roman"/>
          <w:color w:val="auto"/>
          <w:lang w:val="en-US" w:bidi="ar-SA"/>
        </w:rPr>
      </w:pPr>
    </w:p>
    <w:p>
      <w:pPr>
        <w:pStyle w:val="7"/>
        <w:keepNext w:val="0"/>
        <w:keepLines w:val="0"/>
        <w:pageBreakBefore w:val="0"/>
        <w:widowControl w:val="0"/>
        <w:kinsoku/>
        <w:wordWrap/>
        <w:overflowPunct/>
        <w:topLinePunct w:val="0"/>
        <w:autoSpaceDE/>
        <w:autoSpaceDN/>
        <w:bidi w:val="0"/>
        <w:adjustRightInd/>
        <w:spacing w:line="576" w:lineRule="exact"/>
        <w:ind w:left="0"/>
        <w:textAlignment w:val="auto"/>
        <w:rPr>
          <w:rFonts w:eastAsia="方正黑体_GBK"/>
          <w:color w:val="auto"/>
          <w:sz w:val="32"/>
          <w:szCs w:val="32"/>
        </w:rPr>
      </w:pPr>
      <w:r>
        <w:rPr>
          <w:rFonts w:ascii="Times New Roman" w:hAnsi="Times New Roman" w:eastAsia="仿宋_GB2312" w:cs="Times New Roman"/>
          <w:color w:val="auto"/>
          <w:lang w:val="en-US" w:bidi="ar-SA"/>
        </w:rPr>
        <w:br w:type="page"/>
      </w:r>
      <w:r>
        <w:rPr>
          <w:rFonts w:hint="eastAsia" w:ascii="黑体" w:eastAsia="黑体" w:cs="黑体"/>
          <w:color w:val="auto"/>
          <w:sz w:val="32"/>
          <w:szCs w:val="32"/>
          <w:lang w:bidi="ar-SA"/>
        </w:rPr>
        <w:t>附件2</w:t>
      </w: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eastAsia="方正小标宋简体"/>
          <w:color w:val="auto"/>
          <w:sz w:val="44"/>
          <w:szCs w:val="44"/>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eastAsia="方正小标宋简体"/>
          <w:color w:val="auto"/>
          <w:sz w:val="44"/>
          <w:szCs w:val="44"/>
        </w:rPr>
      </w:pPr>
      <w:r>
        <w:rPr>
          <w:rFonts w:eastAsia="方正小标宋简体"/>
          <w:color w:val="auto"/>
          <w:sz w:val="44"/>
          <w:szCs w:val="44"/>
        </w:rPr>
        <w:t>外商投资信息报告监督检查指引</w:t>
      </w:r>
    </w:p>
    <w:p>
      <w:pPr>
        <w:pStyle w:val="9"/>
        <w:keepNext w:val="0"/>
        <w:keepLines w:val="0"/>
        <w:pageBreakBefore w:val="0"/>
        <w:widowControl w:val="0"/>
        <w:kinsoku/>
        <w:wordWrap/>
        <w:overflowPunct/>
        <w:topLinePunct w:val="0"/>
        <w:autoSpaceDE/>
        <w:autoSpaceDN/>
        <w:bidi w:val="0"/>
        <w:adjustRightInd/>
        <w:snapToGrid w:val="0"/>
        <w:spacing w:line="576" w:lineRule="exact"/>
        <w:textAlignment w:val="auto"/>
        <w:rPr>
          <w:rFonts w:eastAsia="方正仿宋_GBK"/>
          <w:color w:val="auto"/>
        </w:rPr>
      </w:pP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bidi="ar-SA"/>
        </w:rPr>
      </w:pPr>
      <w:r>
        <w:rPr>
          <w:rFonts w:hint="eastAsia" w:ascii="黑体" w:eastAsia="黑体" w:cs="黑体"/>
          <w:color w:val="auto"/>
          <w:sz w:val="32"/>
          <w:szCs w:val="32"/>
          <w:lang w:bidi="ar-SA"/>
        </w:rPr>
        <w:t>一、抽查事项</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对外国投资者、外商投资企业的信息报告的行政检查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bidi="ar-SA"/>
        </w:rPr>
      </w:pPr>
      <w:r>
        <w:rPr>
          <w:rFonts w:hint="eastAsia" w:ascii="黑体" w:eastAsia="黑体" w:cs="黑体"/>
          <w:color w:val="auto"/>
          <w:sz w:val="32"/>
          <w:szCs w:val="32"/>
          <w:lang w:bidi="ar-SA"/>
        </w:rPr>
        <w:t>二、检查内容和方法</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eastAsia="zh-CN" w:bidi="ar-SA"/>
        </w:rPr>
      </w:pPr>
      <w:r>
        <w:rPr>
          <w:rFonts w:ascii="宋体" w:hAnsi="宋体" w:eastAsia="仿宋_GB2312" w:cs="仿宋_GB2312"/>
          <w:color w:val="auto"/>
          <w:sz w:val="32"/>
          <w:szCs w:val="32"/>
          <w:lang w:eastAsia="zh-CN" w:bidi="ar-SA"/>
        </w:rPr>
        <w:t>主要检查</w:t>
      </w:r>
      <w:r>
        <w:rPr>
          <w:rFonts w:ascii="宋体" w:hAnsi="宋体" w:eastAsia="仿宋_GB2312" w:cs="仿宋_GB2312"/>
          <w:color w:val="auto"/>
          <w:sz w:val="32"/>
          <w:szCs w:val="32"/>
          <w:lang w:bidi="ar-SA"/>
        </w:rPr>
        <w:t>外商投资企业或外国投资者是否在进行信息报告时隐瞒真实情况，提供误导性或虚假性信息</w:t>
      </w:r>
      <w:r>
        <w:rPr>
          <w:rFonts w:ascii="宋体" w:hAnsi="宋体" w:eastAsia="仿宋_GB2312" w:cs="仿宋_GB2312"/>
          <w:color w:val="auto"/>
          <w:sz w:val="32"/>
          <w:szCs w:val="32"/>
          <w:lang w:eastAsia="zh-CN" w:bidi="ar-SA"/>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（一）</w:t>
      </w:r>
      <w:r>
        <w:rPr>
          <w:rFonts w:ascii="宋体" w:hAnsi="宋体" w:eastAsia="仿宋_GB2312" w:cs="仿宋_GB2312"/>
          <w:color w:val="auto"/>
          <w:sz w:val="32"/>
          <w:szCs w:val="32"/>
          <w:lang w:bidi="ar-SA"/>
        </w:rPr>
        <w:t>检查机构应在外商投资信息报告系统中建立监督检查人员名录库，监督检查人员应具有行政执法资格。执行每次检查任务的工作人员应不少于2人，现场监督检查应佩戴执法标识，并出示行政执法证。与检查对象有利害关系的检查人员应当依法回避，检查对象认为检查人员与检查对象、检查事项存在利害关系的，有权申请回避。</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（二）</w:t>
      </w:r>
      <w:r>
        <w:rPr>
          <w:rFonts w:ascii="宋体" w:hAnsi="宋体" w:eastAsia="仿宋_GB2312" w:cs="仿宋_GB2312"/>
          <w:color w:val="auto"/>
          <w:sz w:val="32"/>
          <w:szCs w:val="32"/>
          <w:lang w:bidi="ar-SA"/>
        </w:rPr>
        <w:t>检查机构可联合有关部门，采取抽查、根据举报进行检查、根据有关部门或司法机关的建议和反映的情况进行检查，以及依职权启动检查等方式开展监督检查。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（三）</w:t>
      </w:r>
      <w:r>
        <w:rPr>
          <w:rFonts w:ascii="宋体" w:hAnsi="宋体" w:eastAsia="仿宋_GB2312" w:cs="仿宋_GB2312"/>
          <w:color w:val="auto"/>
          <w:sz w:val="32"/>
          <w:szCs w:val="32"/>
          <w:lang w:bidi="ar-SA"/>
        </w:rPr>
        <w:t>采取抽查方式进行监督检查，检查机构应当根据本区域外商投资信息报告的具体情况确定抽查频率和比例。原则上抽查频率应不少于每年两次，其中针对初始、变更报告的抽查频率</w:t>
      </w:r>
      <w:r>
        <w:rPr>
          <w:rFonts w:ascii="宋体" w:hAnsi="宋体" w:eastAsia="仿宋_GB2312" w:cs="仿宋_GB2312"/>
          <w:color w:val="auto"/>
          <w:spacing w:val="-6"/>
          <w:sz w:val="32"/>
          <w:szCs w:val="32"/>
          <w:lang w:bidi="ar-SA"/>
        </w:rPr>
        <w:t>应不少于每年一次，针对年度报告的抽查频率应不少于每年一次。</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抽查应当根据“双随机、一公开”原则，随机抽取检查对象、随机选派执法检查人员，抽查事项及查处结果及时通过外商投资信息报告系统公示平台予以公示。</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抽查分为不定向抽查和定向抽查。不定向抽查指检查机构根据公平、规范的要求，根据外商投资企业（机构）的统一社会信用代码，按照不少于3%的比例随机抽取本区域内的外商投资企业（机构），生成抽查名单，对名单内检查对象遵守《办法》的情况进行检查。定向抽查指检查机构根据外商投资企业（机构）的投资规模、经营规模、所属行业、所在区域等特征，按照风险程度，自行确定适当的抽查比例，随机抽取本区域内外商投资企业（机构），生成抽查名单，对名单内检查对象遵守《办法》的情况进行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（四）</w:t>
      </w:r>
      <w:r>
        <w:rPr>
          <w:rFonts w:ascii="宋体" w:hAnsi="宋体" w:eastAsia="仿宋_GB2312" w:cs="仿宋_GB2312"/>
          <w:color w:val="auto"/>
          <w:sz w:val="32"/>
          <w:szCs w:val="32"/>
          <w:lang w:bidi="ar-SA"/>
        </w:rPr>
        <w:t>公民、法人或其他组织发现外商投资企业（机构）及其投资者存在违反《办法》行为的，可以向检查机构举报。检查机构应当畅通举报渠道，公布举报受理电话号码、邮寄地址、网络专栏、电子邮箱等受理方式。有明确的被举报人，并提供相关事实和证据的，检查机构接到举报后应当依法及时处理。外国投资者享有与公民、法人或其他组织平等的举报权利。</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举报由被举报人实际经营地或者住所地的检查机构处理。上级检查机构认为有必要的，可以处理下级检查机构收到的举报。下级检查机构认为需要由上级检查机构处理的，可以报请上级检查机构决定。对于同一外商投资企业（机构）及其投资者违反《办法》的行为，两个以上检查机构均有处理权限的，由先收到举报的检查机构处理。两个以上检查机构因处理权限发生争议的，应当自发生争议之日起七个工作日内协商解决；协商不成的，报请共同的上一级检查机构指定处理机关。</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收到举报的检查机构不具备处理权限的，应当告知举报人直接向有处理权限的检查机构提出（匿名举报除外）。</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（五）</w:t>
      </w:r>
      <w:r>
        <w:rPr>
          <w:rFonts w:ascii="宋体" w:hAnsi="宋体" w:eastAsia="仿宋_GB2312" w:cs="仿宋_GB2312"/>
          <w:color w:val="auto"/>
          <w:sz w:val="32"/>
          <w:szCs w:val="32"/>
          <w:lang w:bidi="ar-SA"/>
        </w:rPr>
        <w:t>有关部门或司法机关在履行职责的过程中，发现外商投资企业（机构）及其投资者有违反《办法》的行为的，可向检查机构提出监督检查的建议，检查机构接到相关建议后应当依法及时处理，并将检查结果反馈有关部门或司法机关。</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（六）</w:t>
      </w:r>
      <w:r>
        <w:rPr>
          <w:rFonts w:ascii="宋体" w:hAnsi="宋体" w:eastAsia="仿宋_GB2312" w:cs="仿宋_GB2312"/>
          <w:color w:val="auto"/>
          <w:sz w:val="32"/>
          <w:szCs w:val="32"/>
          <w:lang w:bidi="ar-SA"/>
        </w:rPr>
        <w:t>对于未按《办法》的规定进行报告，或两年内曾有报告不实、对监督检查不予配合、拒不履行检查机构作出的行政处罚决定记录的外商投资企业（机构）及其投资者，检查机构可依职权对其启动检查。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（七）</w:t>
      </w:r>
      <w:r>
        <w:rPr>
          <w:rFonts w:ascii="宋体" w:hAnsi="宋体" w:eastAsia="仿宋_GB2312" w:cs="仿宋_GB2312"/>
          <w:color w:val="auto"/>
          <w:sz w:val="32"/>
          <w:szCs w:val="32"/>
          <w:lang w:bidi="ar-SA"/>
        </w:rPr>
        <w:t>检查机构可采取实地核查、书面检查等方式进行监督检查，应至少提前3个工作日向检查对象下达《外商投资信息报告检查通知》，并告知实地核查时需查阅或要求检查对象提交的全部文件材料。检查对象应当配合检查，如实提供。</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（八）</w:t>
      </w:r>
      <w:r>
        <w:rPr>
          <w:rFonts w:ascii="宋体" w:hAnsi="宋体" w:eastAsia="仿宋_GB2312" w:cs="仿宋_GB2312"/>
          <w:color w:val="auto"/>
          <w:sz w:val="32"/>
          <w:szCs w:val="32"/>
          <w:lang w:bidi="ar-SA"/>
        </w:rPr>
        <w:t>检查机构可根据工作需要从其他部门获取信息，用于核实外商投资企业（机构）及其投资者报送的投资信息是否真实、准确、完整、及时。向其他部门请求获取信息时，应当说明具体理由，信息应限于监督检查必要的范围。</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（九）</w:t>
      </w:r>
      <w:r>
        <w:rPr>
          <w:rFonts w:ascii="宋体" w:hAnsi="宋体" w:eastAsia="仿宋_GB2312" w:cs="仿宋_GB2312"/>
          <w:color w:val="auto"/>
          <w:sz w:val="32"/>
          <w:szCs w:val="32"/>
          <w:lang w:bidi="ar-SA"/>
        </w:rPr>
        <w:t>检查机构实施监督检查时，可将检查对象报送的投资信息与实地核查发现的情况、检查对象提交的材料、从其他部门获取的信息进行比对，重点检查是否存在以下违反《办法》的行为：</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1.</w:t>
      </w:r>
      <w:r>
        <w:rPr>
          <w:rFonts w:ascii="宋体" w:hAnsi="宋体" w:eastAsia="仿宋_GB2312" w:cs="仿宋_GB2312"/>
          <w:color w:val="auto"/>
          <w:sz w:val="32"/>
          <w:szCs w:val="32"/>
          <w:lang w:bidi="ar-SA"/>
        </w:rPr>
        <w:t>在市场监管部门办理设立、变更登记时，不填写外商投资信息报告单独采集的数据项或填写不全；</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2.</w:t>
      </w:r>
      <w:r>
        <w:rPr>
          <w:rFonts w:ascii="宋体" w:hAnsi="宋体" w:eastAsia="仿宋_GB2312" w:cs="仿宋_GB2312"/>
          <w:color w:val="auto"/>
          <w:sz w:val="32"/>
          <w:szCs w:val="32"/>
          <w:lang w:bidi="ar-SA"/>
        </w:rPr>
        <w:t>发生无须到市场监管部门办理变更登记的变更事项后，20个工作日内未提交变更报告；</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3.</w:t>
      </w:r>
      <w:r>
        <w:rPr>
          <w:rFonts w:ascii="宋体" w:hAnsi="宋体" w:eastAsia="仿宋_GB2312" w:cs="仿宋_GB2312"/>
          <w:color w:val="auto"/>
          <w:sz w:val="32"/>
          <w:szCs w:val="32"/>
          <w:lang w:bidi="ar-SA"/>
        </w:rPr>
        <w:t>关于所属行业、是否涉及外商投资准入特别管理措施、企业投资者及其实际控制人等重要信息报送错误；</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4.</w:t>
      </w:r>
      <w:r>
        <w:rPr>
          <w:rFonts w:ascii="宋体" w:hAnsi="宋体" w:eastAsia="仿宋_GB2312" w:cs="仿宋_GB2312"/>
          <w:color w:val="auto"/>
          <w:sz w:val="32"/>
          <w:szCs w:val="32"/>
          <w:lang w:bidi="ar-SA"/>
        </w:rPr>
        <w:t>涉及并购设立外商投资企业、外国投资者战略投资上市公司，未提交初始、变更报告或初始、变更报告中未报送相应信息；</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5.</w:t>
      </w:r>
      <w:r>
        <w:rPr>
          <w:rFonts w:ascii="宋体" w:hAnsi="宋体" w:eastAsia="仿宋_GB2312" w:cs="仿宋_GB2312"/>
          <w:color w:val="auto"/>
          <w:sz w:val="32"/>
          <w:szCs w:val="32"/>
          <w:lang w:bidi="ar-SA"/>
        </w:rPr>
        <w:t>未在每年1月1日至6月30日期间提交年度报告或报告不完整；</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6.</w:t>
      </w:r>
      <w:r>
        <w:rPr>
          <w:rFonts w:ascii="宋体" w:hAnsi="宋体" w:eastAsia="仿宋_GB2312" w:cs="仿宋_GB2312"/>
          <w:color w:val="auto"/>
          <w:sz w:val="32"/>
          <w:szCs w:val="32"/>
          <w:lang w:bidi="ar-SA"/>
        </w:rPr>
        <w:t>年度报告中，不如实报告截至上一年度年末的企业基本情况、投资者情况、企业经营情况；</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7.</w:t>
      </w:r>
      <w:r>
        <w:rPr>
          <w:rFonts w:ascii="宋体" w:hAnsi="宋体" w:eastAsia="仿宋_GB2312" w:cs="仿宋_GB2312"/>
          <w:color w:val="auto"/>
          <w:sz w:val="32"/>
          <w:szCs w:val="32"/>
          <w:lang w:bidi="ar-SA"/>
        </w:rPr>
        <w:t>未根据《办法》要求真实、准确、完整、及时报送投资信息，商务主管部门通知补报、更正或责令改正后，未在规定时间内改正；</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8.</w:t>
      </w:r>
      <w:r>
        <w:rPr>
          <w:rFonts w:ascii="宋体" w:hAnsi="宋体" w:eastAsia="仿宋_GB2312" w:cs="仿宋_GB2312"/>
          <w:color w:val="auto"/>
          <w:sz w:val="32"/>
          <w:szCs w:val="32"/>
          <w:lang w:bidi="ar-SA"/>
        </w:rPr>
        <w:t>未按照《办法》要求报送投资信息并因此受到行政处罚后，再次违反《办法》。</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十</w:t>
      </w: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检查机构发现检查对象可能存在未报、漏报、错报，应当首先与同级市场监管部门对接，比对检查机构接收到的信息报告与检查对象在当地企业登记系统或企业信用信息公示系统填报的信息。如果确认检查对象存在未报、漏报、错报，应根据本指引第十五至十七条处理。如果发现检查对象已填报相应投资信息，应第一时间向同级市场监管部门反映数据丢失、错漏问题。</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十</w:t>
      </w:r>
      <w:r>
        <w:rPr>
          <w:rFonts w:ascii="宋体" w:hAnsi="宋体" w:eastAsia="仿宋_GB2312" w:cs="仿宋_GB2312"/>
          <w:color w:val="auto"/>
          <w:sz w:val="32"/>
          <w:szCs w:val="32"/>
          <w:lang w:eastAsia="zh-CN" w:bidi="ar-SA"/>
        </w:rPr>
        <w:t>一）</w:t>
      </w:r>
      <w:r>
        <w:rPr>
          <w:rFonts w:ascii="宋体" w:hAnsi="宋体" w:eastAsia="仿宋_GB2312" w:cs="仿宋_GB2312"/>
          <w:color w:val="auto"/>
          <w:sz w:val="32"/>
          <w:szCs w:val="32"/>
          <w:lang w:bidi="ar-SA"/>
        </w:rPr>
        <w:t>检查机构应在实地核查或收到检查对象提交的全部备查材料后20个工作日内将查处结果书面告知检查对象。除涉及国家秘密、商业秘密、个人隐私等依法不予公开的信息外，抽查事项及查处结果应通过外商投资信息报告系统公示平台予以公示。</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十</w:t>
      </w:r>
      <w:r>
        <w:rPr>
          <w:rFonts w:ascii="宋体" w:hAnsi="宋体" w:eastAsia="仿宋_GB2312" w:cs="仿宋_GB2312"/>
          <w:color w:val="auto"/>
          <w:sz w:val="32"/>
          <w:szCs w:val="32"/>
          <w:lang w:eastAsia="zh-CN" w:bidi="ar-SA"/>
        </w:rPr>
        <w:t>二）</w:t>
      </w:r>
      <w:r>
        <w:rPr>
          <w:rFonts w:ascii="宋体" w:hAnsi="宋体" w:eastAsia="仿宋_GB2312" w:cs="仿宋_GB2312"/>
          <w:color w:val="auto"/>
          <w:sz w:val="32"/>
          <w:szCs w:val="32"/>
          <w:lang w:bidi="ar-SA"/>
        </w:rPr>
        <w:t>检查机构发现检查对象存在未报、漏报、错报的，应当根据《办法》第十九条，通知检查对象于20个工作日内进行补报或更正，并明确告知补报或更正渠道。</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eastAsia="zh-CN"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十</w:t>
      </w:r>
      <w:r>
        <w:rPr>
          <w:rFonts w:ascii="宋体" w:hAnsi="宋体" w:eastAsia="仿宋_GB2312" w:cs="仿宋_GB2312"/>
          <w:color w:val="auto"/>
          <w:sz w:val="32"/>
          <w:szCs w:val="32"/>
          <w:lang w:eastAsia="zh-CN" w:bidi="ar-SA"/>
        </w:rPr>
        <w:t>三）</w:t>
      </w:r>
      <w:r>
        <w:rPr>
          <w:rFonts w:ascii="宋体" w:hAnsi="宋体" w:eastAsia="仿宋_GB2312" w:cs="仿宋_GB2312"/>
          <w:color w:val="auto"/>
          <w:sz w:val="32"/>
          <w:szCs w:val="32"/>
          <w:lang w:bidi="ar-SA"/>
        </w:rPr>
        <w:t>检查对象接到检查机构补报、更正通知后未在20个工作日内予以补报或更正的，检查机构应当根据《外商投资法》第三十七条、《办法》第二十五条，责令其于20个工作日内改正。责令限期改正可采取书面通知、约谈等方式进行。</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十</w:t>
      </w:r>
      <w:r>
        <w:rPr>
          <w:rFonts w:ascii="宋体" w:hAnsi="宋体" w:eastAsia="仿宋_GB2312" w:cs="仿宋_GB2312"/>
          <w:color w:val="auto"/>
          <w:sz w:val="32"/>
          <w:szCs w:val="32"/>
          <w:lang w:eastAsia="zh-CN" w:bidi="ar-SA"/>
        </w:rPr>
        <w:t>四）</w:t>
      </w:r>
      <w:r>
        <w:rPr>
          <w:rFonts w:ascii="宋体" w:hAnsi="宋体" w:eastAsia="仿宋_GB2312" w:cs="仿宋_GB2312"/>
          <w:color w:val="auto"/>
          <w:sz w:val="32"/>
          <w:szCs w:val="32"/>
          <w:lang w:bidi="ar-SA"/>
        </w:rPr>
        <w:t>检查对象接到检查机构责令改正通知后未在20个工作日内改正的，检查机构应当根据《外商投资法》第三十七条、《办法》第二十五条，处十万元以上三十万元以下罚款；逾期不改正且存在以下情形的，处三十万元以上五十万元以下罚款：</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1.</w:t>
      </w:r>
      <w:r>
        <w:rPr>
          <w:rFonts w:ascii="宋体" w:hAnsi="宋体" w:eastAsia="仿宋_GB2312" w:cs="仿宋_GB2312"/>
          <w:color w:val="auto"/>
          <w:sz w:val="32"/>
          <w:szCs w:val="32"/>
          <w:lang w:bidi="ar-SA"/>
        </w:rPr>
        <w:t>外国投资者或者外商投资企业故意逃避履行信息报告义务，或在进行信息报告时隐瞒真实情况、提供误导性或虚假信息；</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2.</w:t>
      </w:r>
      <w:r>
        <w:rPr>
          <w:rFonts w:ascii="宋体" w:hAnsi="宋体" w:eastAsia="仿宋_GB2312" w:cs="仿宋_GB2312"/>
          <w:color w:val="auto"/>
          <w:sz w:val="32"/>
          <w:szCs w:val="32"/>
          <w:lang w:bidi="ar-SA"/>
        </w:rPr>
        <w:t>外国投资者或者外商投资企业就所属行业、是否涉及外商投资准入特别管理措施、企业投资者及其实际控制人等重要信息报送错误；</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3.</w:t>
      </w:r>
      <w:r>
        <w:rPr>
          <w:rFonts w:ascii="宋体" w:hAnsi="宋体" w:eastAsia="仿宋_GB2312" w:cs="仿宋_GB2312"/>
          <w:color w:val="auto"/>
          <w:sz w:val="32"/>
          <w:szCs w:val="32"/>
          <w:lang w:bidi="ar-SA"/>
        </w:rPr>
        <w:t>外国投资者或者外商投资企业未按照本办法要求报送投资信息，并因此受到行政处罚的，两年内再次违反本办法有关要求；</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4.</w:t>
      </w:r>
      <w:r>
        <w:rPr>
          <w:rFonts w:ascii="宋体" w:hAnsi="宋体" w:eastAsia="仿宋_GB2312" w:cs="仿宋_GB2312"/>
          <w:color w:val="auto"/>
          <w:sz w:val="32"/>
          <w:szCs w:val="32"/>
          <w:lang w:bidi="ar-SA"/>
        </w:rPr>
        <w:t>商务主管部门认定的其他严重情形。</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十</w:t>
      </w:r>
      <w:r>
        <w:rPr>
          <w:rFonts w:ascii="宋体" w:hAnsi="宋体" w:eastAsia="仿宋_GB2312" w:cs="仿宋_GB2312"/>
          <w:color w:val="auto"/>
          <w:sz w:val="32"/>
          <w:szCs w:val="32"/>
          <w:lang w:eastAsia="zh-CN" w:bidi="ar-SA"/>
        </w:rPr>
        <w:t>五）</w:t>
      </w:r>
      <w:r>
        <w:rPr>
          <w:rFonts w:ascii="宋体" w:hAnsi="宋体" w:eastAsia="仿宋_GB2312" w:cs="仿宋_GB2312"/>
          <w:color w:val="auto"/>
          <w:sz w:val="32"/>
          <w:szCs w:val="32"/>
          <w:lang w:bidi="ar-SA"/>
        </w:rPr>
        <w:t>根据《行政处罚法》和《商务行政处罚程序规定》（商务部令2012年第6号），检查机构在做出罚款决定前，应当填写《外商投资信息报告行政处罚告知书》，告知检查对象拟作出行政处罚决定的事实、理由、依据、处罚内容，以及检查对象享有的陈述权、申辩权或听证权。</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检查对象有权进行陈述和申辩，检查机构必须充分听取检查对象的意见，对检查对象提出的事实、理由和依据，应当进行复核；检查对象提出的事实、理由或者证据成立的，检查机构应当采纳。检查机构不得因检查对象申辩而加重处罚。</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检查对象要求听证的，应当在检查机构告知之日起3日内书面提交听证申请，检查机构应当在收到申请材料后30日内组织听证，未依法举行听证不得作出相应行政处罚。听证应当根据《商务行政处罚程序规定》第五章第三节的规定进行。</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十</w:t>
      </w:r>
      <w:r>
        <w:rPr>
          <w:rFonts w:ascii="宋体" w:hAnsi="宋体" w:eastAsia="仿宋_GB2312" w:cs="仿宋_GB2312"/>
          <w:color w:val="auto"/>
          <w:sz w:val="32"/>
          <w:szCs w:val="32"/>
          <w:lang w:eastAsia="zh-CN" w:bidi="ar-SA"/>
        </w:rPr>
        <w:t>六）</w:t>
      </w:r>
      <w:r>
        <w:rPr>
          <w:rFonts w:ascii="宋体" w:hAnsi="宋体" w:eastAsia="仿宋_GB2312" w:cs="仿宋_GB2312"/>
          <w:color w:val="auto"/>
          <w:sz w:val="32"/>
          <w:szCs w:val="32"/>
          <w:lang w:bidi="ar-SA"/>
        </w:rPr>
        <w:t>检查机构通过监督检查发现检查对象存在违反《办法》并受到行政处罚的行为，可与市场监管、外汇、海关、税务等有关部门共享。在监督检查过程中发现检查对象可能存在不属于本部门管理职责的违法违规行为，也应及时通报有关部门。</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（十七）</w:t>
      </w:r>
      <w:r>
        <w:rPr>
          <w:rFonts w:ascii="宋体" w:hAnsi="宋体" w:eastAsia="仿宋_GB2312" w:cs="仿宋_GB2312"/>
          <w:color w:val="auto"/>
          <w:sz w:val="32"/>
          <w:szCs w:val="32"/>
          <w:lang w:bidi="ar-SA"/>
        </w:rPr>
        <w:t>检查机构应当填写检查工作记录表，如实记载检查情况，并将启动监督检查方式、监督检查人员和时间以及下达检查通知、补报/更正通知、责令整改通知、行政处罚告知书、行政处罚决定书等情况记入外商投资信息报告系统。</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（十八）</w:t>
      </w:r>
      <w:r>
        <w:rPr>
          <w:rFonts w:ascii="宋体" w:hAnsi="宋体" w:eastAsia="仿宋_GB2312" w:cs="仿宋_GB2312"/>
          <w:color w:val="auto"/>
          <w:sz w:val="32"/>
          <w:szCs w:val="32"/>
          <w:lang w:bidi="ar-SA"/>
        </w:rPr>
        <w:t>检查机构可根据本指引制定本区域监督检查实施细则，并抄报商务部。</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（十九）</w:t>
      </w:r>
      <w:r>
        <w:rPr>
          <w:rFonts w:ascii="宋体" w:hAnsi="宋体" w:eastAsia="仿宋_GB2312" w:cs="仿宋_GB2312"/>
          <w:color w:val="auto"/>
          <w:sz w:val="32"/>
          <w:szCs w:val="32"/>
          <w:lang w:bidi="ar-SA"/>
        </w:rPr>
        <w:t>对外国投资者在中国境内投资银行业、证券业、保险业等金融行业的信息报告监督检查适用本指引。</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bidi="ar-SA"/>
        </w:rPr>
        <w:t>对香港特别行政区、澳门特别行政区、台湾地区投资者以及定居在国外的中国公民的投资，参照本指引开展信息报告监督检查。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二十</w:t>
      </w: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检查机构可参照本指引所附《外商投资信息报告检查通知》（实地核查、书面检查）《外商投资信息报告补报/更正通知》《外商投资信息报告责令改正通知》《外商投资信息报告行政处罚告知书》《外商投资信息报告行政处罚决定书》样例，也可结合本地实际情况自行制定文书样例。</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eastAsia="zh-CN" w:bidi="ar-SA"/>
        </w:rPr>
        <w:t>（</w:t>
      </w:r>
      <w:r>
        <w:rPr>
          <w:rFonts w:ascii="宋体" w:hAnsi="宋体" w:eastAsia="仿宋_GB2312" w:cs="仿宋_GB2312"/>
          <w:color w:val="auto"/>
          <w:sz w:val="32"/>
          <w:szCs w:val="32"/>
          <w:lang w:bidi="ar-SA"/>
        </w:rPr>
        <w:t>二十</w:t>
      </w:r>
      <w:r>
        <w:rPr>
          <w:rFonts w:ascii="宋体" w:hAnsi="宋体" w:eastAsia="仿宋_GB2312" w:cs="仿宋_GB2312"/>
          <w:color w:val="auto"/>
          <w:sz w:val="32"/>
          <w:szCs w:val="32"/>
          <w:lang w:eastAsia="zh-CN" w:bidi="ar-SA"/>
        </w:rPr>
        <w:t>一）</w:t>
      </w:r>
      <w:r>
        <w:rPr>
          <w:rFonts w:ascii="宋体" w:hAnsi="宋体" w:eastAsia="仿宋_GB2312" w:cs="仿宋_GB2312"/>
          <w:color w:val="auto"/>
          <w:sz w:val="32"/>
          <w:szCs w:val="32"/>
          <w:lang w:bidi="ar-SA"/>
        </w:rPr>
        <w:t>监督检查应坚持以下原则：</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1.</w:t>
      </w:r>
      <w:r>
        <w:rPr>
          <w:rFonts w:ascii="宋体" w:hAnsi="宋体" w:eastAsia="仿宋_GB2312" w:cs="仿宋_GB2312"/>
          <w:color w:val="auto"/>
          <w:sz w:val="32"/>
          <w:szCs w:val="32"/>
          <w:lang w:bidi="ar-SA"/>
        </w:rPr>
        <w:t>依法监管原则。坚持权责法定、依法行政，严格执行有关法律法规，规范监管行为，落实监管责任，推进事中事后监管法治化、制度化、规范化。</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2.</w:t>
      </w:r>
      <w:r>
        <w:rPr>
          <w:rFonts w:ascii="宋体" w:hAnsi="宋体" w:eastAsia="仿宋_GB2312" w:cs="仿宋_GB2312"/>
          <w:color w:val="auto"/>
          <w:sz w:val="32"/>
          <w:szCs w:val="32"/>
          <w:lang w:bidi="ar-SA"/>
        </w:rPr>
        <w:t>公开公正原则。坚持检查事项公开、程序公开、结果公开，保障检查对象权利平等和机会平等。</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3.</w:t>
      </w:r>
      <w:r>
        <w:rPr>
          <w:rFonts w:ascii="宋体" w:hAnsi="宋体" w:eastAsia="仿宋_GB2312" w:cs="仿宋_GB2312"/>
          <w:color w:val="auto"/>
          <w:sz w:val="32"/>
          <w:szCs w:val="32"/>
          <w:lang w:bidi="ar-SA"/>
        </w:rPr>
        <w:t>协同高效原则。建立健全协同监管与信息共享机制，形成监管合力，充分发挥互联网等现代科技手段的作用，提高监管效率，避免重复检查干扰企业正常生产经营。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bidi="ar-SA"/>
        </w:rPr>
      </w:pPr>
      <w:r>
        <w:rPr>
          <w:rFonts w:ascii="宋体" w:hAnsi="宋体" w:eastAsia="仿宋_GB2312" w:cs="仿宋_GB2312"/>
          <w:color w:val="auto"/>
          <w:sz w:val="32"/>
          <w:szCs w:val="32"/>
          <w:lang w:val="en-US" w:eastAsia="zh-CN" w:bidi="ar-SA"/>
        </w:rPr>
        <w:t>4.</w:t>
      </w:r>
      <w:r>
        <w:rPr>
          <w:rFonts w:ascii="宋体" w:hAnsi="宋体" w:eastAsia="仿宋_GB2312" w:cs="仿宋_GB2312"/>
          <w:color w:val="auto"/>
          <w:sz w:val="32"/>
          <w:szCs w:val="32"/>
          <w:lang w:bidi="ar-SA"/>
        </w:rPr>
        <w:t>分级分类原则。根据外商投资企业（机构）的规模、行业、区域以及风险程度，分别确定重点监督检查内容、方式和频次，提升事中事后监管精准化水平。</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黑体" w:eastAsia="黑体" w:cs="黑体"/>
          <w:color w:val="auto"/>
          <w:sz w:val="32"/>
          <w:szCs w:val="32"/>
          <w:lang w:bidi="ar-SA"/>
        </w:rPr>
      </w:pPr>
      <w:r>
        <w:rPr>
          <w:rFonts w:hint="eastAsia" w:ascii="黑体" w:eastAsia="黑体" w:cs="黑体"/>
          <w:color w:val="auto"/>
          <w:sz w:val="32"/>
          <w:szCs w:val="32"/>
          <w:lang w:bidi="ar-SA"/>
        </w:rPr>
        <w:t>三、检查依据</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楷体_GB2312" w:cs="楷体_GB2312"/>
          <w:color w:val="auto"/>
          <w:sz w:val="32"/>
          <w:szCs w:val="32"/>
          <w:lang w:val="en-US" w:eastAsia="zh-CN" w:bidi="ar-SA"/>
        </w:rPr>
      </w:pPr>
      <w:r>
        <w:rPr>
          <w:rFonts w:ascii="宋体" w:hAnsi="宋体" w:eastAsia="楷体_GB2312" w:cs="楷体_GB2312"/>
          <w:color w:val="auto"/>
          <w:sz w:val="32"/>
          <w:szCs w:val="32"/>
          <w:lang w:val="en-US" w:eastAsia="zh-CN" w:bidi="ar-SA"/>
        </w:rPr>
        <w:t>（一）《中华人民共和国外商投资法》（2020年施行）</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ascii="宋体" w:hAnsi="宋体" w:eastAsia="仿宋_GB2312" w:cs="仿宋_GB2312"/>
          <w:color w:val="auto"/>
          <w:sz w:val="32"/>
          <w:szCs w:val="32"/>
          <w:lang w:val="en-US" w:eastAsia="zh-CN" w:bidi="ar-SA"/>
        </w:rPr>
        <w:t>第三十七条  外国投资者、外商投资企业违反本法规定，未按照外商投资信息报告制度的要求报送投资信息的，由商务主管部门责令限期改正；逾期不改正的，处十万元以上五十万元以下的罚款。</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宋体" w:hAnsi="宋体" w:eastAsia="楷体_GB2312" w:cs="楷体_GB2312"/>
          <w:color w:val="auto"/>
          <w:sz w:val="32"/>
          <w:szCs w:val="32"/>
          <w:lang w:val="en-US" w:eastAsia="zh-CN" w:bidi="ar-SA"/>
        </w:rPr>
      </w:pPr>
      <w:r>
        <w:rPr>
          <w:rFonts w:hint="eastAsia" w:ascii="宋体" w:hAnsi="宋体" w:eastAsia="楷体_GB2312" w:cs="楷体_GB2312"/>
          <w:color w:val="auto"/>
          <w:sz w:val="32"/>
          <w:szCs w:val="32"/>
          <w:lang w:val="en-US" w:eastAsia="zh-CN" w:bidi="ar-SA"/>
        </w:rPr>
        <w:t>（二）《外商投资信息报告办法》（2020年施行）</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ascii="宋体" w:hAnsi="宋体" w:eastAsia="仿宋_GB2312" w:cs="仿宋_GB2312"/>
          <w:color w:val="auto"/>
          <w:sz w:val="32"/>
          <w:szCs w:val="32"/>
          <w:lang w:val="en-US" w:eastAsia="zh-CN" w:bidi="ar-SA"/>
        </w:rPr>
        <w:t>第二十条  商务主管部门对外国投资者、外商投资企业遵守本办法情况实施监督检查。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ascii="宋体" w:hAnsi="宋体" w:eastAsia="仿宋_GB2312" w:cs="仿宋_GB2312"/>
          <w:color w:val="auto"/>
          <w:sz w:val="32"/>
          <w:szCs w:val="32"/>
          <w:lang w:val="en-US" w:eastAsia="zh-CN" w:bidi="ar-SA"/>
        </w:rPr>
        <w:t>商务主管部门可联合有关部门，采取抽查、根据举报进行检查、根据有关部门或司法机关的建议和反映的情况进行检查，以及依职权启动检查等方式开展监督检查。</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hint="eastAsia" w:ascii="宋体" w:hAnsi="宋体" w:eastAsia="仿宋_GB2312" w:cs="仿宋_GB2312"/>
          <w:color w:val="auto"/>
          <w:sz w:val="32"/>
          <w:szCs w:val="32"/>
          <w:lang w:val="en-US" w:eastAsia="zh-CN" w:bidi="ar-SA"/>
        </w:rPr>
        <w:t xml:space="preserve">第二十五条  </w:t>
      </w:r>
      <w:r>
        <w:rPr>
          <w:rFonts w:ascii="宋体" w:hAnsi="宋体" w:eastAsia="仿宋_GB2312" w:cs="仿宋_GB2312"/>
          <w:color w:val="auto"/>
          <w:sz w:val="32"/>
          <w:szCs w:val="32"/>
          <w:lang w:val="en-US" w:eastAsia="zh-CN" w:bidi="ar-SA"/>
        </w:rPr>
        <w:t>外国投资者或者外商投资企业未按照本办法要求报送投资信息，且在商务主管部门通知后未按照本办法第十九条予以补报或更正的，由商务主管部门责令其于20个工作日内改正；逾期不改正的，处十万元以上三十万元以下罚款；逾期不改正且存在以下情形的，处三十万元以上五十万元以下罚款：</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hint="eastAsia" w:ascii="宋体" w:hAnsi="宋体" w:eastAsia="仿宋_GB2312" w:cs="仿宋_GB2312"/>
          <w:color w:val="auto"/>
          <w:sz w:val="32"/>
          <w:szCs w:val="32"/>
          <w:lang w:val="en-US" w:eastAsia="zh-CN" w:bidi="ar-SA"/>
        </w:rPr>
        <w:t>1.</w:t>
      </w:r>
      <w:r>
        <w:rPr>
          <w:rFonts w:ascii="宋体" w:hAnsi="宋体" w:eastAsia="仿宋_GB2312" w:cs="仿宋_GB2312"/>
          <w:color w:val="auto"/>
          <w:sz w:val="32"/>
          <w:szCs w:val="32"/>
          <w:lang w:val="en-US" w:eastAsia="zh-CN" w:bidi="ar-SA"/>
        </w:rPr>
        <w:t>外国投资者或者外商投资企业故意逃避履行信息报告义务，或在进行信息报告时隐瞒真实情况、提供误导性或虚假信息；</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hint="eastAsia" w:ascii="宋体" w:hAnsi="宋体" w:eastAsia="仿宋_GB2312" w:cs="仿宋_GB2312"/>
          <w:color w:val="auto"/>
          <w:sz w:val="32"/>
          <w:szCs w:val="32"/>
          <w:lang w:val="en-US" w:eastAsia="zh-CN" w:bidi="ar-SA"/>
        </w:rPr>
        <w:t>2.</w:t>
      </w:r>
      <w:r>
        <w:rPr>
          <w:rFonts w:ascii="宋体" w:hAnsi="宋体" w:eastAsia="仿宋_GB2312" w:cs="仿宋_GB2312"/>
          <w:color w:val="auto"/>
          <w:sz w:val="32"/>
          <w:szCs w:val="32"/>
          <w:lang w:val="en-US" w:eastAsia="zh-CN" w:bidi="ar-SA"/>
        </w:rPr>
        <w:t>外国投资者或者外商投资企业就所属行业、是否涉及外商投资准入特别管理措施、企业投资者及其实际控制人等重要信息报送错误；</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hint="eastAsia" w:ascii="宋体" w:hAnsi="宋体" w:eastAsia="仿宋_GB2312" w:cs="仿宋_GB2312"/>
          <w:color w:val="auto"/>
          <w:sz w:val="32"/>
          <w:szCs w:val="32"/>
          <w:lang w:val="en-US" w:eastAsia="zh-CN" w:bidi="ar-SA"/>
        </w:rPr>
        <w:t>3.</w:t>
      </w:r>
      <w:r>
        <w:rPr>
          <w:rFonts w:ascii="宋体" w:hAnsi="宋体" w:eastAsia="仿宋_GB2312" w:cs="仿宋_GB2312"/>
          <w:color w:val="auto"/>
          <w:sz w:val="32"/>
          <w:szCs w:val="32"/>
          <w:lang w:val="en-US" w:eastAsia="zh-CN" w:bidi="ar-SA"/>
        </w:rPr>
        <w:t>外国投资者或者外商投资企业未按照本办法要求报送投资信息，并因此受到行政处罚的，两年内再次违反本办法有关要求；</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r>
        <w:rPr>
          <w:rFonts w:hint="eastAsia" w:ascii="宋体" w:hAnsi="宋体" w:eastAsia="仿宋_GB2312" w:cs="仿宋_GB2312"/>
          <w:color w:val="auto"/>
          <w:sz w:val="32"/>
          <w:szCs w:val="32"/>
          <w:lang w:val="en-US" w:eastAsia="zh-CN" w:bidi="ar-SA"/>
        </w:rPr>
        <w:t>4.</w:t>
      </w:r>
      <w:r>
        <w:rPr>
          <w:rFonts w:ascii="宋体" w:hAnsi="宋体" w:eastAsia="仿宋_GB2312" w:cs="仿宋_GB2312"/>
          <w:color w:val="auto"/>
          <w:sz w:val="32"/>
          <w:szCs w:val="32"/>
          <w:lang w:val="en-US" w:eastAsia="zh-CN" w:bidi="ar-SA"/>
        </w:rPr>
        <w:t>商务主管部门认定的其他严重情形。</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宋体" w:hAnsi="宋体" w:eastAsia="仿宋_GB2312" w:cs="仿宋_GB2312"/>
          <w:color w:val="auto"/>
          <w:sz w:val="32"/>
          <w:szCs w:val="32"/>
          <w:lang w:val="en-US" w:eastAsia="zh-CN" w:bidi="ar-SA"/>
        </w:rPr>
      </w:pPr>
    </w:p>
    <w:p>
      <w:pPr>
        <w:spacing w:line="500" w:lineRule="exact"/>
        <w:rPr>
          <w:rFonts w:eastAsia="方正小标宋简体"/>
          <w:bCs/>
          <w:color w:val="auto"/>
          <w:sz w:val="44"/>
          <w:szCs w:val="36"/>
        </w:rPr>
      </w:pPr>
      <w:r>
        <w:rPr>
          <w:b/>
          <w:bCs/>
          <w:color w:val="auto"/>
          <w:sz w:val="36"/>
          <w:szCs w:val="36"/>
        </w:rPr>
        <w:br w:type="page"/>
      </w:r>
    </w:p>
    <w:p>
      <w:pPr>
        <w:spacing w:line="700" w:lineRule="exact"/>
        <w:jc w:val="center"/>
        <w:rPr>
          <w:rFonts w:eastAsia="方正小标宋简体"/>
          <w:bCs/>
          <w:color w:val="auto"/>
          <w:sz w:val="44"/>
          <w:szCs w:val="36"/>
        </w:rPr>
      </w:pPr>
      <w:r>
        <w:rPr>
          <w:rFonts w:eastAsia="方正小标宋简体"/>
          <w:bCs/>
          <w:color w:val="auto"/>
          <w:sz w:val="44"/>
          <w:szCs w:val="36"/>
        </w:rPr>
        <w:t>（检查机构名称）外商投资信息报告检查通知</w:t>
      </w:r>
    </w:p>
    <w:p>
      <w:pPr>
        <w:spacing w:line="600" w:lineRule="exact"/>
        <w:jc w:val="center"/>
        <w:rPr>
          <w:rFonts w:hint="eastAsia" w:ascii="楷体_GB2312" w:eastAsia="楷体_GB2312" w:cs="楷体_GB2312"/>
          <w:color w:val="auto"/>
          <w:sz w:val="32"/>
          <w:szCs w:val="32"/>
          <w:lang w:bidi="ar-SA"/>
        </w:rPr>
      </w:pPr>
      <w:r>
        <w:rPr>
          <w:rFonts w:hint="eastAsia" w:ascii="楷体_GB2312" w:eastAsia="楷体_GB2312" w:cs="楷体_GB2312"/>
          <w:color w:val="auto"/>
          <w:sz w:val="32"/>
          <w:szCs w:val="32"/>
          <w:lang w:bidi="ar-SA"/>
        </w:rPr>
        <w:t>（实地核查）</w:t>
      </w:r>
    </w:p>
    <w:p>
      <w:pPr>
        <w:spacing w:line="600" w:lineRule="exact"/>
        <w:jc w:val="center"/>
        <w:rPr>
          <w:rFonts w:hint="eastAsia" w:ascii="楷体_GB2312" w:eastAsia="楷体_GB2312" w:cs="楷体_GB2312"/>
          <w:color w:val="auto"/>
          <w:sz w:val="32"/>
          <w:szCs w:val="32"/>
          <w:lang w:bidi="ar-SA"/>
        </w:rPr>
      </w:pPr>
      <w:r>
        <w:rPr>
          <w:rFonts w:hint="eastAsia" w:ascii="楷体_GB2312" w:eastAsia="楷体_GB2312" w:cs="楷体_GB2312"/>
          <w:color w:val="auto"/>
          <w:sz w:val="32"/>
          <w:szCs w:val="32"/>
          <w:lang w:bidi="ar-SA"/>
        </w:rPr>
        <w:t>文号</w:t>
      </w:r>
    </w:p>
    <w:p>
      <w:pPr>
        <w:spacing w:line="560" w:lineRule="exact"/>
        <w:rPr>
          <w:rFonts w:hint="eastAsia" w:ascii="仿宋_GB2312" w:eastAsia="仿宋_GB2312" w:cs="仿宋_GB2312"/>
          <w:color w:val="auto"/>
          <w:sz w:val="32"/>
          <w:szCs w:val="32"/>
          <w:lang w:bidi="ar-SA"/>
        </w:rPr>
      </w:pPr>
    </w:p>
    <w:p>
      <w:pPr>
        <w:spacing w:line="560" w:lineRule="exact"/>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（企业名称）：</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根据《外商投资信息报告办法》（下称《办法》）的相关规定，我（单位）拟于</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日对你（单位）遵守《办法》的有关情况进行实地核查。</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根据《办法》第二十二条，“商务主管部门可依法查阅或者要求被检查人提供有关材料，被检查人应当配合检查，如实提供”，现请你（单位）准备如下材料备查：</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（材料清单）</w:t>
      </w:r>
    </w:p>
    <w:p>
      <w:pPr>
        <w:spacing w:line="560" w:lineRule="exact"/>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本次检查结果将记入外商投资信息报告系统，与市场监管、外汇、海关、税务等有关部门共享，并通过外商投资信息报告系统公示平台进行公示。</w:t>
      </w:r>
    </w:p>
    <w:p>
      <w:pPr>
        <w:spacing w:line="560" w:lineRule="exact"/>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对检查事宜存有任何疑问，可与我（单位）（具体部门）进行联系。</w:t>
      </w:r>
    </w:p>
    <w:p>
      <w:pPr>
        <w:spacing w:line="560" w:lineRule="exact"/>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联系人：</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 xml:space="preserve">      联系方式：</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 xml:space="preserve"> </w:t>
      </w:r>
    </w:p>
    <w:p>
      <w:pPr>
        <w:spacing w:line="560" w:lineRule="exact"/>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xml:space="preserve">                        </w:t>
      </w:r>
    </w:p>
    <w:p>
      <w:pPr>
        <w:spacing w:line="560" w:lineRule="exact"/>
        <w:ind w:firstLine="640" w:firstLineChars="200"/>
        <w:jc w:val="right"/>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检查机构名称（加盖公章）</w:t>
      </w:r>
    </w:p>
    <w:p>
      <w:pPr>
        <w:spacing w:line="560" w:lineRule="exact"/>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xml:space="preserve">                       </w:t>
      </w:r>
      <w:r>
        <w:rPr>
          <w:rFonts w:hint="eastAsia" w:ascii="仿宋_GB2312" w:eastAsia="仿宋_GB2312" w:cs="仿宋_GB2312"/>
          <w:color w:val="auto"/>
          <w:sz w:val="32"/>
          <w:szCs w:val="32"/>
          <w:lang w:val="en-US" w:eastAsia="zh-CN" w:bidi="ar-SA"/>
        </w:rPr>
        <w:t xml:space="preserve">   </w:t>
      </w:r>
      <w:r>
        <w:rPr>
          <w:rFonts w:hint="eastAsia" w:ascii="仿宋_GB2312" w:eastAsia="仿宋_GB2312" w:cs="仿宋_GB2312"/>
          <w:color w:val="auto"/>
          <w:sz w:val="32"/>
          <w:szCs w:val="32"/>
          <w:lang w:bidi="ar-SA"/>
        </w:rPr>
        <w:t xml:space="preserve"> </w:t>
      </w:r>
      <w:r>
        <w:rPr>
          <w:rFonts w:hint="eastAsia" w:ascii="仿宋_GB2312" w:eastAsia="仿宋_GB2312" w:cs="仿宋_GB2312"/>
          <w:color w:val="auto"/>
          <w:sz w:val="32"/>
          <w:szCs w:val="32"/>
          <w:lang w:val="en-US" w:eastAsia="zh-CN" w:bidi="ar-SA"/>
        </w:rPr>
        <w:t xml:space="preserve"> </w:t>
      </w:r>
      <w:r>
        <w:rPr>
          <w:rFonts w:hint="eastAsia" w:ascii="仿宋_GB2312" w:eastAsia="仿宋_GB2312" w:cs="仿宋_GB2312"/>
          <w:color w:val="auto"/>
          <w:sz w:val="32"/>
          <w:szCs w:val="32"/>
          <w:lang w:bidi="ar-SA"/>
        </w:rPr>
        <w:t xml:space="preserve">    </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u w:val="single"/>
          <w:lang w:val="en-US" w:eastAsia="zh-CN" w:bidi="ar-SA"/>
        </w:rPr>
        <w:t xml:space="preserve">  </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eastAsia="黑体"/>
          <w:color w:val="auto"/>
          <w:sz w:val="32"/>
          <w:szCs w:val="32"/>
        </w:rPr>
      </w:pPr>
      <w:r>
        <w:rPr>
          <w:rFonts w:hint="eastAsia" w:ascii="仿宋_GB2312" w:eastAsia="仿宋_GB2312" w:cs="仿宋_GB2312"/>
          <w:color w:val="auto"/>
          <w:sz w:val="32"/>
          <w:szCs w:val="32"/>
          <w:lang w:bidi="ar-SA"/>
        </w:rPr>
        <w:br w:type="page"/>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eastAsia="方正小标宋简体"/>
          <w:bCs/>
          <w:color w:val="auto"/>
          <w:sz w:val="44"/>
          <w:szCs w:val="36"/>
        </w:rPr>
      </w:pPr>
      <w:r>
        <w:rPr>
          <w:rFonts w:eastAsia="方正小标宋简体"/>
          <w:bCs/>
          <w:color w:val="auto"/>
          <w:sz w:val="44"/>
          <w:szCs w:val="36"/>
        </w:rPr>
        <w:t>（检查机构名称）外商投资信息报告检查通知</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楷体_GB2312" w:eastAsia="楷体_GB2312" w:cs="楷体_GB2312"/>
          <w:color w:val="auto"/>
          <w:sz w:val="32"/>
          <w:szCs w:val="32"/>
          <w:lang w:bidi="ar-SA"/>
        </w:rPr>
      </w:pPr>
      <w:r>
        <w:rPr>
          <w:rFonts w:hint="eastAsia" w:ascii="楷体_GB2312" w:eastAsia="楷体_GB2312" w:cs="楷体_GB2312"/>
          <w:color w:val="auto"/>
          <w:sz w:val="32"/>
          <w:szCs w:val="32"/>
          <w:lang w:bidi="ar-SA"/>
        </w:rPr>
        <w:t>（书面检查）</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楷体_GB2312" w:eastAsia="楷体_GB2312" w:cs="楷体_GB2312"/>
          <w:color w:val="auto"/>
          <w:sz w:val="32"/>
          <w:szCs w:val="32"/>
          <w:lang w:bidi="ar-SA"/>
        </w:rPr>
      </w:pPr>
      <w:r>
        <w:rPr>
          <w:rFonts w:hint="eastAsia" w:ascii="楷体_GB2312" w:eastAsia="楷体_GB2312" w:cs="楷体_GB2312"/>
          <w:color w:val="auto"/>
          <w:sz w:val="32"/>
          <w:szCs w:val="32"/>
          <w:lang w:bidi="ar-SA"/>
        </w:rPr>
        <w:t>文号</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eastAsia="仿宋_GB2312" w:cs="仿宋_GB2312"/>
          <w:color w:val="auto"/>
          <w:sz w:val="32"/>
          <w:szCs w:val="32"/>
          <w:lang w:bidi="ar-S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（企业名称）：</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根据《外商投资信息报告办法》（下称《办法》）的相关规定，我（单位）拟于</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日对你（单位）遵守《办法》的有关情况进行书面检查。</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根据《办法》第二十二条，“商务主管部门可依法查阅或者要求被检查人提供有关材料，被检查人应当配合检查，如实提供”，现请你（单位）于</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日前到（具体地址）或通过邮件（邮箱地址）、传真（传真号码）方式提交如下材料：</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（材料清单）</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本次检查结果将记入外商投资信息报告系统，与市场监管、外汇、海关、税务等有关部门共享，并通过外商投资信息报告系统公示平台进行公示。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对检查事宜存有任何疑问，可与我（单位）（具体部门）进行联系。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联系人：</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 xml:space="preserve">      联系方式：</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right"/>
        <w:textAlignment w:val="auto"/>
        <w:rPr>
          <w:rFonts w:hint="eastAsia" w:ascii="仿宋_GB2312" w:eastAsia="仿宋_GB2312" w:cs="仿宋_GB2312"/>
          <w:color w:val="auto"/>
          <w:sz w:val="32"/>
          <w:szCs w:val="32"/>
          <w:lang w:bidi="ar-SA"/>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right"/>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检查机构名称（加盖公章）</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xml:space="preserve">                        </w:t>
      </w:r>
      <w:r>
        <w:rPr>
          <w:rFonts w:hint="eastAsia" w:ascii="仿宋_GB2312" w:eastAsia="仿宋_GB2312" w:cs="仿宋_GB2312"/>
          <w:color w:val="auto"/>
          <w:sz w:val="32"/>
          <w:szCs w:val="32"/>
          <w:lang w:val="en-US" w:eastAsia="zh-CN" w:bidi="ar-SA"/>
        </w:rPr>
        <w:t xml:space="preserve">   </w:t>
      </w:r>
      <w:r>
        <w:rPr>
          <w:rFonts w:hint="eastAsia" w:ascii="仿宋_GB2312" w:eastAsia="仿宋_GB2312" w:cs="仿宋_GB2312"/>
          <w:color w:val="auto"/>
          <w:sz w:val="32"/>
          <w:szCs w:val="32"/>
          <w:lang w:bidi="ar-SA"/>
        </w:rPr>
        <w:t xml:space="preserve">     </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u w:val="single"/>
          <w:lang w:val="en-US" w:eastAsia="zh-CN" w:bidi="ar-SA"/>
        </w:rPr>
        <w:t xml:space="preserve">  </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w:t>
      </w:r>
    </w:p>
    <w:p>
      <w:pPr>
        <w:spacing w:line="500" w:lineRule="exact"/>
        <w:rPr>
          <w:rFonts w:eastAsia="方正小标宋简体"/>
          <w:bCs/>
          <w:color w:val="auto"/>
          <w:spacing w:val="-18"/>
          <w:sz w:val="44"/>
          <w:szCs w:val="36"/>
        </w:rPr>
      </w:pPr>
      <w:r>
        <w:rPr>
          <w:rFonts w:hint="eastAsia" w:ascii="仿宋_GB2312" w:eastAsia="仿宋_GB2312" w:cs="仿宋_GB2312"/>
          <w:color w:val="auto"/>
          <w:sz w:val="32"/>
          <w:szCs w:val="32"/>
          <w:lang w:bidi="ar-SA"/>
        </w:rPr>
        <w:br w:type="page"/>
      </w:r>
    </w:p>
    <w:p>
      <w:pPr>
        <w:spacing w:line="600" w:lineRule="exact"/>
        <w:jc w:val="center"/>
        <w:rPr>
          <w:rFonts w:eastAsia="方正小标宋简体"/>
          <w:bCs/>
          <w:color w:val="auto"/>
          <w:spacing w:val="-18"/>
          <w:sz w:val="44"/>
          <w:szCs w:val="36"/>
        </w:rPr>
      </w:pPr>
      <w:r>
        <w:rPr>
          <w:rFonts w:eastAsia="方正小标宋简体"/>
          <w:bCs/>
          <w:color w:val="auto"/>
          <w:spacing w:val="-18"/>
          <w:sz w:val="44"/>
          <w:szCs w:val="36"/>
        </w:rPr>
        <w:t>（检查机构名称）外商投资信息报告补报/更正通知</w:t>
      </w:r>
    </w:p>
    <w:p>
      <w:pPr>
        <w:spacing w:line="600" w:lineRule="exact"/>
        <w:jc w:val="center"/>
        <w:rPr>
          <w:rFonts w:hint="eastAsia" w:ascii="楷体_GB2312" w:eastAsia="楷体_GB2312" w:cs="楷体_GB2312"/>
          <w:color w:val="auto"/>
          <w:sz w:val="32"/>
          <w:szCs w:val="32"/>
          <w:lang w:bidi="ar-SA"/>
        </w:rPr>
      </w:pPr>
      <w:r>
        <w:rPr>
          <w:rFonts w:hint="eastAsia" w:ascii="楷体_GB2312" w:eastAsia="楷体_GB2312" w:cs="楷体_GB2312"/>
          <w:color w:val="auto"/>
          <w:sz w:val="32"/>
          <w:szCs w:val="32"/>
          <w:lang w:bidi="ar-SA"/>
        </w:rPr>
        <w:t>文号</w:t>
      </w:r>
    </w:p>
    <w:p>
      <w:pPr>
        <w:spacing w:line="560" w:lineRule="exact"/>
        <w:rPr>
          <w:rFonts w:hint="eastAsia" w:ascii="仿宋_GB2312" w:eastAsia="仿宋_GB2312" w:cs="仿宋_GB2312"/>
          <w:color w:val="auto"/>
          <w:sz w:val="32"/>
          <w:szCs w:val="32"/>
          <w:lang w:bidi="ar-SA"/>
        </w:rPr>
      </w:pPr>
    </w:p>
    <w:p>
      <w:pPr>
        <w:spacing w:line="560" w:lineRule="exact"/>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（企业名称）：</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根据《外商投资信息报告办法》（下称《办法》）的相关规定，我（单位）于</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日对你（单位）遵守《办法》的有关情况进行了实地核查/书面检查。经查，你（单位）</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的行为，涉嫌违反《办法》第</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条规定。</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根据《办法》第十九条规定，现通知你（单位）在20个工作日内（</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前）补报/更正。逾期不补报/更正的，我（单位）将根据《外商投资法》第三十七条和《办法》第二十五条责令限期改正。责令限期改正后仍逾期不改正的，处十万元以上五十万元以下的罚款，行政处罚相关情况将通过外商投资信息报告系统公示平台进行公示。</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补报/更正渠道：</w:t>
      </w:r>
      <w:r>
        <w:rPr>
          <w:rFonts w:hint="eastAsia" w:ascii="仿宋_GB2312" w:eastAsia="仿宋_GB2312" w:cs="仿宋_GB2312"/>
          <w:color w:val="auto"/>
          <w:sz w:val="32"/>
          <w:szCs w:val="32"/>
          <w:u w:val="single"/>
          <w:lang w:bidi="ar-SA"/>
        </w:rPr>
        <w:t xml:space="preserve">                                    </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补报/更正内容及具体要求：</w:t>
      </w:r>
      <w:r>
        <w:rPr>
          <w:rFonts w:hint="eastAsia" w:ascii="仿宋_GB2312" w:eastAsia="仿宋_GB2312" w:cs="仿宋_GB2312"/>
          <w:color w:val="auto"/>
          <w:sz w:val="32"/>
          <w:szCs w:val="32"/>
          <w:u w:val="single"/>
          <w:lang w:bidi="ar-SA"/>
        </w:rPr>
        <w:t xml:space="preserve">                       </w:t>
      </w:r>
    </w:p>
    <w:p>
      <w:pPr>
        <w:spacing w:line="560" w:lineRule="exact"/>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对补报/更正事宜存有任何疑问，可与我（单位）（具体部门）进行联系。</w:t>
      </w:r>
    </w:p>
    <w:p>
      <w:pPr>
        <w:spacing w:line="560" w:lineRule="exact"/>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联系人：</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 xml:space="preserve">      联系方式：</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 xml:space="preserve"> </w:t>
      </w:r>
    </w:p>
    <w:p>
      <w:pPr>
        <w:spacing w:line="400" w:lineRule="exact"/>
        <w:ind w:firstLine="4534" w:firstLineChars="1417"/>
        <w:jc w:val="center"/>
        <w:rPr>
          <w:rFonts w:hint="eastAsia" w:ascii="仿宋_GB2312" w:eastAsia="仿宋_GB2312" w:cs="仿宋_GB2312"/>
          <w:color w:val="auto"/>
          <w:sz w:val="32"/>
          <w:szCs w:val="32"/>
          <w:lang w:bidi="ar-SA"/>
        </w:rPr>
      </w:pPr>
    </w:p>
    <w:p>
      <w:pPr>
        <w:spacing w:line="560" w:lineRule="exact"/>
        <w:ind w:firstLine="4534" w:firstLineChars="1417"/>
        <w:jc w:val="cente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检查机构名称（加盖公章）</w:t>
      </w:r>
    </w:p>
    <w:p>
      <w:pPr>
        <w:spacing w:line="560" w:lineRule="exact"/>
        <w:ind w:firstLine="4534" w:firstLineChars="1417"/>
        <w:jc w:val="cente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u w:val="single"/>
          <w:lang w:val="en-US" w:eastAsia="zh-CN" w:bidi="ar-SA"/>
        </w:rPr>
        <w:t xml:space="preserve">  </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w:t>
      </w:r>
    </w:p>
    <w:p>
      <w:pPr>
        <w:spacing w:line="500" w:lineRule="exact"/>
        <w:rPr>
          <w:rFonts w:eastAsia="方正小标宋简体"/>
          <w:bCs/>
          <w:color w:val="auto"/>
          <w:spacing w:val="-16"/>
          <w:sz w:val="44"/>
          <w:szCs w:val="36"/>
        </w:rPr>
      </w:pPr>
      <w:r>
        <w:rPr>
          <w:rFonts w:hint="eastAsia" w:ascii="仿宋_GB2312" w:eastAsia="仿宋_GB2312" w:cs="仿宋_GB2312"/>
          <w:color w:val="auto"/>
          <w:sz w:val="32"/>
          <w:szCs w:val="32"/>
          <w:lang w:bidi="ar-SA"/>
        </w:rPr>
        <w:br w:type="page"/>
      </w:r>
    </w:p>
    <w:p>
      <w:pPr>
        <w:spacing w:line="600" w:lineRule="exact"/>
        <w:jc w:val="center"/>
        <w:rPr>
          <w:rFonts w:eastAsia="方正小标宋简体"/>
          <w:bCs/>
          <w:color w:val="auto"/>
          <w:spacing w:val="-16"/>
          <w:sz w:val="44"/>
          <w:szCs w:val="36"/>
        </w:rPr>
      </w:pPr>
      <w:r>
        <w:rPr>
          <w:rFonts w:eastAsia="方正小标宋简体"/>
          <w:bCs/>
          <w:color w:val="auto"/>
          <w:spacing w:val="-16"/>
          <w:sz w:val="44"/>
          <w:szCs w:val="36"/>
        </w:rPr>
        <w:t>（检查机构名称）外商投资信息报告责令改正通知</w:t>
      </w:r>
    </w:p>
    <w:p>
      <w:pPr>
        <w:spacing w:line="600" w:lineRule="exact"/>
        <w:jc w:val="center"/>
        <w:rPr>
          <w:rFonts w:hint="eastAsia" w:ascii="楷体_GB2312" w:eastAsia="楷体_GB2312" w:cs="楷体_GB2312"/>
          <w:color w:val="auto"/>
          <w:sz w:val="32"/>
          <w:szCs w:val="32"/>
          <w:lang w:bidi="ar-SA"/>
        </w:rPr>
      </w:pPr>
      <w:r>
        <w:rPr>
          <w:rFonts w:hint="eastAsia" w:ascii="楷体_GB2312" w:eastAsia="楷体_GB2312" w:cs="楷体_GB2312"/>
          <w:color w:val="auto"/>
          <w:sz w:val="32"/>
          <w:szCs w:val="32"/>
          <w:lang w:bidi="ar-SA"/>
        </w:rPr>
        <w:t>文号</w:t>
      </w:r>
    </w:p>
    <w:p>
      <w:pPr>
        <w:spacing w:line="560" w:lineRule="exact"/>
        <w:rPr>
          <w:rFonts w:hint="eastAsia" w:ascii="仿宋_GB2312" w:eastAsia="仿宋_GB2312" w:cs="仿宋_GB2312"/>
          <w:color w:val="auto"/>
          <w:sz w:val="32"/>
          <w:szCs w:val="32"/>
          <w:lang w:bidi="ar-SA"/>
        </w:rPr>
      </w:pPr>
    </w:p>
    <w:p>
      <w:pPr>
        <w:spacing w:line="560" w:lineRule="exact"/>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（企业名称）：</w:t>
      </w:r>
    </w:p>
    <w:p>
      <w:pPr>
        <w:spacing w:line="560" w:lineRule="exact"/>
        <w:ind w:firstLine="640"/>
        <w:rPr>
          <w:rFonts w:hint="eastAsia" w:ascii="仿宋_GB2312" w:eastAsia="仿宋_GB2312" w:cs="仿宋_GB2312"/>
          <w:color w:val="auto"/>
          <w:sz w:val="32"/>
          <w:szCs w:val="32"/>
          <w:u w:val="single"/>
          <w:lang w:bidi="ar-SA"/>
        </w:rPr>
      </w:pPr>
      <w:r>
        <w:rPr>
          <w:rFonts w:hint="eastAsia" w:ascii="仿宋_GB2312" w:eastAsia="仿宋_GB2312" w:cs="仿宋_GB2312"/>
          <w:color w:val="auto"/>
          <w:sz w:val="32"/>
          <w:szCs w:val="32"/>
          <w:lang w:bidi="ar-SA"/>
        </w:rPr>
        <w:t>经查，你（单位）</w:t>
      </w:r>
      <w:r>
        <w:rPr>
          <w:rFonts w:hint="eastAsia" w:ascii="仿宋_GB2312" w:eastAsia="仿宋_GB2312" w:cs="仿宋_GB2312"/>
          <w:color w:val="auto"/>
          <w:sz w:val="32"/>
          <w:szCs w:val="32"/>
          <w:u w:val="single"/>
          <w:lang w:bidi="ar-SA"/>
        </w:rPr>
        <w:t xml:space="preserve">                              </w:t>
      </w:r>
    </w:p>
    <w:p>
      <w:pPr>
        <w:spacing w:line="560" w:lineRule="exact"/>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的行为，违反了《外商投资信息报告办法》（下称《办法》）第</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条规定。</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日，我（单位）向你（单位）下达了《外商投资信息报告补报/更正通知》（文号），要求你（单位）于</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日前补报/更正。经查，截至</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日，你（单位）仍未补报/更正。</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依据《外商投资法》第三十七条、《外商投资信息报告办法》第二十五条规定，现责令你（单位）在20个工作日内（</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前）补报/更正。逾期不补报/更正的，我（单位）将依据《外商投资法》第三十七条、《办法》第二十五条的规定，视情节严重程度处十万元以上五十万元以下的罚款，并将行政处罚相关情况通过外商投资信息报告系统公示平台进行公示。</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补报/更正渠道：</w:t>
      </w:r>
      <w:r>
        <w:rPr>
          <w:rFonts w:hint="eastAsia" w:ascii="仿宋_GB2312" w:eastAsia="仿宋_GB2312" w:cs="仿宋_GB2312"/>
          <w:color w:val="auto"/>
          <w:sz w:val="32"/>
          <w:szCs w:val="32"/>
          <w:u w:val="single"/>
          <w:lang w:bidi="ar-SA"/>
        </w:rPr>
        <w:t xml:space="preserve">                                    </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补报/更正内容及具体要求：</w:t>
      </w:r>
      <w:r>
        <w:rPr>
          <w:rFonts w:hint="eastAsia" w:ascii="仿宋_GB2312" w:eastAsia="仿宋_GB2312" w:cs="仿宋_GB2312"/>
          <w:color w:val="auto"/>
          <w:sz w:val="32"/>
          <w:szCs w:val="32"/>
          <w:u w:val="single"/>
          <w:lang w:bidi="ar-SA"/>
        </w:rPr>
        <w:t xml:space="preserve">                                </w:t>
      </w:r>
    </w:p>
    <w:p>
      <w:pPr>
        <w:spacing w:line="560" w:lineRule="exact"/>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联系人：</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 xml:space="preserve">      联系方式：</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 xml:space="preserve"> </w:t>
      </w:r>
    </w:p>
    <w:p>
      <w:pPr>
        <w:spacing w:line="400" w:lineRule="exact"/>
        <w:ind w:firstLine="640" w:firstLineChars="200"/>
        <w:jc w:val="right"/>
        <w:rPr>
          <w:rFonts w:hint="eastAsia" w:ascii="仿宋_GB2312" w:eastAsia="仿宋_GB2312" w:cs="仿宋_GB2312"/>
          <w:color w:val="auto"/>
          <w:sz w:val="32"/>
          <w:szCs w:val="32"/>
          <w:lang w:bidi="ar-SA"/>
        </w:rPr>
      </w:pPr>
    </w:p>
    <w:p>
      <w:pPr>
        <w:spacing w:line="560" w:lineRule="exact"/>
        <w:ind w:firstLine="3827" w:firstLineChars="1196"/>
        <w:jc w:val="cente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检查机构名称（加盖公章）</w:t>
      </w:r>
    </w:p>
    <w:p>
      <w:pPr>
        <w:spacing w:line="560" w:lineRule="exact"/>
        <w:ind w:firstLine="3827" w:firstLineChars="1196"/>
        <w:jc w:val="cente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u w:val="single"/>
          <w:lang w:val="en-US" w:eastAsia="zh-CN" w:bidi="ar-SA"/>
        </w:rPr>
        <w:t xml:space="preserve">  </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年</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月</w:t>
      </w:r>
      <w:r>
        <w:rPr>
          <w:rFonts w:hint="eastAsia" w:ascii="仿宋_GB2312" w:eastAsia="仿宋_GB2312" w:cs="仿宋_GB2312"/>
          <w:color w:val="auto"/>
          <w:sz w:val="32"/>
          <w:szCs w:val="32"/>
          <w:u w:val="single"/>
          <w:lang w:bidi="ar-SA"/>
        </w:rPr>
        <w:t xml:space="preserve">  </w:t>
      </w:r>
      <w:r>
        <w:rPr>
          <w:rFonts w:hint="eastAsia" w:ascii="仿宋_GB2312" w:eastAsia="仿宋_GB2312" w:cs="仿宋_GB2312"/>
          <w:color w:val="auto"/>
          <w:sz w:val="32"/>
          <w:szCs w:val="32"/>
          <w:lang w:bidi="ar-SA"/>
        </w:rPr>
        <w:t>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eastAsia="方正小标宋简体"/>
          <w:bCs/>
          <w:color w:val="auto"/>
          <w:spacing w:val="-24"/>
          <w:sz w:val="44"/>
          <w:szCs w:val="36"/>
        </w:rPr>
      </w:pPr>
      <w:r>
        <w:rPr>
          <w:rFonts w:hint="eastAsia" w:ascii="仿宋_GB2312" w:eastAsia="仿宋_GB2312" w:cs="仿宋_GB2312"/>
          <w:color w:val="auto"/>
          <w:sz w:val="32"/>
          <w:szCs w:val="32"/>
          <w:lang w:bidi="ar-SA"/>
        </w:rPr>
        <w:br w:type="page"/>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eastAsia="方正小标宋简体"/>
          <w:bCs/>
          <w:color w:val="auto"/>
          <w:spacing w:val="-24"/>
          <w:sz w:val="44"/>
          <w:szCs w:val="36"/>
        </w:rPr>
      </w:pPr>
      <w:r>
        <w:rPr>
          <w:rFonts w:eastAsia="方正小标宋简体"/>
          <w:bCs/>
          <w:color w:val="auto"/>
          <w:spacing w:val="-24"/>
          <w:sz w:val="44"/>
          <w:szCs w:val="36"/>
        </w:rPr>
        <w:t>（处罚机构名称）外商投资信息报告行政处罚告知书</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_GB2312" w:eastAsia="楷体_GB2312" w:cs="楷体_GB2312"/>
          <w:color w:val="auto"/>
          <w:sz w:val="32"/>
          <w:szCs w:val="32"/>
          <w:lang w:bidi="ar-SA"/>
        </w:rPr>
      </w:pPr>
      <w:r>
        <w:rPr>
          <w:rFonts w:hint="eastAsia" w:ascii="楷体_GB2312" w:eastAsia="楷体_GB2312" w:cs="楷体_GB2312"/>
          <w:color w:val="auto"/>
          <w:sz w:val="32"/>
          <w:szCs w:val="32"/>
          <w:lang w:bidi="ar-SA"/>
        </w:rPr>
        <w:t>文号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eastAsia="仿宋_GB2312" w:cs="仿宋_GB2312"/>
          <w:color w:val="auto"/>
          <w:sz w:val="32"/>
          <w:szCs w:val="32"/>
          <w:lang w:bidi="ar-S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（企业名称）：</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我（单位）依法查处的你（单位）违反《外商投资信息报告办法》一案，已经调查终结。根据《行政处罚法》第</w:t>
      </w:r>
      <w:r>
        <w:rPr>
          <w:rFonts w:hint="eastAsia" w:ascii="宋体" w:hAnsi="宋体" w:eastAsia="仿宋_GB2312" w:cs="仿宋_GB2312"/>
          <w:color w:val="auto"/>
          <w:sz w:val="32"/>
          <w:szCs w:val="32"/>
          <w:lang w:eastAsia="zh-CN" w:bidi="ar-SA"/>
        </w:rPr>
        <w:t>四十四</w:t>
      </w:r>
      <w:r>
        <w:rPr>
          <w:rFonts w:hint="eastAsia" w:ascii="宋体" w:hAnsi="宋体" w:eastAsia="仿宋_GB2312" w:cs="仿宋_GB2312"/>
          <w:color w:val="auto"/>
          <w:sz w:val="32"/>
          <w:szCs w:val="32"/>
          <w:lang w:bidi="ar-SA"/>
        </w:rPr>
        <w:t>条、第</w:t>
      </w:r>
      <w:r>
        <w:rPr>
          <w:rFonts w:hint="eastAsia" w:ascii="宋体" w:hAnsi="宋体" w:eastAsia="仿宋_GB2312" w:cs="仿宋_GB2312"/>
          <w:color w:val="auto"/>
          <w:sz w:val="32"/>
          <w:szCs w:val="32"/>
          <w:lang w:eastAsia="zh-CN" w:bidi="ar-SA"/>
        </w:rPr>
        <w:t>四十五</w:t>
      </w:r>
      <w:r>
        <w:rPr>
          <w:rFonts w:hint="eastAsia" w:ascii="宋体" w:hAnsi="宋体" w:eastAsia="仿宋_GB2312" w:cs="仿宋_GB2312"/>
          <w:color w:val="auto"/>
          <w:sz w:val="32"/>
          <w:szCs w:val="32"/>
          <w:lang w:bidi="ar-SA"/>
        </w:rPr>
        <w:t>条、第</w:t>
      </w:r>
      <w:r>
        <w:rPr>
          <w:rFonts w:hint="eastAsia" w:ascii="宋体" w:hAnsi="宋体" w:eastAsia="仿宋_GB2312" w:cs="仿宋_GB2312"/>
          <w:color w:val="auto"/>
          <w:sz w:val="32"/>
          <w:szCs w:val="32"/>
          <w:lang w:eastAsia="zh-CN" w:bidi="ar-SA"/>
        </w:rPr>
        <w:t>六十三</w:t>
      </w:r>
      <w:r>
        <w:rPr>
          <w:rFonts w:hint="eastAsia" w:ascii="宋体" w:hAnsi="宋体" w:eastAsia="仿宋_GB2312" w:cs="仿宋_GB2312"/>
          <w:color w:val="auto"/>
          <w:sz w:val="32"/>
          <w:szCs w:val="32"/>
          <w:lang w:bidi="ar-SA"/>
        </w:rPr>
        <w:t>条</w:t>
      </w:r>
      <w:r>
        <w:rPr>
          <w:rFonts w:hint="eastAsia" w:ascii="宋体" w:hAnsi="宋体" w:eastAsia="仿宋_GB2312" w:cs="仿宋_GB2312"/>
          <w:color w:val="auto"/>
          <w:sz w:val="32"/>
          <w:szCs w:val="32"/>
          <w:lang w:eastAsia="zh-CN" w:bidi="ar-SA"/>
        </w:rPr>
        <w:t>、</w:t>
      </w:r>
      <w:r>
        <w:rPr>
          <w:rFonts w:hint="eastAsia" w:ascii="宋体" w:hAnsi="宋体" w:eastAsia="仿宋_GB2312" w:cs="仿宋_GB2312"/>
          <w:color w:val="auto"/>
          <w:sz w:val="32"/>
          <w:szCs w:val="32"/>
          <w:lang w:bidi="ar-SA"/>
        </w:rPr>
        <w:t>第</w:t>
      </w:r>
      <w:r>
        <w:rPr>
          <w:rFonts w:hint="eastAsia" w:ascii="宋体" w:hAnsi="宋体" w:eastAsia="仿宋_GB2312" w:cs="仿宋_GB2312"/>
          <w:color w:val="auto"/>
          <w:sz w:val="32"/>
          <w:szCs w:val="32"/>
          <w:lang w:eastAsia="zh-CN" w:bidi="ar-SA"/>
        </w:rPr>
        <w:t>六十四</w:t>
      </w:r>
      <w:r>
        <w:rPr>
          <w:rFonts w:hint="eastAsia" w:ascii="宋体" w:hAnsi="宋体" w:eastAsia="仿宋_GB2312" w:cs="仿宋_GB2312"/>
          <w:color w:val="auto"/>
          <w:sz w:val="32"/>
          <w:szCs w:val="32"/>
          <w:lang w:bidi="ar-SA"/>
        </w:rPr>
        <w:t>条的规定，现将我（单位）拟作出的行政处罚及其事实、理由、依据告知如下：</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根据</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（检查启动方式），我（单位）于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日向你（单位）下达了《外商投资信息报告检查通知》（文号），于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日对你（单位）进行了实地核查/现场检查，检查了你（单位）的</w:t>
      </w:r>
      <w:r>
        <w:rPr>
          <w:rFonts w:hint="eastAsia" w:ascii="宋体" w:hAnsi="宋体" w:eastAsia="仿宋_GB2312" w:cs="仿宋_GB2312"/>
          <w:color w:val="auto"/>
          <w:sz w:val="32"/>
          <w:szCs w:val="32"/>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（具体材料）。经检查，你（单位）存在</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行为，违反了《外商投资信息报告办法》（以下简称《办法》）第</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条。</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我单位根据《办法》第十九条规定，于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日向你（单位）下达了《外商投资信息报告补报/更正通知》（文号），要求你（单位）于20个工作日内（</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日前）通过</w:t>
      </w:r>
      <w:r>
        <w:rPr>
          <w:rFonts w:hint="eastAsia" w:ascii="宋体" w:hAnsi="宋体" w:eastAsia="仿宋_GB2312" w:cs="仿宋_GB2312"/>
          <w:color w:val="auto"/>
          <w:sz w:val="32"/>
          <w:szCs w:val="32"/>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（渠道）进行补报/更正。由于你（单位）未在规定时间内补报/更正，我（单位）根据《外商投资法》第三十七条、《办法》第二十五条，于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日向你（单位）下达了《外商投资信息报告责令改正通知》（文号），责令你（单位）于20个工作日内（</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日前）通过</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（渠道）改正，并告知了逾期不改正的法律后果。截至</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日，你（单位）仍未按要求改正。</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 xml:space="preserve">    上述事实，有以下证据证明：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u w:val="single"/>
          <w:lang w:val="en-US" w:eastAsia="zh-CN" w:bidi="ar-SA"/>
        </w:rPr>
        <w:t xml:space="preserve">   </w:t>
      </w:r>
      <w:r>
        <w:rPr>
          <w:rFonts w:hint="eastAsia" w:ascii="宋体" w:hAnsi="宋体" w:eastAsia="仿宋_GB2312" w:cs="仿宋_GB2312"/>
          <w:color w:val="auto"/>
          <w:sz w:val="32"/>
          <w:szCs w:val="32"/>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u w:val="single"/>
          <w:lang w:val="en-US" w:eastAsia="zh-CN" w:bidi="ar-SA"/>
        </w:rPr>
        <w:t xml:space="preserve">   </w:t>
      </w:r>
      <w:r>
        <w:rPr>
          <w:rFonts w:hint="eastAsia" w:ascii="宋体" w:hAnsi="宋体" w:eastAsia="仿宋_GB2312" w:cs="仿宋_GB2312"/>
          <w:color w:val="auto"/>
          <w:sz w:val="32"/>
          <w:szCs w:val="32"/>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（如决定处以三十万元以上五十万元以下罚款，应说明依据。如认定为《办法》第二十五条第二款第（四）项的其他严重情形，还应说明依据的事实和理由。）</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根据《行政处罚法》第二十</w:t>
      </w:r>
      <w:r>
        <w:rPr>
          <w:rFonts w:hint="eastAsia" w:ascii="宋体" w:hAnsi="宋体" w:eastAsia="仿宋_GB2312" w:cs="仿宋_GB2312"/>
          <w:color w:val="auto"/>
          <w:sz w:val="32"/>
          <w:szCs w:val="32"/>
          <w:lang w:eastAsia="zh-CN" w:bidi="ar-SA"/>
        </w:rPr>
        <w:t>八</w:t>
      </w:r>
      <w:r>
        <w:rPr>
          <w:rFonts w:hint="eastAsia" w:ascii="宋体" w:hAnsi="宋体" w:eastAsia="仿宋_GB2312" w:cs="仿宋_GB2312"/>
          <w:color w:val="auto"/>
          <w:sz w:val="32"/>
          <w:szCs w:val="32"/>
          <w:lang w:bidi="ar-SA"/>
        </w:rPr>
        <w:t>条、《外商投资法》第三十七条、《办法》第二十五条的规定，拟作出行政处罚决定如下：责令你（单位）改正上述违法行为，并罚款</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元</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对此，你（单位）有陈述申辩、申请听证的权利，可在收到本告知书之日起三日内向我（单位）进行陈述申辩、申请听证。逾期不陈述申辩、申请听证的，视为你（单位）放弃上述权利。</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联系地址：</w:t>
      </w:r>
      <w:r>
        <w:rPr>
          <w:rFonts w:hint="eastAsia" w:ascii="宋体" w:hAnsi="宋体" w:eastAsia="仿宋_GB2312" w:cs="仿宋_GB2312"/>
          <w:color w:val="auto"/>
          <w:sz w:val="32"/>
          <w:szCs w:val="32"/>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联系人：</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 xml:space="preserve">      联系方式：</w:t>
      </w:r>
      <w:r>
        <w:rPr>
          <w:rFonts w:hint="eastAsia" w:ascii="宋体" w:hAnsi="宋体" w:eastAsia="仿宋_GB2312" w:cs="仿宋_GB2312"/>
          <w:color w:val="auto"/>
          <w:sz w:val="32"/>
          <w:szCs w:val="32"/>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宋体" w:hAnsi="宋体" w:eastAsia="仿宋_GB2312" w:cs="仿宋_GB2312"/>
          <w:color w:val="auto"/>
          <w:sz w:val="32"/>
          <w:szCs w:val="32"/>
          <w:lang w:bidi="ar-SA"/>
        </w:rPr>
      </w:pPr>
    </w:p>
    <w:p>
      <w:pPr>
        <w:keepNext w:val="0"/>
        <w:keepLines w:val="0"/>
        <w:pageBreakBefore w:val="0"/>
        <w:widowControl w:val="0"/>
        <w:kinsoku/>
        <w:wordWrap/>
        <w:overflowPunct/>
        <w:topLinePunct w:val="0"/>
        <w:autoSpaceDE/>
        <w:autoSpaceDN/>
        <w:bidi w:val="0"/>
        <w:adjustRightInd/>
        <w:snapToGrid/>
        <w:spacing w:line="576" w:lineRule="exact"/>
        <w:ind w:firstLine="3827" w:firstLineChars="1196"/>
        <w:jc w:val="center"/>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处罚机构名称（加盖公章）</w:t>
      </w:r>
    </w:p>
    <w:p>
      <w:pPr>
        <w:keepNext w:val="0"/>
        <w:keepLines w:val="0"/>
        <w:pageBreakBefore w:val="0"/>
        <w:widowControl w:val="0"/>
        <w:kinsoku/>
        <w:wordWrap/>
        <w:overflowPunct/>
        <w:topLinePunct w:val="0"/>
        <w:autoSpaceDE/>
        <w:autoSpaceDN/>
        <w:bidi w:val="0"/>
        <w:adjustRightInd/>
        <w:snapToGrid/>
        <w:spacing w:line="576" w:lineRule="exact"/>
        <w:ind w:firstLine="3827" w:firstLineChars="1196"/>
        <w:jc w:val="center"/>
        <w:textAlignment w:val="auto"/>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u w:val="single"/>
          <w:lang w:val="en-US" w:eastAsia="zh-CN" w:bidi="ar-SA"/>
        </w:rPr>
        <w:t xml:space="preserve">  </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w:t>
      </w:r>
    </w:p>
    <w:p>
      <w:pPr>
        <w:spacing w:line="560" w:lineRule="exact"/>
        <w:ind w:firstLine="640" w:firstLineChars="200"/>
        <w:rPr>
          <w:rFonts w:ascii="宋体" w:hAnsi="宋体" w:eastAsia="仿宋_GB2312"/>
          <w:color w:val="auto"/>
          <w:sz w:val="32"/>
          <w:szCs w:val="32"/>
        </w:rPr>
      </w:pPr>
    </w:p>
    <w:p>
      <w:pPr>
        <w:spacing w:line="500" w:lineRule="exact"/>
        <w:rPr>
          <w:rFonts w:eastAsia="方正小标宋简体"/>
          <w:bCs/>
          <w:color w:val="auto"/>
          <w:spacing w:val="-24"/>
          <w:sz w:val="44"/>
          <w:szCs w:val="36"/>
        </w:rPr>
      </w:pPr>
      <w:r>
        <w:rPr>
          <w:b/>
          <w:bCs/>
          <w:color w:val="auto"/>
          <w:sz w:val="36"/>
          <w:szCs w:val="36"/>
        </w:rPr>
        <w:br w:type="page"/>
      </w:r>
    </w:p>
    <w:p>
      <w:pPr>
        <w:spacing w:line="700" w:lineRule="exact"/>
        <w:rPr>
          <w:rFonts w:eastAsia="方正小标宋简体"/>
          <w:bCs/>
          <w:color w:val="auto"/>
          <w:spacing w:val="-24"/>
          <w:sz w:val="44"/>
          <w:szCs w:val="36"/>
        </w:rPr>
      </w:pPr>
      <w:r>
        <w:rPr>
          <w:rFonts w:eastAsia="方正小标宋简体"/>
          <w:bCs/>
          <w:color w:val="auto"/>
          <w:spacing w:val="-24"/>
          <w:sz w:val="44"/>
          <w:szCs w:val="36"/>
        </w:rPr>
        <w:t>（处罚机构名称）外商投资信息报告行政处罚决定书</w:t>
      </w:r>
    </w:p>
    <w:p>
      <w:pPr>
        <w:spacing w:line="600" w:lineRule="exact"/>
        <w:jc w:val="center"/>
        <w:rPr>
          <w:rFonts w:hint="eastAsia" w:ascii="楷体_GB2312" w:eastAsia="楷体_GB2312" w:cs="楷体_GB2312"/>
          <w:color w:val="auto"/>
          <w:sz w:val="32"/>
          <w:szCs w:val="32"/>
          <w:lang w:bidi="ar-SA"/>
        </w:rPr>
      </w:pPr>
      <w:r>
        <w:rPr>
          <w:rFonts w:hint="eastAsia" w:ascii="楷体_GB2312" w:eastAsia="楷体_GB2312" w:cs="楷体_GB2312"/>
          <w:color w:val="auto"/>
          <w:sz w:val="32"/>
          <w:szCs w:val="32"/>
          <w:lang w:bidi="ar-SA"/>
        </w:rPr>
        <w:t>文号</w:t>
      </w:r>
    </w:p>
    <w:p>
      <w:pPr>
        <w:spacing w:line="560" w:lineRule="exact"/>
        <w:ind w:firstLine="641"/>
        <w:jc w:val="left"/>
        <w:rPr>
          <w:rFonts w:eastAsia="方正仿宋_GBK"/>
          <w:color w:val="auto"/>
          <w:sz w:val="32"/>
          <w:szCs w:val="32"/>
        </w:rPr>
      </w:pPr>
    </w:p>
    <w:p>
      <w:pPr>
        <w:spacing w:line="560" w:lineRule="exact"/>
        <w:ind w:firstLine="641"/>
        <w:jc w:val="lef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根据《外商投资法》《外商投资信息报告办法》（以下简称《办法》），我（单位）于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日依法对</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（以下简称当事人）违反《外商投资信息报告办法》案进行立案调查。</w:t>
      </w:r>
    </w:p>
    <w:p>
      <w:pPr>
        <w:spacing w:line="560" w:lineRule="exact"/>
        <w:ind w:firstLine="640"/>
        <w:jc w:val="lef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经查，当事人</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的行为违反了《办法》第</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条。我（单位）按照《行政处罚法》《商务行政处罚程序规定》，向当事人送达了《（处罚机构名称）外商投资信息报告行政处罚告知书》（文号），告知其拟作出行政处罚决定的事实、理由、依据、处罚内容，以及其依法享有的陈述权、申辩权和要求听证权。当事人在规定期限内没有提出陈述、申辩意见或要求举行听证/我（单位）充分听取了当事人的陈述、申辩意见/我（单位）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日举行听证，对当事人提出的事实、理由和证据进行了复核。本案现已调查、审理终结。</w:t>
      </w:r>
    </w:p>
    <w:p>
      <w:pPr>
        <w:spacing w:line="560" w:lineRule="exac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 xml:space="preserve">    </w:t>
      </w:r>
      <w:r>
        <w:rPr>
          <w:rFonts w:hint="eastAsia" w:ascii="宋体" w:hAnsi="宋体" w:eastAsia="黑体" w:cs="黑体"/>
          <w:color w:val="auto"/>
          <w:sz w:val="32"/>
          <w:szCs w:val="32"/>
          <w:lang w:bidi="ar-SA"/>
        </w:rPr>
        <w:t>一、当事人基本情况</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 xml:space="preserve">    名称/姓名：</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 xml:space="preserve">    统一社会信用代码/证件号码：</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 xml:space="preserve">    住所/住址：</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 xml:space="preserve">    法定代表人/负责人/经营者：</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 xml:space="preserve">    身份证/其他有效证件号码：</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 xml:space="preserve">    联系电话：</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lang w:bidi="ar-SA"/>
        </w:rPr>
        <w:t xml:space="preserve">    联系地址：</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 xml:space="preserve">    </w:t>
      </w:r>
      <w:r>
        <w:rPr>
          <w:rFonts w:hint="eastAsia" w:ascii="宋体" w:hAnsi="宋体" w:eastAsia="黑体" w:cs="黑体"/>
          <w:color w:val="auto"/>
          <w:sz w:val="32"/>
          <w:szCs w:val="32"/>
          <w:lang w:bidi="ar-SA"/>
        </w:rPr>
        <w:t>二、违法事实及理由</w:t>
      </w:r>
    </w:p>
    <w:p>
      <w:pPr>
        <w:spacing w:line="560" w:lineRule="exact"/>
        <w:ind w:firstLine="640"/>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根据</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（检查启动方式），我（单位）于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日向当事人下达了《外商投资信息报告检查通知》（文号），于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日对当事人进行了实地核查/现场检查，检查了当事人的</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u w:val="single"/>
          <w:lang w:val="en-US" w:eastAsia="zh-CN" w:bidi="ar-SA"/>
        </w:rPr>
        <w:t xml:space="preserve">  </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（具体材料）。经检查，当事人存在</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行为，违反了《办法》第</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条。</w:t>
      </w:r>
    </w:p>
    <w:p>
      <w:pPr>
        <w:spacing w:line="560" w:lineRule="exact"/>
        <w:jc w:val="lef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 xml:space="preserve">    我（单位）根据《办法》第十九条规定，于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日向当事人下达了《外商投资信息报告补报/更正通知》（文号），要求当事人于20个工作日内（</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日前）通过</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（渠道）进行补报/更正。由于当事人未在规定时间内补报/更正，我（单位）根据《外商投资法》第三十七条、《办法》第二十五条，于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日向当事人下达了《外商投资信息报告责令改正通知》（文号），责令当事人于20个工作日内（</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日前）通过</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（渠道）改正，并告知了逾期不改正的法律后果。截至</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日，当事人仍未按要求改正。</w:t>
      </w:r>
    </w:p>
    <w:p>
      <w:pPr>
        <w:spacing w:line="560" w:lineRule="exac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 xml:space="preserve">    上述事实，有以下证据证明：</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u w:val="single"/>
          <w:lang w:val="en-US" w:eastAsia="zh-CN" w:bidi="ar-SA"/>
        </w:rPr>
        <w:t xml:space="preserve">   </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u w:val="single"/>
          <w:lang w:val="en-US" w:eastAsia="zh-CN" w:bidi="ar-SA"/>
        </w:rPr>
        <w:t xml:space="preserve">   </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u w:val="single"/>
          <w:lang w:bidi="ar-SA"/>
        </w:rPr>
      </w:pP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u w:val="single"/>
          <w:lang w:val="en-US" w:eastAsia="zh-CN" w:bidi="ar-SA"/>
        </w:rPr>
        <w:t xml:space="preserve">   </w:t>
      </w:r>
      <w:r>
        <w:rPr>
          <w:rFonts w:hint="eastAsia" w:ascii="宋体" w:hAnsi="宋体" w:eastAsia="仿宋_GB2312" w:cs="仿宋_GB2312"/>
          <w:color w:val="auto"/>
          <w:sz w:val="32"/>
          <w:szCs w:val="32"/>
          <w:u w:val="single"/>
          <w:lang w:bidi="ar-SA"/>
        </w:rPr>
        <w:t xml:space="preserve">               </w:t>
      </w:r>
    </w:p>
    <w:p>
      <w:pPr>
        <w:spacing w:line="560" w:lineRule="exac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能证明当事人未真实、准确、完整、及时履行信息报告义务的材料，相关文书，当事人陈述和申辩情况，当事人陈述、申辩的采纳情况及理由；行政处罚告知、行政处罚听证告知情况，以及复核、听证过程及意见）</w:t>
      </w:r>
    </w:p>
    <w:p>
      <w:pPr>
        <w:spacing w:line="560" w:lineRule="exact"/>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 xml:space="preserve">    </w:t>
      </w:r>
      <w:r>
        <w:rPr>
          <w:rFonts w:hint="eastAsia" w:ascii="宋体" w:hAnsi="宋体" w:eastAsia="黑体" w:cs="黑体"/>
          <w:color w:val="auto"/>
          <w:sz w:val="32"/>
          <w:szCs w:val="32"/>
          <w:lang w:bidi="ar-SA"/>
        </w:rPr>
        <w:t>三、行政处罚依据和决定</w:t>
      </w:r>
    </w:p>
    <w:p>
      <w:pPr>
        <w:spacing w:line="560" w:lineRule="exact"/>
        <w:ind w:firstLine="640"/>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根据《行政处罚法》第二十</w:t>
      </w:r>
      <w:r>
        <w:rPr>
          <w:rFonts w:hint="eastAsia" w:ascii="宋体" w:hAnsi="宋体" w:eastAsia="仿宋_GB2312" w:cs="仿宋_GB2312"/>
          <w:color w:val="auto"/>
          <w:sz w:val="32"/>
          <w:szCs w:val="32"/>
          <w:lang w:eastAsia="zh-CN" w:bidi="ar-SA"/>
        </w:rPr>
        <w:t>八</w:t>
      </w:r>
      <w:r>
        <w:rPr>
          <w:rFonts w:hint="eastAsia" w:ascii="宋体" w:hAnsi="宋体" w:eastAsia="仿宋_GB2312" w:cs="仿宋_GB2312"/>
          <w:color w:val="auto"/>
          <w:sz w:val="32"/>
          <w:szCs w:val="32"/>
          <w:lang w:bidi="ar-SA"/>
        </w:rPr>
        <w:t>条、《外商投资法》第三十七条、《办法》第二十五条的规定，现责令你（单位）改正上述违法行为，并罚款</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元。应当自即日起15日内通过</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缴纳罚款。逾期不缴纳罚款的，依据《行政处罚法》第</w:t>
      </w:r>
      <w:r>
        <w:rPr>
          <w:rFonts w:hint="eastAsia" w:ascii="宋体" w:hAnsi="宋体" w:eastAsia="仿宋_GB2312" w:cs="仿宋_GB2312"/>
          <w:color w:val="auto"/>
          <w:sz w:val="32"/>
          <w:szCs w:val="32"/>
          <w:lang w:eastAsia="zh-CN" w:bidi="ar-SA"/>
        </w:rPr>
        <w:t>七十二</w:t>
      </w:r>
      <w:r>
        <w:rPr>
          <w:rFonts w:hint="eastAsia" w:ascii="宋体" w:hAnsi="宋体" w:eastAsia="仿宋_GB2312" w:cs="仿宋_GB2312"/>
          <w:color w:val="auto"/>
          <w:sz w:val="32"/>
          <w:szCs w:val="32"/>
          <w:lang w:bidi="ar-SA"/>
        </w:rPr>
        <w:t>条的规定，我（单位）将每日按罚款数额的百分之三加处罚款，并依法申请人民法院强制执行。上述行政处罚情况，我（单位）将在外商投资信息报告系统公示平台上予以公示，并按照国家有关规定纳入信用信息系统。</w:t>
      </w:r>
    </w:p>
    <w:p>
      <w:pPr>
        <w:spacing w:line="560" w:lineRule="exact"/>
        <w:ind w:firstLine="640"/>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你（单位）如不服本行政处罚决定，可以自收到本处罚决定书之日起60日内向</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人民政府或者</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商务主管部门申请行政复议，也可以自收到本行政处罚决定书之日起6个月内依法向</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法院提起行政诉讼。</w:t>
      </w:r>
    </w:p>
    <w:p>
      <w:pPr>
        <w:spacing w:line="560" w:lineRule="exact"/>
        <w:ind w:firstLine="640"/>
        <w:rPr>
          <w:rFonts w:hint="eastAsia" w:ascii="宋体" w:hAnsi="宋体" w:eastAsia="仿宋_GB2312" w:cs="仿宋_GB2312"/>
          <w:color w:val="auto"/>
          <w:sz w:val="32"/>
          <w:szCs w:val="32"/>
          <w:lang w:bidi="ar-SA"/>
        </w:rPr>
      </w:pPr>
    </w:p>
    <w:p>
      <w:pPr>
        <w:spacing w:line="560" w:lineRule="exact"/>
        <w:ind w:firstLine="3683" w:firstLineChars="1151"/>
        <w:jc w:val="center"/>
        <w:rPr>
          <w:rFonts w:hint="eastAsia" w:ascii="宋体" w:hAnsi="宋体" w:eastAsia="仿宋_GB2312" w:cs="仿宋_GB2312"/>
          <w:color w:val="auto"/>
          <w:sz w:val="32"/>
          <w:szCs w:val="32"/>
          <w:lang w:bidi="ar-SA"/>
        </w:rPr>
      </w:pPr>
      <w:r>
        <w:rPr>
          <w:rFonts w:hint="eastAsia" w:ascii="宋体" w:hAnsi="宋体" w:eastAsia="仿宋_GB2312" w:cs="仿宋_GB2312"/>
          <w:color w:val="auto"/>
          <w:sz w:val="32"/>
          <w:szCs w:val="32"/>
          <w:lang w:bidi="ar-SA"/>
        </w:rPr>
        <w:t>处罚机构名称（加盖公章）</w:t>
      </w:r>
    </w:p>
    <w:p>
      <w:pPr>
        <w:spacing w:line="560" w:lineRule="exact"/>
        <w:ind w:firstLine="3683" w:firstLineChars="1151"/>
        <w:jc w:val="center"/>
        <w:rPr>
          <w:rFonts w:hint="eastAsia" w:ascii="宋体" w:hAnsi="宋体" w:eastAsia="仿宋_GB2312" w:cs="仿宋_GB2312"/>
          <w:color w:val="auto"/>
          <w:sz w:val="36"/>
          <w:szCs w:val="36"/>
          <w:lang w:bidi="ar-SA"/>
        </w:rPr>
      </w:pP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u w:val="single"/>
          <w:lang w:val="en-US" w:eastAsia="zh-CN" w:bidi="ar-SA"/>
        </w:rPr>
        <w:t xml:space="preserve">  </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年</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月</w:t>
      </w:r>
      <w:r>
        <w:rPr>
          <w:rFonts w:hint="eastAsia" w:ascii="宋体" w:hAnsi="宋体" w:eastAsia="仿宋_GB2312" w:cs="仿宋_GB2312"/>
          <w:color w:val="auto"/>
          <w:sz w:val="32"/>
          <w:szCs w:val="32"/>
          <w:u w:val="single"/>
          <w:lang w:bidi="ar-SA"/>
        </w:rPr>
        <w:t xml:space="preserve">  </w:t>
      </w:r>
      <w:r>
        <w:rPr>
          <w:rFonts w:hint="eastAsia" w:ascii="宋体" w:hAnsi="宋体" w:eastAsia="仿宋_GB2312" w:cs="仿宋_GB2312"/>
          <w:color w:val="auto"/>
          <w:sz w:val="32"/>
          <w:szCs w:val="32"/>
          <w:lang w:bidi="ar-SA"/>
        </w:rPr>
        <w:t>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eastAsia="方正小标宋简体"/>
          <w:bCs/>
          <w:color w:val="auto"/>
          <w:sz w:val="44"/>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bCs/>
          <w:color w:val="auto"/>
          <w:sz w:val="44"/>
          <w:szCs w:val="36"/>
        </w:rPr>
        <w:sectPr>
          <w:footerReference r:id="rId3" w:type="default"/>
          <w:footerReference r:id="rId4" w:type="even"/>
          <w:pgSz w:w="11906" w:h="16838"/>
          <w:pgMar w:top="2098" w:right="1474" w:bottom="1984" w:left="1587" w:header="851" w:footer="1587" w:gutter="0"/>
          <w:pgNumType w:start="28" w:chapStyle="1"/>
          <w:cols w:space="72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bCs/>
          <w:color w:val="auto"/>
          <w:sz w:val="44"/>
          <w:szCs w:val="36"/>
        </w:rPr>
      </w:pPr>
      <w:r>
        <w:rPr>
          <w:rFonts w:eastAsia="方正小标宋简体"/>
          <w:bCs/>
          <w:color w:val="auto"/>
          <w:sz w:val="44"/>
          <w:szCs w:val="36"/>
        </w:rPr>
        <w:t>四川省外商投资信息报告监督检查记录表（年度报告示例）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color w:val="auto"/>
        </w:rPr>
      </w:pPr>
    </w:p>
    <w:tbl>
      <w:tblPr>
        <w:tblStyle w:val="13"/>
        <w:tblW w:w="12818" w:type="dxa"/>
        <w:jc w:val="center"/>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944"/>
        <w:gridCol w:w="1300"/>
        <w:gridCol w:w="4169"/>
        <w:gridCol w:w="613"/>
        <w:gridCol w:w="1860"/>
        <w:gridCol w:w="3932"/>
      </w:tblGrid>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944" w:type="dxa"/>
            <w:vMerge w:val="restart"/>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年度报告</w:t>
            </w:r>
          </w:p>
        </w:tc>
        <w:tc>
          <w:tcPr>
            <w:tcW w:w="130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检查项目</w:t>
            </w:r>
          </w:p>
        </w:tc>
        <w:tc>
          <w:tcPr>
            <w:tcW w:w="6642"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检</w:t>
            </w: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bidi="ar-SA"/>
              </w:rPr>
              <w:t>查</w:t>
            </w: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bidi="ar-SA"/>
              </w:rPr>
              <w:t>内</w:t>
            </w: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bidi="ar-SA"/>
              </w:rPr>
              <w:t>容</w:t>
            </w: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检</w:t>
            </w: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bidi="ar-SA"/>
              </w:rPr>
              <w:t>查</w:t>
            </w: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bidi="ar-SA"/>
              </w:rPr>
              <w:t>结</w:t>
            </w: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bidi="ar-SA"/>
              </w:rPr>
              <w:t>果</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44" w:type="dxa"/>
            <w:vMerge w:val="continue"/>
            <w:tcBorders>
              <w:tl2br w:val="nil"/>
              <w:tr2bl w:val="nil"/>
            </w:tcBorders>
            <w:vAlign w:val="center"/>
          </w:tcPr>
          <w:p>
            <w:pPr>
              <w:rPr>
                <w:color w:val="auto"/>
              </w:rPr>
            </w:pPr>
          </w:p>
        </w:tc>
        <w:tc>
          <w:tcPr>
            <w:tcW w:w="1300" w:type="dxa"/>
            <w:vMerge w:val="restart"/>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基本情况</w:t>
            </w:r>
          </w:p>
        </w:tc>
        <w:tc>
          <w:tcPr>
            <w:tcW w:w="4782"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62" w:line="360" w:lineRule="exact"/>
              <w:jc w:val="left"/>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bidi="ar-SA"/>
              </w:rPr>
              <w:t>1</w:t>
            </w:r>
            <w:r>
              <w:rPr>
                <w:rFonts w:hint="eastAsia" w:ascii="仿宋_GB2312" w:eastAsia="仿宋_GB2312" w:cs="仿宋_GB2312"/>
                <w:color w:val="auto"/>
                <w:sz w:val="24"/>
                <w:szCs w:val="24"/>
                <w:lang w:val="en-US" w:bidi="ar-SA"/>
              </w:rPr>
              <w:t>.“是否在特殊经济区域”是否勾选正确</w:t>
            </w:r>
          </w:p>
        </w:tc>
        <w:tc>
          <w:tcPr>
            <w:tcW w:w="186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62"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113"/>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未发现问题□</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44" w:type="dxa"/>
            <w:vMerge w:val="continue"/>
            <w:tcBorders>
              <w:tl2br w:val="nil"/>
              <w:tr2bl w:val="nil"/>
            </w:tcBorders>
            <w:vAlign w:val="center"/>
          </w:tcPr>
          <w:p>
            <w:pPr>
              <w:rPr>
                <w:color w:val="auto"/>
              </w:rPr>
            </w:pPr>
          </w:p>
        </w:tc>
        <w:tc>
          <w:tcPr>
            <w:tcW w:w="1300" w:type="dxa"/>
            <w:vMerge w:val="continue"/>
            <w:tcBorders>
              <w:tl2br w:val="nil"/>
              <w:tr2bl w:val="nil"/>
            </w:tcBorders>
            <w:vAlign w:val="center"/>
          </w:tcPr>
          <w:p>
            <w:pPr>
              <w:rPr>
                <w:color w:val="auto"/>
              </w:rPr>
            </w:pPr>
          </w:p>
        </w:tc>
        <w:tc>
          <w:tcPr>
            <w:tcW w:w="4782"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62" w:line="360" w:lineRule="exact"/>
              <w:ind w:right="91"/>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val="en-US" w:bidi="ar-SA"/>
              </w:rPr>
              <w:t>2.企业属性是否勾选正确</w:t>
            </w:r>
          </w:p>
        </w:tc>
        <w:tc>
          <w:tcPr>
            <w:tcW w:w="186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62" w:line="360" w:lineRule="exact"/>
              <w:jc w:val="center"/>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bidi="ar-SA"/>
              </w:rPr>
              <w:t>是□ 否□</w:t>
            </w: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26" w:line="360" w:lineRule="exact"/>
              <w:ind w:left="113"/>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未按规定报送投资信息□</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944" w:type="dxa"/>
            <w:vMerge w:val="continue"/>
            <w:tcBorders>
              <w:tl2br w:val="nil"/>
              <w:tr2bl w:val="nil"/>
            </w:tcBorders>
            <w:vAlign w:val="center"/>
          </w:tcPr>
          <w:p>
            <w:pPr>
              <w:rPr>
                <w:color w:val="auto"/>
              </w:rPr>
            </w:pPr>
          </w:p>
        </w:tc>
        <w:tc>
          <w:tcPr>
            <w:tcW w:w="1300" w:type="dxa"/>
            <w:vMerge w:val="continue"/>
            <w:tcBorders>
              <w:tl2br w:val="nil"/>
              <w:tr2bl w:val="nil"/>
            </w:tcBorders>
            <w:vAlign w:val="center"/>
          </w:tcPr>
          <w:p>
            <w:pPr>
              <w:rPr>
                <w:color w:val="auto"/>
              </w:rPr>
            </w:pPr>
          </w:p>
        </w:tc>
        <w:tc>
          <w:tcPr>
            <w:tcW w:w="4782"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val="en-US" w:bidi="ar-SA"/>
              </w:rPr>
              <w:t>（详见“外商投资年度报告检查要点”，另附）</w:t>
            </w:r>
          </w:p>
        </w:tc>
        <w:tc>
          <w:tcPr>
            <w:tcW w:w="186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bidi="ar-SA"/>
              </w:rPr>
              <w:t>是□ 否□</w:t>
            </w: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5" w:line="360" w:lineRule="exact"/>
              <w:ind w:left="113"/>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投资信息隐瞒真实情况弄虚作假□</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944" w:type="dxa"/>
            <w:vMerge w:val="continue"/>
            <w:tcBorders>
              <w:tl2br w:val="nil"/>
              <w:tr2bl w:val="nil"/>
            </w:tcBorders>
            <w:vAlign w:val="center"/>
          </w:tcPr>
          <w:p>
            <w:pPr>
              <w:rPr>
                <w:color w:val="auto"/>
              </w:rPr>
            </w:pPr>
          </w:p>
        </w:tc>
        <w:tc>
          <w:tcPr>
            <w:tcW w:w="1300" w:type="dxa"/>
            <w:vMerge w:val="continue"/>
            <w:tcBorders>
              <w:tl2br w:val="nil"/>
              <w:tr2bl w:val="nil"/>
            </w:tcBorders>
            <w:vAlign w:val="center"/>
          </w:tcPr>
          <w:p>
            <w:pPr>
              <w:rPr>
                <w:color w:val="auto"/>
              </w:rPr>
            </w:pPr>
          </w:p>
        </w:tc>
        <w:tc>
          <w:tcPr>
            <w:tcW w:w="4782"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bidi="ar-SA"/>
              </w:rPr>
            </w:pPr>
          </w:p>
        </w:tc>
        <w:tc>
          <w:tcPr>
            <w:tcW w:w="186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113"/>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发现问题已责令改正□</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944" w:type="dxa"/>
            <w:vMerge w:val="continue"/>
            <w:tcBorders>
              <w:tl2br w:val="nil"/>
              <w:tr2bl w:val="nil"/>
            </w:tcBorders>
            <w:vAlign w:val="center"/>
          </w:tcPr>
          <w:p>
            <w:pPr>
              <w:rPr>
                <w:color w:val="auto"/>
              </w:rPr>
            </w:pPr>
          </w:p>
        </w:tc>
        <w:tc>
          <w:tcPr>
            <w:tcW w:w="1300" w:type="dxa"/>
            <w:vMerge w:val="continue"/>
            <w:tcBorders>
              <w:tl2br w:val="nil"/>
              <w:tr2bl w:val="nil"/>
            </w:tcBorders>
            <w:vAlign w:val="center"/>
          </w:tcPr>
          <w:p>
            <w:pPr>
              <w:rPr>
                <w:color w:val="auto"/>
              </w:rPr>
            </w:pPr>
          </w:p>
        </w:tc>
        <w:tc>
          <w:tcPr>
            <w:tcW w:w="4782"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bidi="ar-SA"/>
              </w:rPr>
            </w:pPr>
          </w:p>
        </w:tc>
        <w:tc>
          <w:tcPr>
            <w:tcW w:w="186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113"/>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发现问题待后续处理□</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21" w:hRule="atLeast"/>
          <w:jc w:val="center"/>
        </w:trPr>
        <w:tc>
          <w:tcPr>
            <w:tcW w:w="944" w:type="dxa"/>
            <w:vMerge w:val="continue"/>
            <w:tcBorders>
              <w:tl2br w:val="nil"/>
              <w:tr2bl w:val="nil"/>
            </w:tcBorders>
            <w:vAlign w:val="center"/>
          </w:tcPr>
          <w:p>
            <w:pPr>
              <w:rPr>
                <w:color w:val="auto"/>
              </w:rPr>
            </w:pPr>
          </w:p>
        </w:tc>
        <w:tc>
          <w:tcPr>
            <w:tcW w:w="1300" w:type="dxa"/>
            <w:vMerge w:val="continue"/>
            <w:tcBorders>
              <w:tl2br w:val="nil"/>
              <w:tr2bl w:val="nil"/>
            </w:tcBorders>
            <w:vAlign w:val="center"/>
          </w:tcPr>
          <w:p>
            <w:pPr>
              <w:rPr>
                <w:color w:val="auto"/>
              </w:rPr>
            </w:pPr>
          </w:p>
        </w:tc>
        <w:tc>
          <w:tcPr>
            <w:tcW w:w="4782"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bidi="ar-SA"/>
              </w:rPr>
            </w:pPr>
          </w:p>
        </w:tc>
        <w:tc>
          <w:tcPr>
            <w:tcW w:w="186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3" w:line="360" w:lineRule="exact"/>
              <w:ind w:left="113"/>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未发现开展本次抽查涉及的经营活动□</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944" w:type="dxa"/>
            <w:vMerge w:val="continue"/>
            <w:tcBorders>
              <w:tl2br w:val="nil"/>
              <w:tr2bl w:val="nil"/>
            </w:tcBorders>
            <w:vAlign w:val="center"/>
          </w:tcPr>
          <w:p>
            <w:pPr>
              <w:rPr>
                <w:color w:val="auto"/>
              </w:rPr>
            </w:pPr>
          </w:p>
        </w:tc>
        <w:tc>
          <w:tcPr>
            <w:tcW w:w="1300" w:type="dxa"/>
            <w:vMerge w:val="continue"/>
            <w:tcBorders>
              <w:tl2br w:val="nil"/>
              <w:tr2bl w:val="nil"/>
            </w:tcBorders>
            <w:vAlign w:val="center"/>
          </w:tcPr>
          <w:p>
            <w:pPr>
              <w:rPr>
                <w:color w:val="auto"/>
              </w:rPr>
            </w:pPr>
          </w:p>
        </w:tc>
        <w:tc>
          <w:tcPr>
            <w:tcW w:w="4782"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bidi="ar-SA"/>
              </w:rPr>
            </w:pPr>
          </w:p>
        </w:tc>
        <w:tc>
          <w:tcPr>
            <w:tcW w:w="186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113"/>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不配合检查情节严重□</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944" w:type="dxa"/>
            <w:vMerge w:val="continue"/>
            <w:tcBorders>
              <w:tl2br w:val="nil"/>
              <w:tr2bl w:val="nil"/>
            </w:tcBorders>
            <w:vAlign w:val="center"/>
          </w:tcPr>
          <w:p>
            <w:pPr>
              <w:rPr>
                <w:color w:val="auto"/>
              </w:rPr>
            </w:pPr>
          </w:p>
        </w:tc>
        <w:tc>
          <w:tcPr>
            <w:tcW w:w="1300" w:type="dxa"/>
            <w:vMerge w:val="restart"/>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投资者情况</w:t>
            </w:r>
          </w:p>
        </w:tc>
        <w:tc>
          <w:tcPr>
            <w:tcW w:w="6642"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59" w:line="360" w:lineRule="exact"/>
              <w:ind w:right="90"/>
              <w:jc w:val="center"/>
              <w:textAlignment w:val="auto"/>
              <w:rPr>
                <w:rFonts w:hint="eastAsia" w:ascii="仿宋_GB2312" w:eastAsia="仿宋_GB2312" w:cs="仿宋_GB2312"/>
                <w:color w:val="auto"/>
                <w:sz w:val="24"/>
                <w:szCs w:val="24"/>
                <w:lang w:bidi="ar-SA"/>
              </w:rPr>
            </w:pP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113"/>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944" w:type="dxa"/>
            <w:vMerge w:val="continue"/>
            <w:tcBorders>
              <w:tl2br w:val="nil"/>
              <w:tr2bl w:val="nil"/>
            </w:tcBorders>
            <w:vAlign w:val="center"/>
          </w:tcPr>
          <w:p>
            <w:pPr>
              <w:rPr>
                <w:color w:val="auto"/>
              </w:rPr>
            </w:pPr>
          </w:p>
        </w:tc>
        <w:tc>
          <w:tcPr>
            <w:tcW w:w="1300" w:type="dxa"/>
            <w:vMerge w:val="continue"/>
            <w:tcBorders>
              <w:tl2br w:val="nil"/>
              <w:tr2bl w:val="nil"/>
            </w:tcBorders>
            <w:vAlign w:val="center"/>
          </w:tcPr>
          <w:p>
            <w:pPr>
              <w:rPr>
                <w:color w:val="auto"/>
              </w:rPr>
            </w:pPr>
          </w:p>
        </w:tc>
        <w:tc>
          <w:tcPr>
            <w:tcW w:w="6642"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18" w:line="360" w:lineRule="exact"/>
              <w:ind w:left="113"/>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944" w:type="dxa"/>
            <w:vMerge w:val="continue"/>
            <w:tcBorders>
              <w:tl2br w:val="nil"/>
              <w:tr2bl w:val="nil"/>
            </w:tcBorders>
            <w:vAlign w:val="center"/>
          </w:tcPr>
          <w:p>
            <w:pPr>
              <w:rPr>
                <w:color w:val="auto"/>
              </w:rPr>
            </w:pPr>
          </w:p>
        </w:tc>
        <w:tc>
          <w:tcPr>
            <w:tcW w:w="1300" w:type="dxa"/>
            <w:vMerge w:val="restart"/>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经营情况</w:t>
            </w:r>
          </w:p>
        </w:tc>
        <w:tc>
          <w:tcPr>
            <w:tcW w:w="6642"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59" w:line="360" w:lineRule="exact"/>
              <w:ind w:right="112"/>
              <w:jc w:val="center"/>
              <w:textAlignment w:val="auto"/>
              <w:rPr>
                <w:rFonts w:hint="eastAsia" w:ascii="仿宋_GB2312" w:eastAsia="仿宋_GB2312" w:cs="仿宋_GB2312"/>
                <w:color w:val="auto"/>
                <w:sz w:val="24"/>
                <w:szCs w:val="24"/>
                <w:lang w:bidi="ar-SA"/>
              </w:rPr>
            </w:pP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113"/>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944" w:type="dxa"/>
            <w:vMerge w:val="continue"/>
            <w:tcBorders>
              <w:tl2br w:val="nil"/>
              <w:tr2bl w:val="nil"/>
            </w:tcBorders>
            <w:vAlign w:val="center"/>
          </w:tcPr>
          <w:p>
            <w:pPr>
              <w:rPr>
                <w:color w:val="auto"/>
              </w:rPr>
            </w:pPr>
          </w:p>
        </w:tc>
        <w:tc>
          <w:tcPr>
            <w:tcW w:w="1300" w:type="dxa"/>
            <w:vMerge w:val="continue"/>
            <w:tcBorders>
              <w:tl2br w:val="nil"/>
              <w:tr2bl w:val="nil"/>
            </w:tcBorders>
            <w:vAlign w:val="center"/>
          </w:tcPr>
          <w:p>
            <w:pPr>
              <w:rPr>
                <w:color w:val="auto"/>
              </w:rPr>
            </w:pPr>
          </w:p>
        </w:tc>
        <w:tc>
          <w:tcPr>
            <w:tcW w:w="6642"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95" w:line="360" w:lineRule="exact"/>
              <w:ind w:left="112"/>
              <w:jc w:val="center"/>
              <w:textAlignment w:val="auto"/>
              <w:rPr>
                <w:rFonts w:hint="eastAsia" w:ascii="仿宋_GB2312" w:eastAsia="仿宋_GB2312" w:cs="仿宋_GB2312"/>
                <w:color w:val="auto"/>
                <w:sz w:val="24"/>
                <w:szCs w:val="24"/>
                <w:lang w:bidi="ar-SA"/>
              </w:rPr>
            </w:pPr>
          </w:p>
        </w:tc>
        <w:tc>
          <w:tcPr>
            <w:tcW w:w="393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113"/>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2244"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25" w:line="360" w:lineRule="exact"/>
              <w:ind w:left="107"/>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备注</w:t>
            </w:r>
          </w:p>
        </w:tc>
        <w:tc>
          <w:tcPr>
            <w:tcW w:w="10574" w:type="dxa"/>
            <w:gridSpan w:val="4"/>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113"/>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02" w:hRule="atLeast"/>
          <w:jc w:val="center"/>
        </w:trPr>
        <w:tc>
          <w:tcPr>
            <w:tcW w:w="6413"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3"/>
                <w:sz w:val="24"/>
                <w:szCs w:val="24"/>
                <w:lang w:bidi="ar-SA"/>
              </w:rPr>
            </w:pPr>
            <w:r>
              <w:rPr>
                <w:rFonts w:hint="eastAsia" w:ascii="仿宋_GB2312" w:eastAsia="仿宋_GB2312" w:cs="仿宋_GB2312"/>
                <w:color w:val="auto"/>
                <w:spacing w:val="-3"/>
                <w:sz w:val="24"/>
                <w:szCs w:val="24"/>
                <w:lang w:bidi="ar-SA"/>
              </w:rPr>
              <w:t>被</w:t>
            </w:r>
            <w:r>
              <w:rPr>
                <w:rFonts w:hint="eastAsia" w:ascii="仿宋_GB2312" w:eastAsia="仿宋_GB2312" w:cs="仿宋_GB2312"/>
                <w:color w:val="auto"/>
                <w:spacing w:val="-3"/>
                <w:sz w:val="24"/>
                <w:szCs w:val="24"/>
                <w:lang w:val="en-US" w:bidi="ar-SA"/>
              </w:rPr>
              <w:t>检查</w:t>
            </w:r>
            <w:r>
              <w:rPr>
                <w:rFonts w:hint="eastAsia" w:ascii="仿宋_GB2312" w:eastAsia="仿宋_GB2312" w:cs="仿宋_GB2312"/>
                <w:color w:val="auto"/>
                <w:spacing w:val="-3"/>
                <w:sz w:val="24"/>
                <w:szCs w:val="24"/>
                <w:lang w:bidi="ar-SA"/>
              </w:rPr>
              <w:t>单位对</w:t>
            </w:r>
            <w:r>
              <w:rPr>
                <w:rFonts w:hint="eastAsia" w:ascii="仿宋_GB2312" w:eastAsia="仿宋_GB2312" w:cs="仿宋_GB2312"/>
                <w:color w:val="auto"/>
                <w:spacing w:val="-3"/>
                <w:sz w:val="24"/>
                <w:szCs w:val="24"/>
                <w:lang w:val="en-US" w:bidi="ar-SA"/>
              </w:rPr>
              <w:t>检查</w:t>
            </w:r>
            <w:r>
              <w:rPr>
                <w:rFonts w:hint="eastAsia" w:ascii="仿宋_GB2312" w:eastAsia="仿宋_GB2312" w:cs="仿宋_GB2312"/>
                <w:color w:val="auto"/>
                <w:spacing w:val="-3"/>
                <w:sz w:val="24"/>
                <w:szCs w:val="24"/>
                <w:lang w:bidi="ar-SA"/>
              </w:rPr>
              <w:t>程序、过程及上</w:t>
            </w:r>
            <w:r>
              <w:rPr>
                <w:rFonts w:hint="eastAsia" w:ascii="仿宋_GB2312" w:eastAsia="仿宋_GB2312" w:cs="仿宋_GB2312"/>
                <w:color w:val="auto"/>
                <w:spacing w:val="-3"/>
                <w:sz w:val="24"/>
                <w:szCs w:val="24"/>
                <w:lang w:eastAsia="zh-CN" w:bidi="ar-SA"/>
              </w:rPr>
              <w:t>述</w:t>
            </w:r>
            <w:r>
              <w:rPr>
                <w:rFonts w:hint="eastAsia" w:ascii="仿宋_GB2312" w:eastAsia="仿宋_GB2312" w:cs="仿宋_GB2312"/>
                <w:color w:val="auto"/>
                <w:spacing w:val="-3"/>
                <w:sz w:val="24"/>
                <w:szCs w:val="24"/>
                <w:lang w:bidi="ar-SA"/>
              </w:rPr>
              <w:t>内容无异议</w:t>
            </w: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3"/>
                <w:sz w:val="24"/>
                <w:szCs w:val="24"/>
                <w:lang w:bidi="ar-SA"/>
              </w:rPr>
            </w:pP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pacing w:val="-3"/>
                <w:sz w:val="24"/>
                <w:szCs w:val="24"/>
                <w:lang w:bidi="ar-SA"/>
              </w:rPr>
              <w:t>被检查单位签名</w:t>
            </w:r>
            <w:r>
              <w:rPr>
                <w:rFonts w:hint="eastAsia" w:ascii="仿宋_GB2312" w:eastAsia="仿宋_GB2312" w:cs="仿宋_GB2312"/>
                <w:color w:val="auto"/>
                <w:spacing w:val="-1"/>
                <w:sz w:val="24"/>
                <w:szCs w:val="24"/>
                <w:lang w:bidi="ar-SA"/>
              </w:rPr>
              <w:t>（</w:t>
            </w:r>
            <w:r>
              <w:rPr>
                <w:rFonts w:hint="eastAsia" w:ascii="仿宋_GB2312" w:eastAsia="仿宋_GB2312" w:cs="仿宋_GB2312"/>
                <w:color w:val="auto"/>
                <w:spacing w:val="-2"/>
                <w:sz w:val="24"/>
                <w:szCs w:val="24"/>
                <w:lang w:bidi="ar-SA"/>
              </w:rPr>
              <w:t>盖章）</w:t>
            </w: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z w:val="24"/>
                <w:szCs w:val="24"/>
                <w:lang w:bidi="ar-SA"/>
              </w:rPr>
            </w:pPr>
          </w:p>
          <w:p>
            <w:pPr>
              <w:pStyle w:val="15"/>
              <w:keepNext w:val="0"/>
              <w:keepLines w:val="0"/>
              <w:pageBreakBefore w:val="0"/>
              <w:widowControl w:val="0"/>
              <w:kinsoku/>
              <w:wordWrap w:val="0"/>
              <w:overflowPunct/>
              <w:topLinePunct w:val="0"/>
              <w:autoSpaceDE/>
              <w:autoSpaceDN/>
              <w:bidi w:val="0"/>
              <w:adjustRightInd/>
              <w:snapToGrid/>
              <w:spacing w:line="240" w:lineRule="exact"/>
              <w:ind w:right="0" w:rightChars="0" w:firstLine="2400" w:firstLineChars="1000"/>
              <w:jc w:val="right"/>
              <w:textAlignment w:val="auto"/>
              <w:rPr>
                <w:rFonts w:hint="eastAsia" w:ascii="仿宋_GB2312" w:eastAsia="仿宋_GB2312" w:cs="仿宋_GB2312"/>
                <w:color w:val="auto"/>
                <w:sz w:val="24"/>
                <w:szCs w:val="24"/>
                <w:lang w:val="en-US" w:eastAsia="zh-CN" w:bidi="ar-SA"/>
              </w:rPr>
            </w:pPr>
            <w:r>
              <w:rPr>
                <w:rFonts w:hint="eastAsia" w:ascii="仿宋_GB2312" w:eastAsia="仿宋_GB2312" w:cs="仿宋_GB2312"/>
                <w:color w:val="auto"/>
                <w:sz w:val="24"/>
                <w:szCs w:val="24"/>
                <w:lang w:bidi="ar-SA"/>
              </w:rPr>
              <w:t>年</w:t>
            </w:r>
            <w:r>
              <w:rPr>
                <w:rFonts w:hint="eastAsia" w:ascii="仿宋_GB2312" w:eastAsia="仿宋_GB2312" w:cs="仿宋_GB2312"/>
                <w:color w:val="auto"/>
                <w:sz w:val="24"/>
                <w:szCs w:val="24"/>
                <w:lang w:bidi="ar-SA"/>
              </w:rPr>
              <w:tab/>
            </w:r>
            <w:r>
              <w:rPr>
                <w:rFonts w:hint="eastAsia" w:ascii="仿宋_GB2312" w:eastAsia="仿宋_GB2312" w:cs="仿宋_GB2312"/>
                <w:color w:val="auto"/>
                <w:sz w:val="24"/>
                <w:szCs w:val="24"/>
                <w:lang w:bidi="ar-SA"/>
              </w:rPr>
              <w:t>月</w:t>
            </w:r>
            <w:r>
              <w:rPr>
                <w:rFonts w:hint="eastAsia" w:ascii="仿宋_GB2312" w:eastAsia="仿宋_GB2312" w:cs="仿宋_GB2312"/>
                <w:color w:val="auto"/>
                <w:sz w:val="24"/>
                <w:szCs w:val="24"/>
                <w:lang w:val="en-US" w:bidi="ar-SA"/>
              </w:rPr>
              <w:t xml:space="preserve">  日</w:t>
            </w:r>
            <w:r>
              <w:rPr>
                <w:rFonts w:hint="eastAsia" w:ascii="仿宋_GB2312" w:eastAsia="仿宋_GB2312" w:cs="仿宋_GB2312"/>
                <w:color w:val="auto"/>
                <w:sz w:val="24"/>
                <w:szCs w:val="24"/>
                <w:lang w:val="en-US" w:eastAsia="zh-CN" w:bidi="ar-SA"/>
              </w:rPr>
              <w:t xml:space="preserve">    </w:t>
            </w:r>
          </w:p>
        </w:tc>
        <w:tc>
          <w:tcPr>
            <w:tcW w:w="6405"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1"/>
                <w:sz w:val="24"/>
                <w:szCs w:val="24"/>
                <w:lang w:bidi="ar-SA"/>
              </w:rPr>
            </w:pPr>
            <w:r>
              <w:rPr>
                <w:rFonts w:hint="eastAsia" w:ascii="仿宋_GB2312" w:eastAsia="仿宋_GB2312" w:cs="仿宋_GB2312"/>
                <w:color w:val="auto"/>
                <w:spacing w:val="-2"/>
                <w:sz w:val="24"/>
                <w:szCs w:val="24"/>
                <w:lang w:val="en-US" w:bidi="ar-SA"/>
              </w:rPr>
              <w:t>检查人员</w:t>
            </w:r>
            <w:r>
              <w:rPr>
                <w:rFonts w:hint="eastAsia" w:ascii="仿宋_GB2312" w:eastAsia="仿宋_GB2312" w:cs="仿宋_GB2312"/>
                <w:color w:val="auto"/>
                <w:spacing w:val="-1"/>
                <w:sz w:val="24"/>
                <w:szCs w:val="24"/>
                <w:lang w:bidi="ar-SA"/>
              </w:rPr>
              <w:t>（</w:t>
            </w:r>
            <w:r>
              <w:rPr>
                <w:rFonts w:hint="eastAsia" w:ascii="仿宋_GB2312" w:eastAsia="仿宋_GB2312" w:cs="仿宋_GB2312"/>
                <w:color w:val="auto"/>
                <w:spacing w:val="-2"/>
                <w:sz w:val="24"/>
                <w:szCs w:val="24"/>
                <w:lang w:bidi="ar-SA"/>
              </w:rPr>
              <w:t>签名</w:t>
            </w:r>
            <w:r>
              <w:rPr>
                <w:rFonts w:hint="eastAsia" w:ascii="仿宋_GB2312" w:eastAsia="仿宋_GB2312" w:cs="仿宋_GB2312"/>
                <w:color w:val="auto"/>
                <w:spacing w:val="-109"/>
                <w:sz w:val="24"/>
                <w:szCs w:val="24"/>
                <w:lang w:bidi="ar-SA"/>
              </w:rPr>
              <w:t>）</w:t>
            </w: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1"/>
                <w:sz w:val="24"/>
                <w:szCs w:val="24"/>
                <w:lang w:bidi="ar-SA"/>
              </w:rPr>
            </w:pP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2"/>
                <w:sz w:val="24"/>
                <w:szCs w:val="24"/>
                <w:lang w:bidi="ar-SA"/>
              </w:rPr>
            </w:pPr>
            <w:r>
              <w:rPr>
                <w:rFonts w:hint="eastAsia" w:ascii="仿宋_GB2312" w:eastAsia="仿宋_GB2312" w:cs="仿宋_GB2312"/>
                <w:color w:val="auto"/>
                <w:spacing w:val="-2"/>
                <w:sz w:val="24"/>
                <w:szCs w:val="24"/>
                <w:lang w:val="en-US" w:bidi="ar-SA"/>
              </w:rPr>
              <w:t>检查单位</w:t>
            </w:r>
            <w:r>
              <w:rPr>
                <w:rFonts w:hint="eastAsia" w:ascii="仿宋_GB2312" w:eastAsia="仿宋_GB2312" w:cs="仿宋_GB2312"/>
                <w:color w:val="auto"/>
                <w:spacing w:val="-3"/>
                <w:sz w:val="24"/>
                <w:szCs w:val="24"/>
                <w:lang w:bidi="ar-SA"/>
              </w:rPr>
              <w:t>（</w:t>
            </w:r>
            <w:r>
              <w:rPr>
                <w:rFonts w:hint="eastAsia" w:ascii="仿宋_GB2312" w:eastAsia="仿宋_GB2312" w:cs="仿宋_GB2312"/>
                <w:color w:val="auto"/>
                <w:spacing w:val="-2"/>
                <w:sz w:val="24"/>
                <w:szCs w:val="24"/>
                <w:lang w:bidi="ar-SA"/>
              </w:rPr>
              <w:t>盖章）</w:t>
            </w: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2"/>
                <w:sz w:val="24"/>
                <w:szCs w:val="24"/>
                <w:lang w:bidi="ar-SA"/>
              </w:rPr>
            </w:pPr>
          </w:p>
          <w:p>
            <w:pPr>
              <w:pStyle w:val="15"/>
              <w:keepNext w:val="0"/>
              <w:keepLines w:val="0"/>
              <w:pageBreakBefore w:val="0"/>
              <w:widowControl w:val="0"/>
              <w:kinsoku/>
              <w:wordWrap w:val="0"/>
              <w:overflowPunct/>
              <w:topLinePunct w:val="0"/>
              <w:autoSpaceDE/>
              <w:autoSpaceDN/>
              <w:bidi w:val="0"/>
              <w:adjustRightInd/>
              <w:snapToGrid/>
              <w:spacing w:line="240" w:lineRule="exact"/>
              <w:ind w:right="0" w:rightChars="0" w:firstLine="1680" w:firstLineChars="700"/>
              <w:jc w:val="right"/>
              <w:textAlignment w:val="auto"/>
              <w:rPr>
                <w:rFonts w:hint="eastAsia" w:ascii="仿宋_GB2312" w:eastAsia="仿宋_GB2312" w:cs="仿宋_GB2312"/>
                <w:color w:val="auto"/>
                <w:sz w:val="24"/>
                <w:szCs w:val="24"/>
                <w:lang w:val="en-US" w:eastAsia="zh-CN" w:bidi="ar-SA"/>
              </w:rPr>
            </w:pPr>
            <w:r>
              <w:rPr>
                <w:rFonts w:hint="eastAsia" w:ascii="仿宋_GB2312" w:eastAsia="仿宋_GB2312" w:cs="仿宋_GB2312"/>
                <w:color w:val="auto"/>
                <w:sz w:val="24"/>
                <w:szCs w:val="24"/>
                <w:lang w:bidi="ar-SA"/>
              </w:rPr>
              <w:t>年</w:t>
            </w:r>
            <w:r>
              <w:rPr>
                <w:rFonts w:hint="eastAsia" w:ascii="仿宋_GB2312" w:eastAsia="仿宋_GB2312" w:cs="仿宋_GB2312"/>
                <w:color w:val="auto"/>
                <w:sz w:val="24"/>
                <w:szCs w:val="24"/>
                <w:lang w:bidi="ar-SA"/>
              </w:rPr>
              <w:tab/>
            </w:r>
            <w:r>
              <w:rPr>
                <w:rFonts w:hint="eastAsia" w:ascii="仿宋_GB2312" w:eastAsia="仿宋_GB2312" w:cs="仿宋_GB2312"/>
                <w:color w:val="auto"/>
                <w:sz w:val="24"/>
                <w:szCs w:val="24"/>
                <w:lang w:bidi="ar-SA"/>
              </w:rPr>
              <w:t>月</w:t>
            </w:r>
            <w:r>
              <w:rPr>
                <w:rFonts w:hint="eastAsia" w:ascii="仿宋_GB2312" w:eastAsia="仿宋_GB2312" w:cs="仿宋_GB2312"/>
                <w:color w:val="auto"/>
                <w:sz w:val="24"/>
                <w:szCs w:val="24"/>
                <w:lang w:val="en-US" w:bidi="ar-SA"/>
              </w:rPr>
              <w:t xml:space="preserve">  日</w:t>
            </w:r>
            <w:r>
              <w:rPr>
                <w:rFonts w:hint="eastAsia" w:ascii="仿宋_GB2312" w:eastAsia="仿宋_GB2312" w:cs="仿宋_GB2312"/>
                <w:color w:val="auto"/>
                <w:sz w:val="24"/>
                <w:szCs w:val="24"/>
                <w:lang w:val="en-US" w:eastAsia="zh-CN" w:bidi="ar-SA"/>
              </w:rPr>
              <w:t xml:space="preserve">    </w:t>
            </w:r>
          </w:p>
        </w:tc>
      </w:tr>
    </w:tbl>
    <w:p>
      <w:pPr>
        <w:pStyle w:val="9"/>
        <w:keepNext w:val="0"/>
        <w:keepLines w:val="0"/>
        <w:pageBreakBefore w:val="0"/>
        <w:widowControl w:val="0"/>
        <w:kinsoku/>
        <w:wordWrap/>
        <w:overflowPunct/>
        <w:topLinePunct w:val="0"/>
        <w:autoSpaceDE/>
        <w:autoSpaceDN/>
        <w:bidi w:val="0"/>
        <w:adjustRightInd/>
        <w:snapToGrid w:val="0"/>
        <w:spacing w:line="100" w:lineRule="exact"/>
        <w:textAlignment w:val="auto"/>
        <w:rPr>
          <w:color w:val="auto"/>
        </w:rPr>
      </w:pPr>
    </w:p>
    <w:p>
      <w:pPr>
        <w:pStyle w:val="9"/>
        <w:keepNext w:val="0"/>
        <w:keepLines w:val="0"/>
        <w:pageBreakBefore w:val="0"/>
        <w:widowControl w:val="0"/>
        <w:kinsoku/>
        <w:wordWrap/>
        <w:overflowPunct/>
        <w:topLinePunct w:val="0"/>
        <w:autoSpaceDE/>
        <w:autoSpaceDN/>
        <w:bidi w:val="0"/>
        <w:adjustRightInd/>
        <w:snapToGrid w:val="0"/>
        <w:spacing w:line="200" w:lineRule="exact"/>
        <w:textAlignment w:val="auto"/>
        <w:rPr>
          <w:color w:val="auto"/>
        </w:rPr>
      </w:pPr>
      <w:r>
        <w:rPr>
          <w:color w:val="auto"/>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color w:val="auto"/>
          <w:sz w:val="44"/>
          <w:szCs w:val="44"/>
        </w:rPr>
      </w:pPr>
      <w:r>
        <w:rPr>
          <w:rFonts w:eastAsia="方正小标宋简体"/>
          <w:color w:val="auto"/>
          <w:sz w:val="44"/>
          <w:szCs w:val="44"/>
        </w:rPr>
        <w:t>四川省外商投资信息报告监督检查记录表（初始、变更报告示例）</w:t>
      </w:r>
    </w:p>
    <w:p>
      <w:pPr>
        <w:pStyle w:val="9"/>
        <w:keepNext w:val="0"/>
        <w:keepLines w:val="0"/>
        <w:pageBreakBefore w:val="0"/>
        <w:widowControl w:val="0"/>
        <w:kinsoku/>
        <w:wordWrap/>
        <w:overflowPunct/>
        <w:topLinePunct w:val="0"/>
        <w:autoSpaceDE/>
        <w:autoSpaceDN/>
        <w:bidi w:val="0"/>
        <w:adjustRightInd/>
        <w:snapToGrid w:val="0"/>
        <w:spacing w:line="200" w:lineRule="exact"/>
        <w:textAlignment w:val="auto"/>
        <w:rPr>
          <w:color w:val="auto"/>
        </w:rPr>
      </w:pPr>
    </w:p>
    <w:tbl>
      <w:tblPr>
        <w:tblStyle w:val="13"/>
        <w:tblW w:w="12818" w:type="dxa"/>
        <w:jc w:val="center"/>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40"/>
        <w:gridCol w:w="762"/>
        <w:gridCol w:w="4909"/>
        <w:gridCol w:w="1377"/>
        <w:gridCol w:w="1390"/>
        <w:gridCol w:w="3640"/>
      </w:tblGrid>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740" w:type="dxa"/>
            <w:vMerge w:val="restart"/>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bidi="ar-SA"/>
              </w:rPr>
              <w:t>初始、变更</w:t>
            </w:r>
          </w:p>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报告</w:t>
            </w:r>
          </w:p>
        </w:tc>
        <w:tc>
          <w:tcPr>
            <w:tcW w:w="762"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检查</w:t>
            </w:r>
          </w:p>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项目</w:t>
            </w:r>
          </w:p>
        </w:tc>
        <w:tc>
          <w:tcPr>
            <w:tcW w:w="7676"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检查内容</w:t>
            </w: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bidi="ar-SA"/>
              </w:rPr>
            </w:pPr>
            <w:r>
              <w:rPr>
                <w:rFonts w:hint="eastAsia" w:ascii="黑体" w:eastAsia="黑体" w:cs="黑体"/>
                <w:color w:val="auto"/>
                <w:sz w:val="24"/>
                <w:szCs w:val="24"/>
                <w:lang w:bidi="ar-SA"/>
              </w:rPr>
              <w:t>检查结果</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restart"/>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基本</w:t>
            </w:r>
          </w:p>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信息</w:t>
            </w:r>
          </w:p>
        </w:tc>
        <w:tc>
          <w:tcPr>
            <w:tcW w:w="6286"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bidi="ar-SA"/>
              </w:rPr>
              <w:t>1.</w:t>
            </w:r>
            <w:r>
              <w:rPr>
                <w:rFonts w:hint="eastAsia" w:ascii="仿宋_GB2312" w:eastAsia="仿宋_GB2312" w:cs="仿宋_GB2312"/>
                <w:color w:val="auto"/>
                <w:sz w:val="24"/>
                <w:szCs w:val="24"/>
                <w:lang w:val="en-US" w:bidi="ar-SA"/>
              </w:rPr>
              <w:t>“是否在特殊经济区域”是否勾选正确</w:t>
            </w:r>
          </w:p>
        </w:tc>
        <w:tc>
          <w:tcPr>
            <w:tcW w:w="139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未发现问题□</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6286"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val="en-US" w:bidi="ar-SA"/>
              </w:rPr>
              <w:t>2.根据企业营业执照，检查企业投资行业、主营行业是否勾选正确</w:t>
            </w:r>
          </w:p>
        </w:tc>
        <w:tc>
          <w:tcPr>
            <w:tcW w:w="139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bidi="ar-SA"/>
              </w:rPr>
              <w:t>是□ 否□</w:t>
            </w: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未按规定报送投资信息□</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6286"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val="en-US" w:bidi="ar-SA"/>
              </w:rPr>
              <w:t>（详见“外商投资初始、变更报告检查要点”，另附）</w:t>
            </w:r>
          </w:p>
        </w:tc>
        <w:tc>
          <w:tcPr>
            <w:tcW w:w="139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bidi="ar-SA"/>
              </w:rPr>
              <w:t>是□ 否□</w:t>
            </w: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投资信息隐瞒真实情况弄虚作假□</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6286"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val="en-US" w:bidi="ar-SA"/>
              </w:rPr>
              <w:t>......</w:t>
            </w:r>
          </w:p>
        </w:tc>
        <w:tc>
          <w:tcPr>
            <w:tcW w:w="139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val="en-US" w:bidi="ar-SA"/>
              </w:rPr>
            </w:pPr>
            <w:r>
              <w:rPr>
                <w:rFonts w:hint="eastAsia" w:ascii="仿宋_GB2312" w:eastAsia="仿宋_GB2312" w:cs="仿宋_GB2312"/>
                <w:color w:val="auto"/>
                <w:sz w:val="24"/>
                <w:szCs w:val="24"/>
                <w:lang w:bidi="ar-SA"/>
              </w:rPr>
              <w:t>是□ 否□</w:t>
            </w: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发现问题已责令改正□</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6286"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bidi="ar-SA"/>
              </w:rPr>
            </w:pPr>
          </w:p>
        </w:tc>
        <w:tc>
          <w:tcPr>
            <w:tcW w:w="139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发现问题待后续处理□</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6286"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bidi="ar-SA"/>
              </w:rPr>
            </w:pPr>
          </w:p>
        </w:tc>
        <w:tc>
          <w:tcPr>
            <w:tcW w:w="139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未发现开展本次抽查涉及的经营活动□</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6286"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s="仿宋_GB2312"/>
                <w:color w:val="auto"/>
                <w:sz w:val="24"/>
                <w:szCs w:val="24"/>
                <w:lang w:bidi="ar-SA"/>
              </w:rPr>
            </w:pPr>
          </w:p>
        </w:tc>
        <w:tc>
          <w:tcPr>
            <w:tcW w:w="139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是□ 否□</w:t>
            </w: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不配合检查情节严重□</w:t>
            </w: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restart"/>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投资者</w:t>
            </w:r>
          </w:p>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基</w:t>
            </w: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val="en-US" w:bidi="ar-SA"/>
              </w:rPr>
              <w:t>本</w:t>
            </w:r>
          </w:p>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信</w:t>
            </w:r>
            <w:r>
              <w:rPr>
                <w:rFonts w:hint="eastAsia" w:ascii="黑体" w:eastAsia="黑体" w:cs="黑体"/>
                <w:color w:val="auto"/>
                <w:sz w:val="24"/>
                <w:szCs w:val="24"/>
                <w:lang w:val="en-US" w:eastAsia="zh-CN" w:bidi="ar-SA"/>
              </w:rPr>
              <w:t xml:space="preserve">  </w:t>
            </w:r>
            <w:r>
              <w:rPr>
                <w:rFonts w:hint="eastAsia" w:ascii="黑体" w:eastAsia="黑体" w:cs="黑体"/>
                <w:color w:val="auto"/>
                <w:sz w:val="24"/>
                <w:szCs w:val="24"/>
                <w:lang w:val="en-US" w:bidi="ar-SA"/>
              </w:rPr>
              <w:t>息</w:t>
            </w:r>
          </w:p>
        </w:tc>
        <w:tc>
          <w:tcPr>
            <w:tcW w:w="7676"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7676"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7676"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740" w:type="dxa"/>
            <w:vMerge w:val="continue"/>
            <w:tcBorders>
              <w:tl2br w:val="nil"/>
              <w:tr2bl w:val="nil"/>
            </w:tcBorders>
            <w:vAlign w:val="center"/>
          </w:tcPr>
          <w:p>
            <w:pPr>
              <w:rPr>
                <w:color w:val="auto"/>
              </w:rPr>
            </w:pPr>
          </w:p>
        </w:tc>
        <w:tc>
          <w:tcPr>
            <w:tcW w:w="762" w:type="dxa"/>
            <w:vMerge w:val="continue"/>
            <w:tcBorders>
              <w:tl2br w:val="nil"/>
              <w:tr2bl w:val="nil"/>
            </w:tcBorders>
            <w:vAlign w:val="center"/>
          </w:tcPr>
          <w:p>
            <w:pPr>
              <w:rPr>
                <w:color w:val="auto"/>
              </w:rPr>
            </w:pPr>
          </w:p>
        </w:tc>
        <w:tc>
          <w:tcPr>
            <w:tcW w:w="7676"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c>
          <w:tcPr>
            <w:tcW w:w="36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仿宋_GB2312"/>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502" w:type="dxa"/>
            <w:gridSpan w:val="2"/>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s="黑体"/>
                <w:color w:val="auto"/>
                <w:sz w:val="24"/>
                <w:szCs w:val="24"/>
                <w:lang w:val="en-US" w:bidi="ar-SA"/>
              </w:rPr>
            </w:pPr>
            <w:r>
              <w:rPr>
                <w:rFonts w:hint="eastAsia" w:ascii="黑体" w:eastAsia="黑体" w:cs="黑体"/>
                <w:color w:val="auto"/>
                <w:sz w:val="24"/>
                <w:szCs w:val="24"/>
                <w:lang w:val="en-US" w:bidi="ar-SA"/>
              </w:rPr>
              <w:t>备注</w:t>
            </w:r>
          </w:p>
        </w:tc>
        <w:tc>
          <w:tcPr>
            <w:tcW w:w="11316" w:type="dxa"/>
            <w:gridSpan w:val="4"/>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cs="Times New Roman"/>
                <w:color w:val="auto"/>
                <w:sz w:val="24"/>
                <w:szCs w:val="24"/>
                <w:lang w:bidi="ar-SA"/>
              </w:rPr>
            </w:pPr>
          </w:p>
        </w:tc>
      </w:tr>
      <w:tr>
        <w:tblPrEx>
          <w:tblBorders>
            <w:top w:val="single" w:color="000000" w:sz="4"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365" w:hRule="atLeast"/>
          <w:jc w:val="center"/>
        </w:trPr>
        <w:tc>
          <w:tcPr>
            <w:tcW w:w="6411"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3"/>
                <w:sz w:val="24"/>
                <w:szCs w:val="24"/>
                <w:lang w:bidi="ar-SA"/>
              </w:rPr>
            </w:pPr>
            <w:r>
              <w:rPr>
                <w:rFonts w:hint="eastAsia" w:ascii="仿宋_GB2312" w:eastAsia="仿宋_GB2312" w:cs="仿宋_GB2312"/>
                <w:color w:val="auto"/>
                <w:spacing w:val="-3"/>
                <w:sz w:val="24"/>
                <w:szCs w:val="24"/>
                <w:lang w:bidi="ar-SA"/>
              </w:rPr>
              <w:t>被</w:t>
            </w:r>
            <w:r>
              <w:rPr>
                <w:rFonts w:hint="eastAsia" w:ascii="仿宋_GB2312" w:eastAsia="仿宋_GB2312" w:cs="仿宋_GB2312"/>
                <w:color w:val="auto"/>
                <w:spacing w:val="-3"/>
                <w:sz w:val="24"/>
                <w:szCs w:val="24"/>
                <w:lang w:val="en-US" w:bidi="ar-SA"/>
              </w:rPr>
              <w:t>检查</w:t>
            </w:r>
            <w:r>
              <w:rPr>
                <w:rFonts w:hint="eastAsia" w:ascii="仿宋_GB2312" w:eastAsia="仿宋_GB2312" w:cs="仿宋_GB2312"/>
                <w:color w:val="auto"/>
                <w:spacing w:val="-3"/>
                <w:sz w:val="24"/>
                <w:szCs w:val="24"/>
                <w:lang w:bidi="ar-SA"/>
              </w:rPr>
              <w:t>单位对</w:t>
            </w:r>
            <w:r>
              <w:rPr>
                <w:rFonts w:hint="eastAsia" w:ascii="仿宋_GB2312" w:eastAsia="仿宋_GB2312" w:cs="仿宋_GB2312"/>
                <w:color w:val="auto"/>
                <w:spacing w:val="-3"/>
                <w:sz w:val="24"/>
                <w:szCs w:val="24"/>
                <w:lang w:val="en-US" w:bidi="ar-SA"/>
              </w:rPr>
              <w:t>检查</w:t>
            </w:r>
            <w:r>
              <w:rPr>
                <w:rFonts w:hint="eastAsia" w:ascii="仿宋_GB2312" w:eastAsia="仿宋_GB2312" w:cs="仿宋_GB2312"/>
                <w:color w:val="auto"/>
                <w:spacing w:val="-3"/>
                <w:sz w:val="24"/>
                <w:szCs w:val="24"/>
                <w:lang w:bidi="ar-SA"/>
              </w:rPr>
              <w:t>程序、过程及上</w:t>
            </w:r>
            <w:r>
              <w:rPr>
                <w:rFonts w:hint="eastAsia" w:ascii="仿宋_GB2312" w:eastAsia="仿宋_GB2312" w:cs="仿宋_GB2312"/>
                <w:color w:val="auto"/>
                <w:spacing w:val="-3"/>
                <w:sz w:val="24"/>
                <w:szCs w:val="24"/>
                <w:lang w:eastAsia="zh-CN" w:bidi="ar-SA"/>
              </w:rPr>
              <w:t>述</w:t>
            </w:r>
            <w:r>
              <w:rPr>
                <w:rFonts w:hint="eastAsia" w:ascii="仿宋_GB2312" w:eastAsia="仿宋_GB2312" w:cs="仿宋_GB2312"/>
                <w:color w:val="auto"/>
                <w:spacing w:val="-3"/>
                <w:sz w:val="24"/>
                <w:szCs w:val="24"/>
                <w:lang w:bidi="ar-SA"/>
              </w:rPr>
              <w:t>内容无异议</w:t>
            </w: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3"/>
                <w:sz w:val="24"/>
                <w:szCs w:val="24"/>
                <w:lang w:bidi="ar-SA"/>
              </w:rPr>
            </w:pP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2"/>
                <w:sz w:val="24"/>
                <w:szCs w:val="24"/>
                <w:lang w:bidi="ar-SA"/>
              </w:rPr>
            </w:pPr>
            <w:r>
              <w:rPr>
                <w:rFonts w:hint="eastAsia" w:ascii="仿宋_GB2312" w:eastAsia="仿宋_GB2312" w:cs="仿宋_GB2312"/>
                <w:color w:val="auto"/>
                <w:spacing w:val="-3"/>
                <w:sz w:val="24"/>
                <w:szCs w:val="24"/>
                <w:lang w:bidi="ar-SA"/>
              </w:rPr>
              <w:t>被检查单位签名</w:t>
            </w:r>
            <w:r>
              <w:rPr>
                <w:rFonts w:hint="eastAsia" w:ascii="仿宋_GB2312" w:eastAsia="仿宋_GB2312" w:cs="仿宋_GB2312"/>
                <w:color w:val="auto"/>
                <w:spacing w:val="-1"/>
                <w:sz w:val="24"/>
                <w:szCs w:val="24"/>
                <w:lang w:bidi="ar-SA"/>
              </w:rPr>
              <w:t>（</w:t>
            </w:r>
            <w:r>
              <w:rPr>
                <w:rFonts w:hint="eastAsia" w:ascii="仿宋_GB2312" w:eastAsia="仿宋_GB2312" w:cs="仿宋_GB2312"/>
                <w:color w:val="auto"/>
                <w:spacing w:val="-2"/>
                <w:sz w:val="24"/>
                <w:szCs w:val="24"/>
                <w:lang w:bidi="ar-SA"/>
              </w:rPr>
              <w:t>盖章）</w:t>
            </w: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2"/>
                <w:sz w:val="24"/>
                <w:szCs w:val="24"/>
                <w:lang w:bidi="ar-SA"/>
              </w:rPr>
            </w:pPr>
          </w:p>
          <w:p>
            <w:pPr>
              <w:pStyle w:val="15"/>
              <w:keepNext w:val="0"/>
              <w:keepLines w:val="0"/>
              <w:pageBreakBefore w:val="0"/>
              <w:widowControl w:val="0"/>
              <w:kinsoku/>
              <w:wordWrap w:val="0"/>
              <w:overflowPunct/>
              <w:topLinePunct w:val="0"/>
              <w:autoSpaceDE/>
              <w:autoSpaceDN/>
              <w:bidi w:val="0"/>
              <w:adjustRightInd/>
              <w:snapToGrid/>
              <w:spacing w:line="240" w:lineRule="exact"/>
              <w:ind w:right="0" w:rightChars="0"/>
              <w:jc w:val="right"/>
              <w:textAlignment w:val="auto"/>
              <w:rPr>
                <w:rFonts w:hint="eastAsia" w:ascii="仿宋_GB2312" w:eastAsia="仿宋_GB2312" w:cs="仿宋_GB2312"/>
                <w:color w:val="auto"/>
                <w:sz w:val="24"/>
                <w:szCs w:val="24"/>
                <w:lang w:val="en-US" w:eastAsia="zh-CN" w:bidi="ar-SA"/>
              </w:rPr>
            </w:pPr>
            <w:r>
              <w:rPr>
                <w:rFonts w:hint="eastAsia" w:ascii="仿宋_GB2312" w:eastAsia="仿宋_GB2312" w:cs="仿宋_GB2312"/>
                <w:color w:val="auto"/>
                <w:sz w:val="24"/>
                <w:szCs w:val="24"/>
                <w:lang w:bidi="ar-SA"/>
              </w:rPr>
              <w:t>年</w:t>
            </w:r>
            <w:r>
              <w:rPr>
                <w:rFonts w:hint="eastAsia" w:ascii="仿宋_GB2312" w:eastAsia="仿宋_GB2312" w:cs="仿宋_GB2312"/>
                <w:color w:val="auto"/>
                <w:sz w:val="24"/>
                <w:szCs w:val="24"/>
                <w:lang w:bidi="ar-SA"/>
              </w:rPr>
              <w:tab/>
            </w:r>
            <w:r>
              <w:rPr>
                <w:rFonts w:hint="eastAsia" w:ascii="仿宋_GB2312" w:eastAsia="仿宋_GB2312" w:cs="仿宋_GB2312"/>
                <w:color w:val="auto"/>
                <w:sz w:val="24"/>
                <w:szCs w:val="24"/>
                <w:lang w:bidi="ar-SA"/>
              </w:rPr>
              <w:t>月</w:t>
            </w:r>
            <w:r>
              <w:rPr>
                <w:rFonts w:hint="eastAsia" w:ascii="仿宋_GB2312" w:eastAsia="仿宋_GB2312" w:cs="仿宋_GB2312"/>
                <w:color w:val="auto"/>
                <w:sz w:val="24"/>
                <w:szCs w:val="24"/>
                <w:lang w:val="en-US" w:bidi="ar-SA"/>
              </w:rPr>
              <w:t xml:space="preserve">  日</w:t>
            </w:r>
            <w:r>
              <w:rPr>
                <w:rFonts w:hint="eastAsia" w:ascii="仿宋_GB2312" w:eastAsia="仿宋_GB2312" w:cs="仿宋_GB2312"/>
                <w:color w:val="auto"/>
                <w:sz w:val="24"/>
                <w:szCs w:val="24"/>
                <w:lang w:val="en-US" w:eastAsia="zh-CN" w:bidi="ar-SA"/>
              </w:rPr>
              <w:t xml:space="preserve">    </w:t>
            </w:r>
          </w:p>
        </w:tc>
        <w:tc>
          <w:tcPr>
            <w:tcW w:w="6407" w:type="dxa"/>
            <w:gridSpan w:val="3"/>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1"/>
                <w:sz w:val="24"/>
                <w:szCs w:val="24"/>
                <w:lang w:bidi="ar-SA"/>
              </w:rPr>
            </w:pPr>
            <w:r>
              <w:rPr>
                <w:rFonts w:hint="eastAsia" w:ascii="仿宋_GB2312" w:eastAsia="仿宋_GB2312" w:cs="仿宋_GB2312"/>
                <w:color w:val="auto"/>
                <w:spacing w:val="-2"/>
                <w:sz w:val="24"/>
                <w:szCs w:val="24"/>
                <w:lang w:val="en-US" w:bidi="ar-SA"/>
              </w:rPr>
              <w:t>检查人员</w:t>
            </w:r>
            <w:r>
              <w:rPr>
                <w:rFonts w:hint="eastAsia" w:ascii="仿宋_GB2312" w:eastAsia="仿宋_GB2312" w:cs="仿宋_GB2312"/>
                <w:color w:val="auto"/>
                <w:spacing w:val="-1"/>
                <w:sz w:val="24"/>
                <w:szCs w:val="24"/>
                <w:lang w:bidi="ar-SA"/>
              </w:rPr>
              <w:t>（</w:t>
            </w:r>
            <w:r>
              <w:rPr>
                <w:rFonts w:hint="eastAsia" w:ascii="仿宋_GB2312" w:eastAsia="仿宋_GB2312" w:cs="仿宋_GB2312"/>
                <w:color w:val="auto"/>
                <w:spacing w:val="-2"/>
                <w:sz w:val="24"/>
                <w:szCs w:val="24"/>
                <w:lang w:bidi="ar-SA"/>
              </w:rPr>
              <w:t>签名</w:t>
            </w:r>
            <w:r>
              <w:rPr>
                <w:rFonts w:hint="eastAsia" w:ascii="仿宋_GB2312" w:eastAsia="仿宋_GB2312" w:cs="仿宋_GB2312"/>
                <w:color w:val="auto"/>
                <w:spacing w:val="-109"/>
                <w:sz w:val="24"/>
                <w:szCs w:val="24"/>
                <w:lang w:bidi="ar-SA"/>
              </w:rPr>
              <w:t>）</w:t>
            </w: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1"/>
                <w:sz w:val="24"/>
                <w:szCs w:val="24"/>
                <w:lang w:bidi="ar-SA"/>
              </w:rPr>
            </w:pP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2"/>
                <w:sz w:val="24"/>
                <w:szCs w:val="24"/>
                <w:lang w:bidi="ar-SA"/>
              </w:rPr>
            </w:pPr>
            <w:r>
              <w:rPr>
                <w:rFonts w:hint="eastAsia" w:ascii="仿宋_GB2312" w:eastAsia="仿宋_GB2312" w:cs="仿宋_GB2312"/>
                <w:color w:val="auto"/>
                <w:spacing w:val="-2"/>
                <w:sz w:val="24"/>
                <w:szCs w:val="24"/>
                <w:lang w:val="en-US" w:bidi="ar-SA"/>
              </w:rPr>
              <w:t>检查单位</w:t>
            </w:r>
            <w:r>
              <w:rPr>
                <w:rFonts w:hint="eastAsia" w:ascii="仿宋_GB2312" w:eastAsia="仿宋_GB2312" w:cs="仿宋_GB2312"/>
                <w:color w:val="auto"/>
                <w:spacing w:val="-3"/>
                <w:sz w:val="24"/>
                <w:szCs w:val="24"/>
                <w:lang w:bidi="ar-SA"/>
              </w:rPr>
              <w:t>（</w:t>
            </w:r>
            <w:r>
              <w:rPr>
                <w:rFonts w:hint="eastAsia" w:ascii="仿宋_GB2312" w:eastAsia="仿宋_GB2312" w:cs="仿宋_GB2312"/>
                <w:color w:val="auto"/>
                <w:spacing w:val="-2"/>
                <w:sz w:val="24"/>
                <w:szCs w:val="24"/>
                <w:lang w:bidi="ar-SA"/>
              </w:rPr>
              <w:t>盖章）</w:t>
            </w: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rPr>
                <w:rFonts w:hint="eastAsia" w:ascii="仿宋_GB2312" w:eastAsia="仿宋_GB2312" w:cs="仿宋_GB2312"/>
                <w:color w:val="auto"/>
                <w:spacing w:val="-2"/>
                <w:sz w:val="24"/>
                <w:szCs w:val="24"/>
                <w:lang w:bidi="ar-SA"/>
              </w:rPr>
            </w:pPr>
          </w:p>
          <w:p>
            <w:pPr>
              <w:pStyle w:val="15"/>
              <w:keepNext w:val="0"/>
              <w:keepLines w:val="0"/>
              <w:pageBreakBefore w:val="0"/>
              <w:widowControl w:val="0"/>
              <w:kinsoku/>
              <w:wordWrap/>
              <w:overflowPunct/>
              <w:topLinePunct w:val="0"/>
              <w:autoSpaceDE/>
              <w:autoSpaceDN/>
              <w:bidi w:val="0"/>
              <w:adjustRightInd/>
              <w:snapToGrid/>
              <w:spacing w:line="240" w:lineRule="exact"/>
              <w:ind w:right="0" w:rightChars="0" w:firstLine="1680" w:firstLineChars="700"/>
              <w:jc w:val="right"/>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年</w:t>
            </w:r>
            <w:r>
              <w:rPr>
                <w:rFonts w:hint="eastAsia" w:ascii="仿宋_GB2312" w:eastAsia="仿宋_GB2312" w:cs="仿宋_GB2312"/>
                <w:color w:val="auto"/>
                <w:sz w:val="24"/>
                <w:szCs w:val="24"/>
                <w:lang w:bidi="ar-SA"/>
              </w:rPr>
              <w:tab/>
            </w:r>
            <w:r>
              <w:rPr>
                <w:rFonts w:hint="eastAsia" w:ascii="仿宋_GB2312" w:eastAsia="仿宋_GB2312" w:cs="仿宋_GB2312"/>
                <w:color w:val="auto"/>
                <w:sz w:val="24"/>
                <w:szCs w:val="24"/>
                <w:lang w:bidi="ar-SA"/>
              </w:rPr>
              <w:t>月</w:t>
            </w:r>
            <w:r>
              <w:rPr>
                <w:rFonts w:hint="eastAsia" w:ascii="仿宋_GB2312" w:eastAsia="仿宋_GB2312" w:cs="仿宋_GB2312"/>
                <w:color w:val="auto"/>
                <w:sz w:val="24"/>
                <w:szCs w:val="24"/>
                <w:lang w:val="en-US" w:bidi="ar-SA"/>
              </w:rPr>
              <w:t xml:space="preserve">  日</w:t>
            </w:r>
          </w:p>
        </w:tc>
      </w:tr>
    </w:tbl>
    <w:p>
      <w:pPr>
        <w:pStyle w:val="9"/>
        <w:keepNext w:val="0"/>
        <w:keepLines w:val="0"/>
        <w:pageBreakBefore w:val="0"/>
        <w:widowControl w:val="0"/>
        <w:kinsoku/>
        <w:wordWrap/>
        <w:overflowPunct/>
        <w:topLinePunct w:val="0"/>
        <w:autoSpaceDE/>
        <w:autoSpaceDN/>
        <w:bidi w:val="0"/>
        <w:adjustRightInd/>
        <w:snapToGrid w:val="0"/>
        <w:spacing w:line="100" w:lineRule="exact"/>
        <w:textAlignment w:val="auto"/>
        <w:rPr>
          <w:rFonts w:eastAsia="方正仿宋_GBK"/>
          <w:color w:val="auto"/>
          <w:kern w:val="0"/>
          <w:sz w:val="44"/>
          <w:szCs w:val="44"/>
        </w:rPr>
      </w:pPr>
      <w:bookmarkStart w:id="0" w:name="_GoBack"/>
      <w:bookmarkEnd w:id="0"/>
    </w:p>
    <w:sectPr>
      <w:pgSz w:w="16838" w:h="11906" w:orient="landscape"/>
      <w:pgMar w:top="1587" w:right="2098" w:bottom="1474" w:left="1984" w:header="851" w:footer="1587" w:gutter="0"/>
      <w:paperSrc/>
      <w:pgNumType w:start="28" w:chapStyle="1"/>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2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cida Sans">
    <w:altName w:val="Noto Music"/>
    <w:panose1 w:val="020B0602030504020204"/>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val="0"/>
      <w:overflowPunct/>
      <w:topLinePunct w:val="0"/>
      <w:bidi w:val="0"/>
      <w:adjustRightInd/>
      <w:snapToGrid w:val="0"/>
      <w:ind w:left="210" w:leftChars="100" w:right="210" w:rightChars="100"/>
      <w:jc w:val="right"/>
      <w:textAlignment w:val="auto"/>
      <w:rPr>
        <w:rFonts w:hint="eastAsia"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89000" cy="230505"/>
              <wp:effectExtent l="0" t="0" r="0" b="0"/>
              <wp:wrapNone/>
              <wp:docPr id="3" name="文本框 1"/>
              <wp:cNvGraphicFramePr/>
              <a:graphic xmlns:a="http://schemas.openxmlformats.org/drawingml/2006/main">
                <a:graphicData uri="http://schemas.microsoft.com/office/word/2010/wordprocessingShape">
                  <wps:wsp>
                    <wps:cNvSpPr/>
                    <wps:spPr>
                      <a:xfrm>
                        <a:off x="0" y="0"/>
                        <a:ext cx="889000" cy="230505"/>
                      </a:xfrm>
                      <a:prstGeom prst="rect">
                        <a:avLst/>
                      </a:prstGeom>
                      <a:noFill/>
                      <a:ln w="9525" cap="flat" cmpd="sng">
                        <a:noFill/>
                        <a:prstDash val="solid"/>
                        <a:miter/>
                      </a:ln>
                    </wps:spPr>
                    <wps:txbx>
                      <w:txbxContent>
                        <w:p>
                          <w:pPr>
                            <w:pStyle w:val="9"/>
                            <w:keepNext w:val="0"/>
                            <w:keepLines w:val="0"/>
                            <w:pageBreakBefore w:val="0"/>
                            <w:widowControl w:val="0"/>
                            <w:kinsoku/>
                            <w:wordWrap w:val="0"/>
                            <w:overflowPunct/>
                            <w:topLinePunct w:val="0"/>
                            <w:bidi w:val="0"/>
                            <w:adjustRightInd/>
                            <w:snapToGrid w:val="0"/>
                            <w:ind w:left="210" w:leftChars="100" w:right="210" w:rightChars="100"/>
                            <w:jc w:val="right"/>
                            <w:textAlignment w:val="auto"/>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eastAsia="zh-CN"/>
                            </w:rPr>
                            <w:t>3</w:t>
                          </w:r>
                          <w:r>
                            <w:rPr>
                              <w:rFonts w:hint="eastAsia" w:ascii="宋体"/>
                              <w:sz w:val="28"/>
                              <w:szCs w:val="28"/>
                            </w:rPr>
                            <w:fldChar w:fldCharType="end"/>
                          </w:r>
                          <w:r>
                            <w:rPr>
                              <w:rFonts w:hint="eastAsia" w:ascii="宋体"/>
                              <w:sz w:val="28"/>
                              <w:szCs w:val="28"/>
                            </w:rPr>
                            <w:t xml:space="preserve"> —</w:t>
                          </w:r>
                        </w:p>
                      </w:txbxContent>
                    </wps:txbx>
                    <wps:bodyPr vert="horz" wrap="none" lIns="0" tIns="0" rIns="0" bIns="0" anchor="t" anchorCtr="false" upright="true">
                      <a:spAutoFit/>
                    </wps:bodyPr>
                  </wps:wsp>
                </a:graphicData>
              </a:graphic>
            </wp:anchor>
          </w:drawing>
        </mc:Choice>
        <mc:Fallback>
          <w:pict>
            <v:rect id="文本框 1" o:spid="_x0000_s1026" o:spt="1" style="position:absolute;left:0pt;margin-top:0pt;height:18.15pt;width:70pt;mso-position-horizontal:outside;mso-position-horizontal-relative:margin;mso-wrap-style:none;z-index:251659264;mso-width-relative:page;mso-height-relative:page;" filled="f" stroked="f" coordsize="21600,21600" o:gfxdata="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yQ0ul0gAAAAQBAAAPAAAAAAAAAAEAIAAAADgAAABkcnMvZG93bnJl&#10;di54bWxQSwECFAAUAAAACACHTuJA7em6+O0BAACtAwAADgAAAAAAAAABACAAAAA3AQAAZHJzL2Uy&#10;b0RvYy54bWxQSwUGAAAAAAYABgBZAQAAlgUAAAAA&#10;">
              <v:fill on="f" focussize="0,0"/>
              <v:stroke on="f" joinstyle="miter"/>
              <v:imagedata o:title=""/>
              <o:lock v:ext="edit" aspectratio="f"/>
              <v:textbox inset="0mm,0mm,0mm,0mm" style="mso-fit-shape-to-text:t;">
                <w:txbxContent>
                  <w:p>
                    <w:pPr>
                      <w:pStyle w:val="9"/>
                      <w:keepNext w:val="0"/>
                      <w:keepLines w:val="0"/>
                      <w:pageBreakBefore w:val="0"/>
                      <w:widowControl w:val="0"/>
                      <w:kinsoku/>
                      <w:wordWrap w:val="0"/>
                      <w:overflowPunct/>
                      <w:topLinePunct w:val="0"/>
                      <w:bidi w:val="0"/>
                      <w:adjustRightInd/>
                      <w:snapToGrid w:val="0"/>
                      <w:ind w:left="210" w:leftChars="100" w:right="210" w:rightChars="100"/>
                      <w:jc w:val="right"/>
                      <w:textAlignment w:val="auto"/>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eastAsia="zh-CN"/>
                      </w:rPr>
                      <w:t>3</w:t>
                    </w:r>
                    <w:r>
                      <w:rPr>
                        <w:rFonts w:hint="eastAsia" w:ascii="宋体"/>
                        <w:sz w:val="28"/>
                        <w:szCs w:val="28"/>
                      </w:rPr>
                      <w:fldChar w:fldCharType="end"/>
                    </w:r>
                    <w:r>
                      <w:rPr>
                        <w:rFonts w:hint="eastAsia" w:ascii="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7900" cy="230505"/>
              <wp:effectExtent l="0" t="0" r="0" b="0"/>
              <wp:wrapNone/>
              <wp:docPr id="6" name="文本框 2"/>
              <wp:cNvGraphicFramePr/>
              <a:graphic xmlns:a="http://schemas.openxmlformats.org/drawingml/2006/main">
                <a:graphicData uri="http://schemas.microsoft.com/office/word/2010/wordprocessingShape">
                  <wps:wsp>
                    <wps:cNvSpPr/>
                    <wps:spPr>
                      <a:xfrm>
                        <a:off x="0" y="0"/>
                        <a:ext cx="977900" cy="230505"/>
                      </a:xfrm>
                      <a:prstGeom prst="rect">
                        <a:avLst/>
                      </a:prstGeom>
                      <a:noFill/>
                      <a:ln w="9525" cap="flat" cmpd="sng">
                        <a:noFill/>
                        <a:prstDash val="solid"/>
                        <a:miter/>
                      </a:ln>
                    </wps:spPr>
                    <wps:txbx>
                      <w:txbxContent>
                        <w:p>
                          <w:pPr>
                            <w:pStyle w:val="9"/>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eastAsia="宋体" w:cs="宋体"/>
                              <w:sz w:val="28"/>
                              <w:szCs w:val="28"/>
                              <w:lang w:bidi="ar-SA"/>
                            </w:rPr>
                          </w:pPr>
                          <w:r>
                            <w:rPr>
                              <w:rFonts w:hint="eastAsia" w:ascii="宋体" w:eastAsia="宋体" w:cs="宋体"/>
                              <w:sz w:val="28"/>
                              <w:szCs w:val="28"/>
                              <w:lang w:bidi="ar-SA"/>
                            </w:rPr>
                            <w:t xml:space="preserve">— </w:t>
                          </w: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28</w:t>
                          </w:r>
                          <w:r>
                            <w:rPr>
                              <w:rFonts w:hint="eastAsia" w:ascii="宋体" w:eastAsia="宋体" w:cs="宋体"/>
                              <w:sz w:val="28"/>
                              <w:szCs w:val="28"/>
                              <w:lang w:bidi="ar-SA"/>
                            </w:rPr>
                            <w:fldChar w:fldCharType="end"/>
                          </w:r>
                          <w:r>
                            <w:rPr>
                              <w:rFonts w:hint="eastAsia" w:ascii="宋体" w:eastAsia="宋体" w:cs="宋体"/>
                              <w:sz w:val="28"/>
                              <w:szCs w:val="28"/>
                              <w:lang w:bidi="ar-SA"/>
                            </w:rPr>
                            <w:t xml:space="preserve"> —</w:t>
                          </w:r>
                        </w:p>
                      </w:txbxContent>
                    </wps:txbx>
                    <wps:bodyPr vert="horz" wrap="none" lIns="0" tIns="0" rIns="0" bIns="0" anchor="t" anchorCtr="false" upright="true">
                      <a:spAutoFit/>
                    </wps:bodyPr>
                  </wps:wsp>
                </a:graphicData>
              </a:graphic>
            </wp:anchor>
          </w:drawing>
        </mc:Choice>
        <mc:Fallback>
          <w:pict>
            <v:rect id="文本框 2" o:spid="_x0000_s1026" o:spt="1" style="position:absolute;left:0pt;margin-top:0pt;height:18.15pt;width:77pt;mso-position-horizontal:outside;mso-position-horizontal-relative:margin;mso-wrap-style:none;z-index:251659264;mso-width-relative:page;mso-height-relative:page;" filled="f" stroked="f" coordsize="21600,21600" o:gfxdata="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Jum8DSAAAABAEAAA8AAAAAAAAAAQAgAAAAOAAAAGRycy9kb3ducmV2&#10;LnhtbFBLAQIUABQAAAAIAIdO4kBL6yVu7AEAAK0DAAAOAAAAAAAAAAEAIAAAADcBAABkcnMvZTJv&#10;RG9jLnhtbFBLBQYAAAAABgAGAFkBAACVBQAAAAA=&#10;">
              <v:fill on="f" focussize="0,0"/>
              <v:stroke on="f" joinstyle="miter"/>
              <v:imagedata o:title=""/>
              <o:lock v:ext="edit" aspectratio="f"/>
              <v:textbox inset="0mm,0mm,0mm,0mm" style="mso-fit-shape-to-text:t;">
                <w:txbxContent>
                  <w:p>
                    <w:pPr>
                      <w:pStyle w:val="9"/>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eastAsia="宋体" w:cs="宋体"/>
                        <w:sz w:val="28"/>
                        <w:szCs w:val="28"/>
                        <w:lang w:bidi="ar-SA"/>
                      </w:rPr>
                    </w:pPr>
                    <w:r>
                      <w:rPr>
                        <w:rFonts w:hint="eastAsia" w:ascii="宋体" w:eastAsia="宋体" w:cs="宋体"/>
                        <w:sz w:val="28"/>
                        <w:szCs w:val="28"/>
                        <w:lang w:bidi="ar-SA"/>
                      </w:rPr>
                      <w:t xml:space="preserve">— </w:t>
                    </w: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28</w:t>
                    </w:r>
                    <w:r>
                      <w:rPr>
                        <w:rFonts w:hint="eastAsia" w:ascii="宋体" w:eastAsia="宋体" w:cs="宋体"/>
                        <w:sz w:val="28"/>
                        <w:szCs w:val="28"/>
                        <w:lang w:bidi="ar-SA"/>
                      </w:rPr>
                      <w:fldChar w:fldCharType="end"/>
                    </w:r>
                    <w:r>
                      <w:rPr>
                        <w:rFonts w:hint="eastAsia" w:ascii="宋体" w:eastAsia="宋体" w:cs="宋体"/>
                        <w:sz w:val="28"/>
                        <w:szCs w:val="28"/>
                        <w:lang w:bidi="ar-SA"/>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true"/>
  <w:bordersDoNotSurroundHeader w:val="false"/>
  <w:bordersDoNotSurroundFooter w:val="false"/>
  <w:documentProtection w:enforcement="0"/>
  <w:defaultTabStop w:val="420"/>
  <w:evenAndOddHeaders w:val="true"/>
  <w:drawingGridHorizontalSpacing w:val="105"/>
  <w:drawingGridVerticalSpacing w:val="164"/>
  <w:displayHorizontalDrawingGridEvery w:val="1"/>
  <w:displayVerticalDrawingGridEvery w:val="2"/>
  <w:noPunctuationKerning w:val="true"/>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ODBlZjE2MjQ4NmJkYzJiNGQxMjllMWNiMmNhYWEifQ=="/>
  </w:docVars>
  <w:rsids>
    <w:rsidRoot w:val="00000000"/>
    <w:rsid w:val="099D0853"/>
    <w:rsid w:val="1B9B2F19"/>
    <w:rsid w:val="1C805404"/>
    <w:rsid w:val="29F82632"/>
    <w:rsid w:val="54A625D3"/>
    <w:rsid w:val="56BD03FA"/>
    <w:rsid w:val="5A97E5DD"/>
    <w:rsid w:val="5FAA26E2"/>
    <w:rsid w:val="7F7BD7D5"/>
    <w:rsid w:val="7FCF20B5"/>
    <w:rsid w:val="BA7B23C6"/>
    <w:rsid w:val="D3FC37F3"/>
    <w:rsid w:val="F7756EB3"/>
    <w:rsid w:val="FEE6E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spacing w:before="100" w:beforeAutospacing="1" w:after="100" w:afterAutospacing="1"/>
      <w:ind w:left="400" w:leftChars="200" w:hanging="200" w:hangingChars="200"/>
    </w:pPr>
    <w:rPr>
      <w:rFonts w:ascii="Times New Roman" w:hAnsi="Times New Roman"/>
    </w:rPr>
  </w:style>
  <w:style w:type="paragraph" w:styleId="6">
    <w:name w:val="Normal Indent"/>
    <w:basedOn w:val="1"/>
    <w:qFormat/>
    <w:uiPriority w:val="0"/>
    <w:pPr>
      <w:ind w:firstLine="420" w:firstLineChars="200"/>
    </w:pPr>
  </w:style>
  <w:style w:type="paragraph" w:styleId="7">
    <w:name w:val="Body Text"/>
    <w:basedOn w:val="1"/>
    <w:qFormat/>
    <w:uiPriority w:val="0"/>
    <w:pPr>
      <w:ind w:left="859"/>
    </w:pPr>
    <w:rPr>
      <w:rFonts w:ascii="宋体" w:eastAsia="宋体" w:cs="宋体"/>
      <w:sz w:val="32"/>
      <w:szCs w:val="32"/>
      <w:lang w:val="zh-CN" w:eastAsia="zh-CN" w:bidi="zh-CN"/>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bidi="ar-SA"/>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SA"/>
    </w:rPr>
  </w:style>
  <w:style w:type="paragraph" w:customStyle="1" w:styleId="15">
    <w:name w:val="Table Paragraph"/>
    <w:basedOn w:val="1"/>
    <w:qFormat/>
    <w:uiPriority w:val="0"/>
    <w:rPr>
      <w:rFonts w:ascii="宋体" w:eastAsia="宋体" w:cs="宋体"/>
      <w:lang w:val="zh-CN" w:eastAsia="zh-CN" w:bidi="zh-CN"/>
    </w:rPr>
  </w:style>
  <w:style w:type="paragraph" w:customStyle="1" w:styleId="16">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28</Pages>
  <Words>0</Words>
  <Characters>10110</Characters>
  <Lines>0</Lines>
  <Paragraphs>363</Paragraphs>
  <TotalTime>3</TotalTime>
  <ScaleCrop>false</ScaleCrop>
  <LinksUpToDate>false</LinksUpToDate>
  <CharactersWithSpaces>13480</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2020-11-04T09:31:00Z</dcterms:created>
  <dc:creator>lj</dc:creator>
  <cp:lastModifiedBy>uos</cp:lastModifiedBy>
  <cp:lastPrinted>2024-02-02T17:13:00Z</cp:lastPrinted>
  <dcterms:modified xsi:type="dcterms:W3CDTF">2024-02-02T15:18:20Z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
    <vt:lpwstr>75206FE8291C4FCC960113EDB8B93D82_12</vt:lpwstr>
  </property>
  <property fmtid="{D5CDD505-2E9C-101B-9397-08002B2CF9AE}" pid="4" name="ICV">
    <vt:lpwstr>AC093154D0B4472BB100E8FDF6500B3C_12</vt:lpwstr>
  </property>
</Properties>
</file>