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1AB30">
      <w:pPr>
        <w:pStyle w:val="2"/>
        <w:spacing w:before="93"/>
        <w:rPr>
          <w:rFonts w:ascii="Times New Roman" w:eastAsia="方正小标宋简体"/>
          <w:kern w:val="2"/>
          <w:sz w:val="72"/>
          <w:szCs w:val="72"/>
        </w:rPr>
      </w:pPr>
      <w:bookmarkStart w:id="0" w:name="_Toc15377425"/>
      <w:bookmarkStart w:id="1" w:name="_Toc15377193"/>
      <w:bookmarkStart w:id="2" w:name="_Toc15396475"/>
      <w:bookmarkStart w:id="3" w:name="_Toc15396597"/>
      <w:bookmarkStart w:id="4" w:name="_Toc15306267"/>
      <w:bookmarkStart w:id="5" w:name="_Toc15378441"/>
    </w:p>
    <w:p w14:paraId="2F7C749D">
      <w:pPr>
        <w:pStyle w:val="2"/>
        <w:spacing w:before="93"/>
        <w:rPr>
          <w:rFonts w:ascii="Times New Roman" w:eastAsia="方正小标宋简体"/>
          <w:kern w:val="2"/>
          <w:sz w:val="72"/>
          <w:szCs w:val="72"/>
        </w:rPr>
      </w:pPr>
    </w:p>
    <w:p w14:paraId="3B1E34A6">
      <w:pPr>
        <w:pStyle w:val="2"/>
        <w:spacing w:before="93"/>
        <w:rPr>
          <w:rFonts w:ascii="Times New Roman" w:eastAsia="方正小标宋简体"/>
          <w:kern w:val="2"/>
          <w:sz w:val="72"/>
          <w:szCs w:val="72"/>
        </w:rPr>
      </w:pPr>
    </w:p>
    <w:p w14:paraId="4241A4F1">
      <w:pPr>
        <w:pStyle w:val="2"/>
        <w:spacing w:before="93"/>
        <w:jc w:val="center"/>
        <w:rPr>
          <w:rFonts w:hint="eastAsia" w:ascii="Times New Roman" w:eastAsia="方正小标宋简体"/>
          <w:kern w:val="2"/>
          <w:sz w:val="44"/>
          <w:szCs w:val="44"/>
          <w:lang w:eastAsia="zh-CN"/>
        </w:rPr>
      </w:pPr>
      <w:bookmarkStart w:id="98" w:name="_GoBack"/>
      <w:r>
        <w:rPr>
          <w:rFonts w:hint="eastAsia" w:ascii="Times New Roman" w:eastAsia="方正小标宋简体"/>
          <w:kern w:val="2"/>
          <w:sz w:val="44"/>
          <w:szCs w:val="44"/>
        </w:rPr>
        <w:t>2024年度</w:t>
      </w:r>
      <w:r>
        <w:rPr>
          <w:rFonts w:hint="eastAsia" w:ascii="Times New Roman" w:eastAsia="方正小标宋简体"/>
          <w:kern w:val="2"/>
          <w:sz w:val="44"/>
          <w:szCs w:val="44"/>
          <w:lang w:eastAsia="zh-CN"/>
        </w:rPr>
        <w:t>广元市经济合作和外事局</w:t>
      </w:r>
    </w:p>
    <w:p w14:paraId="5D2508FC">
      <w:pPr>
        <w:pStyle w:val="2"/>
        <w:spacing w:before="93"/>
        <w:jc w:val="center"/>
        <w:rPr>
          <w:rFonts w:hint="eastAsia" w:ascii="Times New Roman" w:eastAsia="方正小标宋简体"/>
          <w:kern w:val="2"/>
          <w:sz w:val="44"/>
          <w:szCs w:val="44"/>
        </w:rPr>
      </w:pPr>
      <w:r>
        <w:rPr>
          <w:rFonts w:hint="eastAsia" w:ascii="Times New Roman" w:eastAsia="方正小标宋简体"/>
          <w:kern w:val="2"/>
          <w:sz w:val="44"/>
          <w:szCs w:val="44"/>
          <w:lang w:eastAsia="zh-CN"/>
        </w:rPr>
        <w:t>部门</w:t>
      </w:r>
      <w:r>
        <w:rPr>
          <w:rFonts w:hint="eastAsia" w:ascii="Times New Roman" w:eastAsia="方正小标宋简体"/>
          <w:kern w:val="2"/>
          <w:sz w:val="44"/>
          <w:szCs w:val="44"/>
        </w:rPr>
        <w:t>决算</w:t>
      </w:r>
    </w:p>
    <w:bookmarkEnd w:id="98"/>
    <w:p w14:paraId="60477EF3">
      <w:pPr>
        <w:rPr>
          <w:rFonts w:hint="eastAsia" w:ascii="Times New Roman" w:eastAsia="方正小标宋简体"/>
          <w:kern w:val="2"/>
          <w:sz w:val="44"/>
          <w:szCs w:val="44"/>
        </w:rPr>
      </w:pPr>
      <w:r>
        <w:rPr>
          <w:rFonts w:hint="eastAsia" w:ascii="Times New Roman" w:eastAsia="方正小标宋简体"/>
          <w:kern w:val="2"/>
          <w:sz w:val="44"/>
          <w:szCs w:val="44"/>
        </w:rPr>
        <w:br w:type="page"/>
      </w:r>
    </w:p>
    <w:p w14:paraId="7E3C02C4">
      <w:pPr>
        <w:pStyle w:val="2"/>
        <w:rPr>
          <w:rFonts w:hint="eastAsia" w:ascii="Times New Roman" w:eastAsia="方正小标宋简体"/>
          <w:kern w:val="2"/>
          <w:sz w:val="44"/>
          <w:szCs w:val="44"/>
        </w:rPr>
      </w:pPr>
    </w:p>
    <w:p w14:paraId="5ABDF593">
      <w:pPr>
        <w:pStyle w:val="2"/>
        <w:rPr>
          <w:rFonts w:hint="eastAsia" w:ascii="Times New Roman" w:eastAsia="方正小标宋简体"/>
          <w:kern w:val="2"/>
          <w:sz w:val="44"/>
          <w:szCs w:val="44"/>
        </w:rPr>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3BB84D41">
      <w:pPr>
        <w:widowControl/>
        <w:jc w:val="center"/>
        <w:rPr>
          <w:rFonts w:eastAsia="黑体" w:cstheme="minorBidi"/>
          <w:sz w:val="28"/>
          <w:szCs w:val="28"/>
        </w:rPr>
      </w:pPr>
      <w:r>
        <w:rPr>
          <w:rFonts w:hint="eastAsia" w:eastAsia="黑体"/>
          <w:sz w:val="48"/>
          <w:szCs w:val="48"/>
        </w:rPr>
        <w:t>目录</w:t>
      </w:r>
    </w:p>
    <w:p w14:paraId="10F6A7CC">
      <w:pPr>
        <w:pStyle w:val="12"/>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日</w:t>
      </w:r>
    </w:p>
    <w:p w14:paraId="473EF20C">
      <w:pPr>
        <w:widowControl/>
        <w:spacing w:line="560" w:lineRule="exact"/>
        <w:jc w:val="left"/>
        <w:rPr>
          <w:rFonts w:eastAsia="仿宋_GB2312" w:cs="仿宋_GB2312"/>
          <w:bCs/>
          <w:kern w:val="44"/>
          <w:sz w:val="32"/>
          <w:szCs w:val="32"/>
        </w:rPr>
      </w:pPr>
      <w:bookmarkStart w:id="6" w:name="_Toc15396599"/>
      <w:bookmarkStart w:id="7" w:name="_Toc15377196"/>
    </w:p>
    <w:sdt>
      <w:sdtPr>
        <w:rPr>
          <w:rFonts w:ascii="宋体" w:hAnsi="宋体" w:eastAsia="宋体" w:cs="Times New Roman"/>
          <w:kern w:val="2"/>
          <w:sz w:val="21"/>
          <w:szCs w:val="24"/>
          <w:lang w:val="en-US" w:eastAsia="zh-CN" w:bidi="ar-SA"/>
        </w:rPr>
        <w:id w:val="147474436"/>
        <w15:color w:val="DBDBDB"/>
        <w:docPartObj>
          <w:docPartGallery w:val="Table of Contents"/>
          <w:docPartUnique/>
        </w:docPartObj>
      </w:sdtPr>
      <w:sdtEndPr>
        <w:rPr>
          <w:rFonts w:ascii="仿宋_GB2312" w:hAnsi="Times New Roman" w:eastAsia="仿宋_GB2312" w:cs="Times New Roman"/>
          <w:kern w:val="0"/>
          <w:sz w:val="30"/>
          <w:szCs w:val="24"/>
          <w:lang w:val="en-US" w:eastAsia="zh-CN" w:bidi="ar-SA"/>
        </w:rPr>
      </w:sdtEndPr>
      <w:sdtContent>
        <w:p w14:paraId="74CA00E0">
          <w:pPr>
            <w:spacing w:before="0" w:beforeLines="0" w:after="0" w:afterLines="0" w:line="240" w:lineRule="auto"/>
            <w:ind w:left="0" w:leftChars="0" w:right="0" w:rightChars="0" w:firstLine="0" w:firstLineChars="0"/>
            <w:jc w:val="center"/>
          </w:pPr>
        </w:p>
        <w:p w14:paraId="7222B55A">
          <w:pPr>
            <w:pStyle w:val="12"/>
            <w:tabs>
              <w:tab w:val="right" w:leader="dot" w:pos="8846"/>
              <w:tab w:val="clear" w:pos="8296"/>
            </w:tabs>
          </w:pPr>
          <w:r>
            <w:fldChar w:fldCharType="begin"/>
          </w:r>
          <w:r>
            <w:instrText xml:space="preserve">TOC \o "1-2" \h \u </w:instrText>
          </w:r>
          <w:r>
            <w:fldChar w:fldCharType="separate"/>
          </w:r>
          <w:r>
            <w:fldChar w:fldCharType="begin"/>
          </w:r>
          <w:r>
            <w:instrText xml:space="preserve"> HYPERLINK \l _Toc21402 </w:instrText>
          </w:r>
          <w:r>
            <w:fldChar w:fldCharType="separate"/>
          </w:r>
          <w:r>
            <w:rPr>
              <w:rFonts w:hint="eastAsia" w:eastAsia="方正小标宋简体" w:cs="方正小标宋简体"/>
            </w:rPr>
            <w:t>第一部分</w:t>
          </w:r>
          <w:r>
            <w:rPr>
              <w:rFonts w:hint="eastAsia" w:eastAsia="方正小标宋简体" w:cs="方正小标宋简体"/>
              <w:bCs w:val="0"/>
            </w:rPr>
            <w:t>部门概况</w:t>
          </w:r>
          <w:r>
            <w:tab/>
          </w:r>
          <w:r>
            <w:fldChar w:fldCharType="begin"/>
          </w:r>
          <w:r>
            <w:instrText xml:space="preserve"> PAGEREF _Toc21402 \h </w:instrText>
          </w:r>
          <w:r>
            <w:fldChar w:fldCharType="separate"/>
          </w:r>
          <w:r>
            <w:t>1</w:t>
          </w:r>
          <w:r>
            <w:fldChar w:fldCharType="end"/>
          </w:r>
          <w:r>
            <w:fldChar w:fldCharType="end"/>
          </w:r>
        </w:p>
        <w:p w14:paraId="5751335D">
          <w:pPr>
            <w:pStyle w:val="16"/>
            <w:tabs>
              <w:tab w:val="right" w:leader="dot" w:pos="8846"/>
              <w:tab w:val="clear" w:pos="8296"/>
            </w:tabs>
          </w:pPr>
          <w:r>
            <w:fldChar w:fldCharType="begin"/>
          </w:r>
          <w:r>
            <w:instrText xml:space="preserve"> HYPERLINK \l _Toc14202 </w:instrText>
          </w:r>
          <w:r>
            <w:fldChar w:fldCharType="separate"/>
          </w:r>
          <w:r>
            <w:rPr>
              <w:rFonts w:hint="eastAsia" w:ascii="Times New Roman" w:hAnsi="Times New Roman" w:eastAsia="黑体"/>
            </w:rPr>
            <w:t>一、 部门职责</w:t>
          </w:r>
          <w:r>
            <w:tab/>
          </w:r>
          <w:r>
            <w:fldChar w:fldCharType="begin"/>
          </w:r>
          <w:r>
            <w:instrText xml:space="preserve"> PAGEREF _Toc14202 \h </w:instrText>
          </w:r>
          <w:r>
            <w:fldChar w:fldCharType="separate"/>
          </w:r>
          <w:r>
            <w:t>1</w:t>
          </w:r>
          <w:r>
            <w:fldChar w:fldCharType="end"/>
          </w:r>
          <w:r>
            <w:fldChar w:fldCharType="end"/>
          </w:r>
        </w:p>
        <w:p w14:paraId="7CC8E8C8">
          <w:pPr>
            <w:pStyle w:val="16"/>
            <w:tabs>
              <w:tab w:val="right" w:leader="dot" w:pos="8846"/>
              <w:tab w:val="clear" w:pos="8296"/>
            </w:tabs>
          </w:pPr>
          <w:r>
            <w:fldChar w:fldCharType="begin"/>
          </w:r>
          <w:r>
            <w:instrText xml:space="preserve"> HYPERLINK \l _Toc31777 </w:instrText>
          </w:r>
          <w:r>
            <w:fldChar w:fldCharType="separate"/>
          </w:r>
          <w:r>
            <w:rPr>
              <w:rFonts w:hint="eastAsia" w:ascii="Times New Roman" w:hAnsi="Times New Roman" w:eastAsia="黑体"/>
            </w:rPr>
            <w:t>二、机</w:t>
          </w:r>
          <w:r>
            <w:rPr>
              <w:rFonts w:hint="eastAsia" w:ascii="Times New Roman" w:hAnsi="Times New Roman" w:eastAsia="黑体"/>
              <w:bCs w:val="0"/>
            </w:rPr>
            <w:t>构设置</w:t>
          </w:r>
          <w:r>
            <w:tab/>
          </w:r>
          <w:r>
            <w:fldChar w:fldCharType="begin"/>
          </w:r>
          <w:r>
            <w:instrText xml:space="preserve"> PAGEREF _Toc31777 \h </w:instrText>
          </w:r>
          <w:r>
            <w:fldChar w:fldCharType="separate"/>
          </w:r>
          <w:r>
            <w:t>3</w:t>
          </w:r>
          <w:r>
            <w:fldChar w:fldCharType="end"/>
          </w:r>
          <w:r>
            <w:fldChar w:fldCharType="end"/>
          </w:r>
        </w:p>
        <w:p w14:paraId="671D6D31">
          <w:pPr>
            <w:pStyle w:val="12"/>
            <w:tabs>
              <w:tab w:val="right" w:leader="dot" w:pos="8846"/>
              <w:tab w:val="clear" w:pos="8296"/>
            </w:tabs>
          </w:pPr>
          <w:r>
            <w:fldChar w:fldCharType="begin"/>
          </w:r>
          <w:r>
            <w:instrText xml:space="preserve"> HYPERLINK \l _Toc24069 </w:instrText>
          </w:r>
          <w:r>
            <w:fldChar w:fldCharType="separate"/>
          </w:r>
          <w:r>
            <w:rPr>
              <w:rFonts w:hint="eastAsia" w:eastAsia="方正小标宋简体" w:cs="方正小标宋简体"/>
            </w:rPr>
            <w:t>第二部分2024年度部门决算情况说明</w:t>
          </w:r>
          <w:r>
            <w:tab/>
          </w:r>
          <w:r>
            <w:fldChar w:fldCharType="begin"/>
          </w:r>
          <w:r>
            <w:instrText xml:space="preserve"> PAGEREF _Toc24069 \h </w:instrText>
          </w:r>
          <w:r>
            <w:fldChar w:fldCharType="separate"/>
          </w:r>
          <w:r>
            <w:t>4</w:t>
          </w:r>
          <w:r>
            <w:fldChar w:fldCharType="end"/>
          </w:r>
          <w:r>
            <w:fldChar w:fldCharType="end"/>
          </w:r>
        </w:p>
        <w:p w14:paraId="5593D2AF">
          <w:pPr>
            <w:pStyle w:val="16"/>
            <w:tabs>
              <w:tab w:val="right" w:leader="dot" w:pos="8846"/>
              <w:tab w:val="clear" w:pos="8296"/>
            </w:tabs>
          </w:pPr>
          <w:r>
            <w:fldChar w:fldCharType="begin"/>
          </w:r>
          <w:r>
            <w:instrText xml:space="preserve"> HYPERLINK \l _Toc26308 </w:instrText>
          </w:r>
          <w:r>
            <w:fldChar w:fldCharType="separate"/>
          </w:r>
          <w:r>
            <w:rPr>
              <w:rFonts w:hint="eastAsia" w:eastAsia="黑体"/>
              <w:szCs w:val="32"/>
            </w:rPr>
            <w:t>一、收</w:t>
          </w:r>
          <w:r>
            <w:rPr>
              <w:rFonts w:hint="eastAsia" w:ascii="Times New Roman" w:hAnsi="Times New Roman" w:eastAsia="黑体"/>
            </w:rPr>
            <w:t>入支出决算总体情况说明</w:t>
          </w:r>
          <w:r>
            <w:tab/>
          </w:r>
          <w:r>
            <w:fldChar w:fldCharType="begin"/>
          </w:r>
          <w:r>
            <w:instrText xml:space="preserve"> PAGEREF _Toc26308 \h </w:instrText>
          </w:r>
          <w:r>
            <w:fldChar w:fldCharType="separate"/>
          </w:r>
          <w:r>
            <w:t>4</w:t>
          </w:r>
          <w:r>
            <w:fldChar w:fldCharType="end"/>
          </w:r>
          <w:r>
            <w:fldChar w:fldCharType="end"/>
          </w:r>
        </w:p>
        <w:p w14:paraId="25F458C9">
          <w:pPr>
            <w:pStyle w:val="16"/>
            <w:tabs>
              <w:tab w:val="right" w:leader="dot" w:pos="8846"/>
              <w:tab w:val="clear" w:pos="8296"/>
            </w:tabs>
          </w:pPr>
          <w:r>
            <w:fldChar w:fldCharType="begin"/>
          </w:r>
          <w:r>
            <w:instrText xml:space="preserve"> HYPERLINK \l _Toc5098 </w:instrText>
          </w:r>
          <w:r>
            <w:fldChar w:fldCharType="separate"/>
          </w:r>
          <w:r>
            <w:rPr>
              <w:rFonts w:hint="eastAsia" w:eastAsia="黑体"/>
              <w:szCs w:val="32"/>
            </w:rPr>
            <w:t>二、收入决算情况说明</w:t>
          </w:r>
          <w:r>
            <w:tab/>
          </w:r>
          <w:r>
            <w:fldChar w:fldCharType="begin"/>
          </w:r>
          <w:r>
            <w:instrText xml:space="preserve"> PAGEREF _Toc5098 \h </w:instrText>
          </w:r>
          <w:r>
            <w:fldChar w:fldCharType="separate"/>
          </w:r>
          <w:r>
            <w:t>4</w:t>
          </w:r>
          <w:r>
            <w:fldChar w:fldCharType="end"/>
          </w:r>
          <w:r>
            <w:fldChar w:fldCharType="end"/>
          </w:r>
        </w:p>
        <w:p w14:paraId="58AE5290">
          <w:pPr>
            <w:pStyle w:val="16"/>
            <w:tabs>
              <w:tab w:val="right" w:leader="dot" w:pos="8846"/>
              <w:tab w:val="clear" w:pos="8296"/>
            </w:tabs>
          </w:pPr>
          <w:r>
            <w:fldChar w:fldCharType="begin"/>
          </w:r>
          <w:r>
            <w:instrText xml:space="preserve"> HYPERLINK \l _Toc20712 </w:instrText>
          </w:r>
          <w:r>
            <w:fldChar w:fldCharType="separate"/>
          </w:r>
          <w:r>
            <w:rPr>
              <w:rFonts w:hint="eastAsia" w:eastAsia="黑体"/>
              <w:szCs w:val="32"/>
            </w:rPr>
            <w:t>三、支</w:t>
          </w:r>
          <w:r>
            <w:rPr>
              <w:rFonts w:hint="eastAsia" w:ascii="Times New Roman" w:hAnsi="Times New Roman" w:eastAsia="黑体"/>
            </w:rPr>
            <w:t>出决算情况说明</w:t>
          </w:r>
          <w:r>
            <w:tab/>
          </w:r>
          <w:r>
            <w:fldChar w:fldCharType="begin"/>
          </w:r>
          <w:r>
            <w:instrText xml:space="preserve"> PAGEREF _Toc20712 \h </w:instrText>
          </w:r>
          <w:r>
            <w:fldChar w:fldCharType="separate"/>
          </w:r>
          <w:r>
            <w:t>5</w:t>
          </w:r>
          <w:r>
            <w:fldChar w:fldCharType="end"/>
          </w:r>
          <w:r>
            <w:fldChar w:fldCharType="end"/>
          </w:r>
        </w:p>
        <w:p w14:paraId="76B25F1A">
          <w:pPr>
            <w:pStyle w:val="16"/>
            <w:tabs>
              <w:tab w:val="right" w:leader="dot" w:pos="8846"/>
              <w:tab w:val="clear" w:pos="8296"/>
            </w:tabs>
          </w:pPr>
          <w:r>
            <w:fldChar w:fldCharType="begin"/>
          </w:r>
          <w:r>
            <w:instrText xml:space="preserve"> HYPERLINK \l _Toc26154 </w:instrText>
          </w:r>
          <w:r>
            <w:fldChar w:fldCharType="separate"/>
          </w:r>
          <w:r>
            <w:rPr>
              <w:rFonts w:hint="eastAsia" w:eastAsia="黑体"/>
              <w:szCs w:val="32"/>
            </w:rPr>
            <w:t>四、财</w:t>
          </w:r>
          <w:r>
            <w:rPr>
              <w:rFonts w:hint="eastAsia" w:ascii="Times New Roman" w:hAnsi="Times New Roman" w:eastAsia="黑体"/>
            </w:rPr>
            <w:t>政拨款收入支出决算总体情况说明</w:t>
          </w:r>
          <w:r>
            <w:tab/>
          </w:r>
          <w:r>
            <w:fldChar w:fldCharType="begin"/>
          </w:r>
          <w:r>
            <w:instrText xml:space="preserve"> PAGEREF _Toc26154 \h </w:instrText>
          </w:r>
          <w:r>
            <w:fldChar w:fldCharType="separate"/>
          </w:r>
          <w:r>
            <w:t>6</w:t>
          </w:r>
          <w:r>
            <w:fldChar w:fldCharType="end"/>
          </w:r>
          <w:r>
            <w:fldChar w:fldCharType="end"/>
          </w:r>
        </w:p>
        <w:p w14:paraId="19DFB420">
          <w:pPr>
            <w:pStyle w:val="16"/>
            <w:tabs>
              <w:tab w:val="right" w:leader="dot" w:pos="8846"/>
              <w:tab w:val="clear" w:pos="8296"/>
            </w:tabs>
          </w:pPr>
          <w:r>
            <w:fldChar w:fldCharType="begin"/>
          </w:r>
          <w:r>
            <w:instrText xml:space="preserve"> HYPERLINK \l _Toc12958 </w:instrText>
          </w:r>
          <w:r>
            <w:fldChar w:fldCharType="separate"/>
          </w:r>
          <w:r>
            <w:rPr>
              <w:rFonts w:hint="eastAsia" w:eastAsia="黑体"/>
              <w:szCs w:val="32"/>
            </w:rPr>
            <w:t>五、一</w:t>
          </w:r>
          <w:r>
            <w:rPr>
              <w:rFonts w:hint="eastAsia" w:ascii="Times New Roman" w:hAnsi="Times New Roman" w:eastAsia="黑体"/>
            </w:rPr>
            <w:t>般公共预算财政拨款支出决算情况说明</w:t>
          </w:r>
          <w:r>
            <w:tab/>
          </w:r>
          <w:r>
            <w:fldChar w:fldCharType="begin"/>
          </w:r>
          <w:r>
            <w:instrText xml:space="preserve"> PAGEREF _Toc12958 \h </w:instrText>
          </w:r>
          <w:r>
            <w:fldChar w:fldCharType="separate"/>
          </w:r>
          <w:r>
            <w:t>6</w:t>
          </w:r>
          <w:r>
            <w:fldChar w:fldCharType="end"/>
          </w:r>
          <w:r>
            <w:fldChar w:fldCharType="end"/>
          </w:r>
        </w:p>
        <w:p w14:paraId="2A2A3346">
          <w:pPr>
            <w:pStyle w:val="16"/>
            <w:tabs>
              <w:tab w:val="right" w:leader="dot" w:pos="8846"/>
              <w:tab w:val="clear" w:pos="8296"/>
            </w:tabs>
          </w:pPr>
          <w:r>
            <w:fldChar w:fldCharType="begin"/>
          </w:r>
          <w:r>
            <w:instrText xml:space="preserve"> HYPERLINK \l _Toc12930 </w:instrText>
          </w:r>
          <w:r>
            <w:fldChar w:fldCharType="separate"/>
          </w:r>
          <w:r>
            <w:rPr>
              <w:rFonts w:hint="eastAsia" w:eastAsia="黑体"/>
              <w:szCs w:val="32"/>
            </w:rPr>
            <w:t>六、一</w:t>
          </w:r>
          <w:r>
            <w:rPr>
              <w:rFonts w:hint="eastAsia" w:ascii="Times New Roman" w:hAnsi="Times New Roman" w:eastAsia="黑体"/>
            </w:rPr>
            <w:t>般公共预算财政拨款基本支出决算情况说明</w:t>
          </w:r>
          <w:r>
            <w:tab/>
          </w:r>
          <w:r>
            <w:fldChar w:fldCharType="begin"/>
          </w:r>
          <w:r>
            <w:instrText xml:space="preserve"> PAGEREF _Toc12930 \h </w:instrText>
          </w:r>
          <w:r>
            <w:fldChar w:fldCharType="separate"/>
          </w:r>
          <w:r>
            <w:t>9</w:t>
          </w:r>
          <w:r>
            <w:fldChar w:fldCharType="end"/>
          </w:r>
          <w:r>
            <w:fldChar w:fldCharType="end"/>
          </w:r>
        </w:p>
        <w:p w14:paraId="3BD463AC">
          <w:pPr>
            <w:pStyle w:val="16"/>
            <w:tabs>
              <w:tab w:val="right" w:leader="dot" w:pos="8846"/>
              <w:tab w:val="clear" w:pos="8296"/>
            </w:tabs>
          </w:pPr>
          <w:r>
            <w:fldChar w:fldCharType="begin"/>
          </w:r>
          <w:r>
            <w:instrText xml:space="preserve"> HYPERLINK \l _Toc5159 </w:instrText>
          </w:r>
          <w:r>
            <w:fldChar w:fldCharType="separate"/>
          </w:r>
          <w:r>
            <w:rPr>
              <w:rFonts w:hint="eastAsia" w:eastAsia="黑体"/>
              <w:szCs w:val="32"/>
            </w:rPr>
            <w:t>七、</w:t>
          </w:r>
          <w:r>
            <w:rPr>
              <w:rFonts w:hint="eastAsia" w:ascii="Times New Roman" w:hAnsi="Times New Roman" w:eastAsia="黑体"/>
            </w:rPr>
            <w:t>财政拨款“三公”经费支出决算情况说明</w:t>
          </w:r>
          <w:r>
            <w:tab/>
          </w:r>
          <w:r>
            <w:fldChar w:fldCharType="begin"/>
          </w:r>
          <w:r>
            <w:instrText xml:space="preserve"> PAGEREF _Toc5159 \h </w:instrText>
          </w:r>
          <w:r>
            <w:fldChar w:fldCharType="separate"/>
          </w:r>
          <w:r>
            <w:t>9</w:t>
          </w:r>
          <w:r>
            <w:fldChar w:fldCharType="end"/>
          </w:r>
          <w:r>
            <w:fldChar w:fldCharType="end"/>
          </w:r>
        </w:p>
        <w:p w14:paraId="1A460B0A">
          <w:pPr>
            <w:pStyle w:val="16"/>
            <w:tabs>
              <w:tab w:val="right" w:leader="dot" w:pos="8846"/>
              <w:tab w:val="clear" w:pos="8296"/>
            </w:tabs>
          </w:pPr>
          <w:r>
            <w:fldChar w:fldCharType="begin"/>
          </w:r>
          <w:r>
            <w:instrText xml:space="preserve"> HYPERLINK \l _Toc30625 </w:instrText>
          </w:r>
          <w:r>
            <w:fldChar w:fldCharType="separate"/>
          </w:r>
          <w:r>
            <w:rPr>
              <w:rFonts w:hint="eastAsia" w:eastAsia="黑体"/>
              <w:szCs w:val="32"/>
            </w:rPr>
            <w:t>八、</w:t>
          </w:r>
          <w:r>
            <w:rPr>
              <w:rFonts w:hint="eastAsia" w:ascii="Times New Roman" w:hAnsi="Times New Roman" w:eastAsia="黑体"/>
            </w:rPr>
            <w:t>政府性基金预算支出决算情况说明</w:t>
          </w:r>
          <w:r>
            <w:tab/>
          </w:r>
          <w:r>
            <w:fldChar w:fldCharType="begin"/>
          </w:r>
          <w:r>
            <w:instrText xml:space="preserve"> PAGEREF _Toc30625 \h </w:instrText>
          </w:r>
          <w:r>
            <w:fldChar w:fldCharType="separate"/>
          </w:r>
          <w:r>
            <w:t>11</w:t>
          </w:r>
          <w:r>
            <w:fldChar w:fldCharType="end"/>
          </w:r>
          <w:r>
            <w:fldChar w:fldCharType="end"/>
          </w:r>
        </w:p>
        <w:p w14:paraId="6D88838C">
          <w:pPr>
            <w:pStyle w:val="16"/>
            <w:tabs>
              <w:tab w:val="right" w:leader="dot" w:pos="8846"/>
              <w:tab w:val="clear" w:pos="8296"/>
            </w:tabs>
          </w:pPr>
          <w:r>
            <w:fldChar w:fldCharType="begin"/>
          </w:r>
          <w:r>
            <w:instrText xml:space="preserve"> HYPERLINK \l _Toc32229 </w:instrText>
          </w:r>
          <w:r>
            <w:fldChar w:fldCharType="separate"/>
          </w:r>
          <w:r>
            <w:rPr>
              <w:rFonts w:hint="eastAsia" w:ascii="Times New Roman" w:hAnsi="Times New Roman" w:eastAsia="黑体"/>
            </w:rPr>
            <w:t>九、国有资本经营预算支出决算情况说明</w:t>
          </w:r>
          <w:r>
            <w:tab/>
          </w:r>
          <w:r>
            <w:fldChar w:fldCharType="begin"/>
          </w:r>
          <w:r>
            <w:instrText xml:space="preserve"> PAGEREF _Toc32229 \h </w:instrText>
          </w:r>
          <w:r>
            <w:fldChar w:fldCharType="separate"/>
          </w:r>
          <w:r>
            <w:t>12</w:t>
          </w:r>
          <w:r>
            <w:fldChar w:fldCharType="end"/>
          </w:r>
          <w:r>
            <w:fldChar w:fldCharType="end"/>
          </w:r>
        </w:p>
        <w:p w14:paraId="7105E619">
          <w:pPr>
            <w:pStyle w:val="16"/>
            <w:tabs>
              <w:tab w:val="right" w:leader="dot" w:pos="8846"/>
              <w:tab w:val="clear" w:pos="8296"/>
            </w:tabs>
          </w:pPr>
          <w:r>
            <w:fldChar w:fldCharType="begin"/>
          </w:r>
          <w:r>
            <w:instrText xml:space="preserve"> HYPERLINK \l _Toc15151 </w:instrText>
          </w:r>
          <w:r>
            <w:fldChar w:fldCharType="separate"/>
          </w:r>
          <w:r>
            <w:rPr>
              <w:rFonts w:hint="eastAsia" w:ascii="Times New Roman" w:hAnsi="Times New Roman" w:eastAsia="黑体"/>
            </w:rPr>
            <w:t>十、其他重要事项的情况说明</w:t>
          </w:r>
          <w:r>
            <w:tab/>
          </w:r>
          <w:r>
            <w:fldChar w:fldCharType="begin"/>
          </w:r>
          <w:r>
            <w:instrText xml:space="preserve"> PAGEREF _Toc15151 \h </w:instrText>
          </w:r>
          <w:r>
            <w:fldChar w:fldCharType="separate"/>
          </w:r>
          <w:r>
            <w:t>12</w:t>
          </w:r>
          <w:r>
            <w:fldChar w:fldCharType="end"/>
          </w:r>
          <w:r>
            <w:fldChar w:fldCharType="end"/>
          </w:r>
        </w:p>
        <w:p w14:paraId="55777E09">
          <w:pPr>
            <w:pStyle w:val="12"/>
            <w:tabs>
              <w:tab w:val="right" w:leader="dot" w:pos="8846"/>
              <w:tab w:val="clear" w:pos="8296"/>
            </w:tabs>
          </w:pPr>
          <w:r>
            <w:fldChar w:fldCharType="begin"/>
          </w:r>
          <w:r>
            <w:instrText xml:space="preserve"> HYPERLINK \l _Toc11387 </w:instrText>
          </w:r>
          <w:r>
            <w:fldChar w:fldCharType="separate"/>
          </w:r>
          <w:r>
            <w:rPr>
              <w:rFonts w:hint="eastAsia" w:eastAsia="黑体"/>
              <w:szCs w:val="44"/>
            </w:rPr>
            <w:t>第三部分</w:t>
          </w:r>
          <w:r>
            <w:rPr>
              <w:rFonts w:hint="eastAsia" w:eastAsia="黑体"/>
              <w:szCs w:val="44"/>
              <w:lang w:val="en-US" w:eastAsia="zh-CN"/>
            </w:rPr>
            <w:t xml:space="preserve">  </w:t>
          </w:r>
          <w:r>
            <w:rPr>
              <w:rFonts w:hint="eastAsia" w:eastAsia="黑体"/>
              <w:szCs w:val="44"/>
            </w:rPr>
            <w:t>名词解释</w:t>
          </w:r>
          <w:r>
            <w:tab/>
          </w:r>
          <w:r>
            <w:fldChar w:fldCharType="begin"/>
          </w:r>
          <w:r>
            <w:instrText xml:space="preserve"> PAGEREF _Toc11387 \h </w:instrText>
          </w:r>
          <w:r>
            <w:fldChar w:fldCharType="separate"/>
          </w:r>
          <w:r>
            <w:t>15</w:t>
          </w:r>
          <w:r>
            <w:fldChar w:fldCharType="end"/>
          </w:r>
          <w:r>
            <w:fldChar w:fldCharType="end"/>
          </w:r>
        </w:p>
        <w:p w14:paraId="207D3B2F">
          <w:pPr>
            <w:pStyle w:val="12"/>
            <w:tabs>
              <w:tab w:val="right" w:leader="dot" w:pos="8846"/>
              <w:tab w:val="clear" w:pos="8296"/>
            </w:tabs>
          </w:pPr>
          <w:r>
            <w:fldChar w:fldCharType="begin"/>
          </w:r>
          <w:r>
            <w:instrText xml:space="preserve"> HYPERLINK \l _Toc20686 </w:instrText>
          </w:r>
          <w:r>
            <w:fldChar w:fldCharType="separate"/>
          </w:r>
          <w:r>
            <w:rPr>
              <w:rFonts w:hint="eastAsia" w:eastAsia="黑体"/>
              <w:szCs w:val="44"/>
            </w:rPr>
            <w:t>第四部分 附件</w:t>
          </w:r>
          <w:r>
            <w:tab/>
          </w:r>
          <w:r>
            <w:fldChar w:fldCharType="begin"/>
          </w:r>
          <w:r>
            <w:instrText xml:space="preserve"> PAGEREF _Toc20686 \h </w:instrText>
          </w:r>
          <w:r>
            <w:fldChar w:fldCharType="separate"/>
          </w:r>
          <w:r>
            <w:t>18</w:t>
          </w:r>
          <w:r>
            <w:fldChar w:fldCharType="end"/>
          </w:r>
          <w:r>
            <w:fldChar w:fldCharType="end"/>
          </w:r>
        </w:p>
        <w:p w14:paraId="72F03802">
          <w:pPr>
            <w:pStyle w:val="12"/>
            <w:tabs>
              <w:tab w:val="right" w:leader="dot" w:pos="8846"/>
              <w:tab w:val="clear" w:pos="8296"/>
            </w:tabs>
          </w:pPr>
          <w:r>
            <w:fldChar w:fldCharType="begin"/>
          </w:r>
          <w:r>
            <w:instrText xml:space="preserve"> HYPERLINK \l _Toc20051 </w:instrText>
          </w:r>
          <w:r>
            <w:fldChar w:fldCharType="separate"/>
          </w:r>
          <w:r>
            <w:rPr>
              <w:rFonts w:hint="eastAsia" w:eastAsia="黑体"/>
              <w:szCs w:val="44"/>
            </w:rPr>
            <w:t>第</w:t>
          </w:r>
          <w:r>
            <w:rPr>
              <w:rFonts w:hint="eastAsia" w:eastAsia="黑体"/>
              <w:bCs/>
            </w:rPr>
            <w:t>五部分 附表</w:t>
          </w:r>
          <w:r>
            <w:tab/>
          </w:r>
          <w:r>
            <w:fldChar w:fldCharType="begin"/>
          </w:r>
          <w:r>
            <w:instrText xml:space="preserve"> PAGEREF _Toc20051 \h </w:instrText>
          </w:r>
          <w:r>
            <w:fldChar w:fldCharType="separate"/>
          </w:r>
          <w:r>
            <w:t>70</w:t>
          </w:r>
          <w:r>
            <w:fldChar w:fldCharType="end"/>
          </w:r>
          <w:r>
            <w:fldChar w:fldCharType="end"/>
          </w:r>
        </w:p>
        <w:p w14:paraId="606CD420">
          <w:pPr>
            <w:pStyle w:val="16"/>
            <w:tabs>
              <w:tab w:val="right" w:leader="dot" w:pos="8846"/>
              <w:tab w:val="clear" w:pos="8296"/>
            </w:tabs>
          </w:pPr>
          <w:r>
            <w:fldChar w:fldCharType="begin"/>
          </w:r>
          <w:r>
            <w:instrText xml:space="preserve"> HYPERLINK \l _Toc15255 </w:instrText>
          </w:r>
          <w:r>
            <w:fldChar w:fldCharType="separate"/>
          </w:r>
          <w:r>
            <w:rPr>
              <w:rFonts w:hint="eastAsia" w:ascii="仿宋" w:hAnsi="仿宋" w:eastAsia="仿宋" w:cs="仿宋"/>
              <w:bCs w:val="0"/>
            </w:rPr>
            <w:t>一、收入支出决算总表</w:t>
          </w:r>
          <w:r>
            <w:tab/>
          </w:r>
          <w:r>
            <w:fldChar w:fldCharType="begin"/>
          </w:r>
          <w:r>
            <w:instrText xml:space="preserve"> PAGEREF _Toc15255 \h </w:instrText>
          </w:r>
          <w:r>
            <w:fldChar w:fldCharType="separate"/>
          </w:r>
          <w:r>
            <w:t>70</w:t>
          </w:r>
          <w:r>
            <w:fldChar w:fldCharType="end"/>
          </w:r>
          <w:r>
            <w:fldChar w:fldCharType="end"/>
          </w:r>
        </w:p>
        <w:p w14:paraId="73F587BA">
          <w:pPr>
            <w:pStyle w:val="16"/>
            <w:tabs>
              <w:tab w:val="right" w:leader="dot" w:pos="8846"/>
              <w:tab w:val="clear" w:pos="8296"/>
            </w:tabs>
          </w:pPr>
          <w:r>
            <w:fldChar w:fldCharType="begin"/>
          </w:r>
          <w:r>
            <w:instrText xml:space="preserve"> HYPERLINK \l _Toc26405 </w:instrText>
          </w:r>
          <w:r>
            <w:fldChar w:fldCharType="separate"/>
          </w:r>
          <w:r>
            <w:rPr>
              <w:rFonts w:hint="eastAsia" w:ascii="仿宋" w:hAnsi="仿宋" w:eastAsia="仿宋" w:cs="仿宋"/>
              <w:bCs w:val="0"/>
            </w:rPr>
            <w:t>二、收入决算表</w:t>
          </w:r>
          <w:r>
            <w:tab/>
          </w:r>
          <w:r>
            <w:fldChar w:fldCharType="begin"/>
          </w:r>
          <w:r>
            <w:instrText xml:space="preserve"> PAGEREF _Toc26405 \h </w:instrText>
          </w:r>
          <w:r>
            <w:fldChar w:fldCharType="separate"/>
          </w:r>
          <w:r>
            <w:t>70</w:t>
          </w:r>
          <w:r>
            <w:fldChar w:fldCharType="end"/>
          </w:r>
          <w:r>
            <w:fldChar w:fldCharType="end"/>
          </w:r>
        </w:p>
        <w:p w14:paraId="614C0095">
          <w:pPr>
            <w:pStyle w:val="16"/>
            <w:tabs>
              <w:tab w:val="right" w:leader="dot" w:pos="8846"/>
              <w:tab w:val="clear" w:pos="8296"/>
            </w:tabs>
          </w:pPr>
          <w:r>
            <w:fldChar w:fldCharType="begin"/>
          </w:r>
          <w:r>
            <w:instrText xml:space="preserve"> HYPERLINK \l _Toc31320 </w:instrText>
          </w:r>
          <w:r>
            <w:fldChar w:fldCharType="separate"/>
          </w:r>
          <w:r>
            <w:rPr>
              <w:rFonts w:hint="eastAsia" w:ascii="仿宋" w:hAnsi="仿宋" w:eastAsia="仿宋" w:cs="仿宋"/>
              <w:bCs w:val="0"/>
            </w:rPr>
            <w:t>三、支出决算表</w:t>
          </w:r>
          <w:r>
            <w:tab/>
          </w:r>
          <w:r>
            <w:fldChar w:fldCharType="begin"/>
          </w:r>
          <w:r>
            <w:instrText xml:space="preserve"> PAGEREF _Toc31320 \h </w:instrText>
          </w:r>
          <w:r>
            <w:fldChar w:fldCharType="separate"/>
          </w:r>
          <w:r>
            <w:t>70</w:t>
          </w:r>
          <w:r>
            <w:fldChar w:fldCharType="end"/>
          </w:r>
          <w:r>
            <w:fldChar w:fldCharType="end"/>
          </w:r>
        </w:p>
        <w:p w14:paraId="1A8F4517">
          <w:pPr>
            <w:pStyle w:val="16"/>
            <w:tabs>
              <w:tab w:val="right" w:leader="dot" w:pos="8846"/>
              <w:tab w:val="clear" w:pos="8296"/>
            </w:tabs>
          </w:pPr>
          <w:r>
            <w:fldChar w:fldCharType="begin"/>
          </w:r>
          <w:r>
            <w:instrText xml:space="preserve"> HYPERLINK \l _Toc28500 </w:instrText>
          </w:r>
          <w:r>
            <w:fldChar w:fldCharType="separate"/>
          </w:r>
          <w:r>
            <w:rPr>
              <w:rFonts w:hint="eastAsia" w:ascii="仿宋" w:hAnsi="仿宋" w:eastAsia="仿宋" w:cs="仿宋"/>
              <w:bCs w:val="0"/>
            </w:rPr>
            <w:t>四、财政拨款收入支出决算总表</w:t>
          </w:r>
          <w:r>
            <w:tab/>
          </w:r>
          <w:r>
            <w:fldChar w:fldCharType="begin"/>
          </w:r>
          <w:r>
            <w:instrText xml:space="preserve"> PAGEREF _Toc28500 \h </w:instrText>
          </w:r>
          <w:r>
            <w:fldChar w:fldCharType="separate"/>
          </w:r>
          <w:r>
            <w:t>70</w:t>
          </w:r>
          <w:r>
            <w:fldChar w:fldCharType="end"/>
          </w:r>
          <w:r>
            <w:fldChar w:fldCharType="end"/>
          </w:r>
        </w:p>
        <w:p w14:paraId="010664F8">
          <w:pPr>
            <w:pStyle w:val="16"/>
            <w:tabs>
              <w:tab w:val="right" w:leader="dot" w:pos="8846"/>
              <w:tab w:val="clear" w:pos="8296"/>
            </w:tabs>
          </w:pPr>
          <w:r>
            <w:fldChar w:fldCharType="begin"/>
          </w:r>
          <w:r>
            <w:instrText xml:space="preserve"> HYPERLINK \l _Toc29713 </w:instrText>
          </w:r>
          <w:r>
            <w:fldChar w:fldCharType="separate"/>
          </w:r>
          <w:r>
            <w:rPr>
              <w:rFonts w:hint="eastAsia" w:ascii="仿宋" w:hAnsi="仿宋" w:eastAsia="仿宋" w:cs="仿宋"/>
              <w:bCs w:val="0"/>
            </w:rPr>
            <w:t>五、财政拨款支出决算明细表</w:t>
          </w:r>
          <w:r>
            <w:tab/>
          </w:r>
          <w:r>
            <w:fldChar w:fldCharType="begin"/>
          </w:r>
          <w:r>
            <w:instrText xml:space="preserve"> PAGEREF _Toc29713 \h </w:instrText>
          </w:r>
          <w:r>
            <w:fldChar w:fldCharType="separate"/>
          </w:r>
          <w:r>
            <w:t>70</w:t>
          </w:r>
          <w:r>
            <w:fldChar w:fldCharType="end"/>
          </w:r>
          <w:r>
            <w:fldChar w:fldCharType="end"/>
          </w:r>
        </w:p>
        <w:p w14:paraId="1EB0CACC">
          <w:pPr>
            <w:pStyle w:val="16"/>
            <w:tabs>
              <w:tab w:val="right" w:leader="dot" w:pos="8846"/>
              <w:tab w:val="clear" w:pos="8296"/>
            </w:tabs>
          </w:pPr>
          <w:r>
            <w:fldChar w:fldCharType="begin"/>
          </w:r>
          <w:r>
            <w:instrText xml:space="preserve"> HYPERLINK \l _Toc11385 </w:instrText>
          </w:r>
          <w:r>
            <w:fldChar w:fldCharType="separate"/>
          </w:r>
          <w:r>
            <w:rPr>
              <w:rFonts w:hint="eastAsia" w:ascii="仿宋" w:hAnsi="仿宋" w:eastAsia="仿宋" w:cs="仿宋"/>
              <w:bCs w:val="0"/>
            </w:rPr>
            <w:t>六、一般公共预算财政拨款支出决算表</w:t>
          </w:r>
          <w:r>
            <w:tab/>
          </w:r>
          <w:r>
            <w:fldChar w:fldCharType="begin"/>
          </w:r>
          <w:r>
            <w:instrText xml:space="preserve"> PAGEREF _Toc11385 \h </w:instrText>
          </w:r>
          <w:r>
            <w:fldChar w:fldCharType="separate"/>
          </w:r>
          <w:r>
            <w:t>70</w:t>
          </w:r>
          <w:r>
            <w:fldChar w:fldCharType="end"/>
          </w:r>
          <w:r>
            <w:fldChar w:fldCharType="end"/>
          </w:r>
        </w:p>
        <w:p w14:paraId="04E6E249">
          <w:pPr>
            <w:pStyle w:val="16"/>
            <w:tabs>
              <w:tab w:val="right" w:leader="dot" w:pos="8846"/>
              <w:tab w:val="clear" w:pos="8296"/>
            </w:tabs>
          </w:pPr>
          <w:r>
            <w:fldChar w:fldCharType="begin"/>
          </w:r>
          <w:r>
            <w:instrText xml:space="preserve"> HYPERLINK \l _Toc6743 </w:instrText>
          </w:r>
          <w:r>
            <w:fldChar w:fldCharType="separate"/>
          </w:r>
          <w:r>
            <w:rPr>
              <w:rFonts w:hint="eastAsia" w:ascii="仿宋" w:hAnsi="仿宋" w:eastAsia="仿宋" w:cs="仿宋"/>
              <w:bCs w:val="0"/>
            </w:rPr>
            <w:t>七、一般公共预算财政拨款支出决算明细表</w:t>
          </w:r>
          <w:r>
            <w:tab/>
          </w:r>
          <w:r>
            <w:fldChar w:fldCharType="begin"/>
          </w:r>
          <w:r>
            <w:instrText xml:space="preserve"> PAGEREF _Toc6743 \h </w:instrText>
          </w:r>
          <w:r>
            <w:fldChar w:fldCharType="separate"/>
          </w:r>
          <w:r>
            <w:t>70</w:t>
          </w:r>
          <w:r>
            <w:fldChar w:fldCharType="end"/>
          </w:r>
          <w:r>
            <w:fldChar w:fldCharType="end"/>
          </w:r>
        </w:p>
        <w:p w14:paraId="252481CD">
          <w:pPr>
            <w:pStyle w:val="16"/>
            <w:tabs>
              <w:tab w:val="right" w:leader="dot" w:pos="8846"/>
              <w:tab w:val="clear" w:pos="8296"/>
            </w:tabs>
          </w:pPr>
          <w:r>
            <w:fldChar w:fldCharType="begin"/>
          </w:r>
          <w:r>
            <w:instrText xml:space="preserve"> HYPERLINK \l _Toc2730 </w:instrText>
          </w:r>
          <w:r>
            <w:fldChar w:fldCharType="separate"/>
          </w:r>
          <w:r>
            <w:rPr>
              <w:rFonts w:hint="eastAsia" w:ascii="仿宋" w:hAnsi="仿宋" w:eastAsia="仿宋" w:cs="仿宋"/>
              <w:bCs w:val="0"/>
            </w:rPr>
            <w:t>八、一般公共预算财政拨款基本支出决算表</w:t>
          </w:r>
          <w:r>
            <w:tab/>
          </w:r>
          <w:r>
            <w:fldChar w:fldCharType="begin"/>
          </w:r>
          <w:r>
            <w:instrText xml:space="preserve"> PAGEREF _Toc2730 \h </w:instrText>
          </w:r>
          <w:r>
            <w:fldChar w:fldCharType="separate"/>
          </w:r>
          <w:r>
            <w:t>70</w:t>
          </w:r>
          <w:r>
            <w:fldChar w:fldCharType="end"/>
          </w:r>
          <w:r>
            <w:fldChar w:fldCharType="end"/>
          </w:r>
        </w:p>
        <w:p w14:paraId="02227F81">
          <w:pPr>
            <w:pStyle w:val="16"/>
            <w:tabs>
              <w:tab w:val="right" w:leader="dot" w:pos="8846"/>
              <w:tab w:val="clear" w:pos="8296"/>
            </w:tabs>
          </w:pPr>
          <w:r>
            <w:fldChar w:fldCharType="begin"/>
          </w:r>
          <w:r>
            <w:instrText xml:space="preserve"> HYPERLINK \l _Toc20057 </w:instrText>
          </w:r>
          <w:r>
            <w:fldChar w:fldCharType="separate"/>
          </w:r>
          <w:r>
            <w:rPr>
              <w:rFonts w:hint="eastAsia" w:ascii="仿宋" w:hAnsi="仿宋" w:eastAsia="仿宋" w:cs="仿宋"/>
              <w:bCs w:val="0"/>
            </w:rPr>
            <w:t>九、一般公共预算财政拨款项目支出决算表</w:t>
          </w:r>
          <w:r>
            <w:tab/>
          </w:r>
          <w:r>
            <w:fldChar w:fldCharType="begin"/>
          </w:r>
          <w:r>
            <w:instrText xml:space="preserve"> PAGEREF _Toc20057 \h </w:instrText>
          </w:r>
          <w:r>
            <w:fldChar w:fldCharType="separate"/>
          </w:r>
          <w:r>
            <w:t>70</w:t>
          </w:r>
          <w:r>
            <w:fldChar w:fldCharType="end"/>
          </w:r>
          <w:r>
            <w:fldChar w:fldCharType="end"/>
          </w:r>
        </w:p>
        <w:p w14:paraId="4B9180BE">
          <w:pPr>
            <w:pStyle w:val="16"/>
            <w:tabs>
              <w:tab w:val="right" w:leader="dot" w:pos="8846"/>
              <w:tab w:val="clear" w:pos="8296"/>
            </w:tabs>
          </w:pPr>
          <w:r>
            <w:fldChar w:fldCharType="begin"/>
          </w:r>
          <w:r>
            <w:instrText xml:space="preserve"> HYPERLINK \l _Toc15879 </w:instrText>
          </w:r>
          <w:r>
            <w:fldChar w:fldCharType="separate"/>
          </w:r>
          <w:r>
            <w:rPr>
              <w:rFonts w:hint="eastAsia" w:ascii="仿宋" w:hAnsi="仿宋" w:eastAsia="仿宋" w:cs="仿宋"/>
              <w:bCs w:val="0"/>
            </w:rPr>
            <w:t>十、政府性基金预算财政拨款收入支出决算表</w:t>
          </w:r>
          <w:r>
            <w:tab/>
          </w:r>
          <w:r>
            <w:fldChar w:fldCharType="begin"/>
          </w:r>
          <w:r>
            <w:instrText xml:space="preserve"> PAGEREF _Toc15879 \h </w:instrText>
          </w:r>
          <w:r>
            <w:fldChar w:fldCharType="separate"/>
          </w:r>
          <w:r>
            <w:t>70</w:t>
          </w:r>
          <w:r>
            <w:fldChar w:fldCharType="end"/>
          </w:r>
          <w:r>
            <w:fldChar w:fldCharType="end"/>
          </w:r>
        </w:p>
        <w:p w14:paraId="504A2804">
          <w:pPr>
            <w:pStyle w:val="16"/>
            <w:tabs>
              <w:tab w:val="right" w:leader="dot" w:pos="8846"/>
              <w:tab w:val="clear" w:pos="8296"/>
            </w:tabs>
          </w:pPr>
          <w:r>
            <w:fldChar w:fldCharType="begin"/>
          </w:r>
          <w:r>
            <w:instrText xml:space="preserve"> HYPERLINK \l _Toc5304 </w:instrText>
          </w:r>
          <w:r>
            <w:fldChar w:fldCharType="separate"/>
          </w:r>
          <w:r>
            <w:rPr>
              <w:rFonts w:hint="eastAsia" w:ascii="仿宋" w:hAnsi="仿宋" w:eastAsia="仿宋" w:cs="仿宋"/>
              <w:bCs w:val="0"/>
            </w:rPr>
            <w:t>十一、国有资本经营预算财政拨款收入支出决算表</w:t>
          </w:r>
          <w:r>
            <w:tab/>
          </w:r>
          <w:r>
            <w:fldChar w:fldCharType="begin"/>
          </w:r>
          <w:r>
            <w:instrText xml:space="preserve"> PAGEREF _Toc5304 \h </w:instrText>
          </w:r>
          <w:r>
            <w:fldChar w:fldCharType="separate"/>
          </w:r>
          <w:r>
            <w:t>70</w:t>
          </w:r>
          <w:r>
            <w:fldChar w:fldCharType="end"/>
          </w:r>
          <w:r>
            <w:fldChar w:fldCharType="end"/>
          </w:r>
        </w:p>
        <w:p w14:paraId="6AF8A7A7">
          <w:pPr>
            <w:pStyle w:val="16"/>
            <w:tabs>
              <w:tab w:val="right" w:leader="dot" w:pos="8846"/>
              <w:tab w:val="clear" w:pos="8296"/>
            </w:tabs>
          </w:pPr>
          <w:r>
            <w:fldChar w:fldCharType="begin"/>
          </w:r>
          <w:r>
            <w:instrText xml:space="preserve"> HYPERLINK \l _Toc23976 </w:instrText>
          </w:r>
          <w:r>
            <w:fldChar w:fldCharType="separate"/>
          </w:r>
          <w:r>
            <w:rPr>
              <w:rFonts w:hint="eastAsia" w:ascii="仿宋" w:hAnsi="仿宋" w:eastAsia="仿宋" w:cs="仿宋"/>
              <w:bCs w:val="0"/>
            </w:rPr>
            <w:t>十二、国有资本经营预算财政拨款支出决算表</w:t>
          </w:r>
          <w:r>
            <w:tab/>
          </w:r>
          <w:r>
            <w:fldChar w:fldCharType="begin"/>
          </w:r>
          <w:r>
            <w:instrText xml:space="preserve"> PAGEREF _Toc23976 \h </w:instrText>
          </w:r>
          <w:r>
            <w:fldChar w:fldCharType="separate"/>
          </w:r>
          <w:r>
            <w:t>70</w:t>
          </w:r>
          <w:r>
            <w:fldChar w:fldCharType="end"/>
          </w:r>
          <w:r>
            <w:fldChar w:fldCharType="end"/>
          </w:r>
        </w:p>
        <w:p w14:paraId="7C58B9C7">
          <w:pPr>
            <w:pStyle w:val="16"/>
            <w:tabs>
              <w:tab w:val="right" w:leader="dot" w:pos="8846"/>
              <w:tab w:val="clear" w:pos="8296"/>
            </w:tabs>
          </w:pPr>
          <w:r>
            <w:fldChar w:fldCharType="begin"/>
          </w:r>
          <w:r>
            <w:instrText xml:space="preserve"> HYPERLINK \l _Toc8512 </w:instrText>
          </w:r>
          <w:r>
            <w:fldChar w:fldCharType="separate"/>
          </w:r>
          <w:r>
            <w:rPr>
              <w:rFonts w:hint="eastAsia" w:ascii="仿宋" w:hAnsi="仿宋" w:eastAsia="仿宋" w:cs="仿宋"/>
              <w:bCs w:val="0"/>
            </w:rPr>
            <w:t>十三、财政拨款“三公”经费支出决算表</w:t>
          </w:r>
          <w:r>
            <w:tab/>
          </w:r>
          <w:r>
            <w:fldChar w:fldCharType="begin"/>
          </w:r>
          <w:r>
            <w:instrText xml:space="preserve"> PAGEREF _Toc8512 \h </w:instrText>
          </w:r>
          <w:r>
            <w:fldChar w:fldCharType="separate"/>
          </w:r>
          <w:r>
            <w:t>70</w:t>
          </w:r>
          <w:r>
            <w:fldChar w:fldCharType="end"/>
          </w:r>
          <w:r>
            <w:fldChar w:fldCharType="end"/>
          </w:r>
        </w:p>
        <w:p w14:paraId="45071659">
          <w:pPr>
            <w:pStyle w:val="2"/>
            <w:rPr>
              <w:rFonts w:ascii="仿宋_GB2312" w:hAnsi="Times New Roman" w:eastAsia="仿宋_GB2312" w:cs="Times New Roman"/>
              <w:kern w:val="0"/>
              <w:sz w:val="30"/>
              <w:szCs w:val="24"/>
              <w:lang w:val="en-US" w:eastAsia="zh-CN" w:bidi="ar-SA"/>
            </w:rPr>
          </w:pPr>
          <w:r>
            <w:fldChar w:fldCharType="end"/>
          </w:r>
        </w:p>
      </w:sdtContent>
    </w:sdt>
    <w:p w14:paraId="23098157">
      <w:pPr>
        <w:pStyle w:val="2"/>
        <w:rPr>
          <w:rFonts w:ascii="仿宋_GB2312" w:hAnsi="Times New Roman" w:eastAsia="仿宋_GB2312" w:cs="Times New Roman"/>
          <w:kern w:val="0"/>
          <w:sz w:val="30"/>
          <w:szCs w:val="24"/>
          <w:lang w:val="en-US" w:eastAsia="zh-CN" w:bidi="ar-SA"/>
        </w:rPr>
        <w:sectPr>
          <w:headerReference r:id="rId7" w:type="default"/>
          <w:footerReference r:id="rId8" w:type="default"/>
          <w:pgSz w:w="11907" w:h="16840"/>
          <w:pgMar w:top="2098" w:right="1474" w:bottom="1247" w:left="1587" w:header="851" w:footer="1247" w:gutter="0"/>
          <w:pgBorders>
            <w:top w:val="none" w:sz="0" w:space="0"/>
            <w:left w:val="none" w:sz="0" w:space="0"/>
            <w:bottom w:val="none" w:sz="0" w:space="0"/>
            <w:right w:val="none" w:sz="0" w:space="0"/>
          </w:pgBorders>
          <w:pgNumType w:fmt="decimal" w:start="2"/>
          <w:cols w:space="720" w:num="1"/>
          <w:rtlGutter w:val="0"/>
          <w:docGrid w:type="linesAndChars" w:linePitch="577" w:charSpace="-1259"/>
        </w:sectPr>
      </w:pPr>
    </w:p>
    <w:p w14:paraId="04710CE3">
      <w:pPr>
        <w:pStyle w:val="2"/>
      </w:pPr>
    </w:p>
    <w:p w14:paraId="71F895DD">
      <w:pPr>
        <w:pStyle w:val="3"/>
        <w:jc w:val="center"/>
        <w:rPr>
          <w:rFonts w:eastAsia="黑体"/>
          <w:sz w:val="32"/>
          <w:szCs w:val="32"/>
        </w:rPr>
      </w:pPr>
      <w:bookmarkStart w:id="8" w:name="_Toc21402"/>
      <w:r>
        <w:rPr>
          <w:rFonts w:hint="eastAsia" w:eastAsia="方正小标宋简体" w:cs="方正小标宋简体"/>
          <w:b w:val="0"/>
        </w:rPr>
        <w:t>第一部分</w:t>
      </w:r>
      <w:r>
        <w:rPr>
          <w:rStyle w:val="22"/>
          <w:rFonts w:hint="eastAsia" w:eastAsia="方正小标宋简体" w:cs="方正小标宋简体"/>
          <w:b w:val="0"/>
          <w:bCs w:val="0"/>
        </w:rPr>
        <w:t>部门概况</w:t>
      </w:r>
      <w:bookmarkEnd w:id="6"/>
      <w:bookmarkEnd w:id="7"/>
      <w:bookmarkEnd w:id="8"/>
    </w:p>
    <w:p w14:paraId="25F1353D">
      <w:pPr>
        <w:pStyle w:val="4"/>
        <w:numPr>
          <w:ilvl w:val="0"/>
          <w:numId w:val="1"/>
        </w:numPr>
        <w:rPr>
          <w:rFonts w:hint="eastAsia" w:ascii="Times New Roman" w:hAnsi="Times New Roman" w:eastAsia="黑体"/>
          <w:b w:val="0"/>
        </w:rPr>
      </w:pPr>
      <w:bookmarkStart w:id="9" w:name="_Toc14202"/>
      <w:r>
        <w:rPr>
          <w:rFonts w:hint="eastAsia" w:ascii="Times New Roman" w:hAnsi="Times New Roman" w:eastAsia="黑体"/>
          <w:b w:val="0"/>
        </w:rPr>
        <w:t>部门职责</w:t>
      </w:r>
      <w:bookmarkEnd w:id="9"/>
    </w:p>
    <w:p w14:paraId="72FB9819">
      <w:pPr>
        <w:pStyle w:val="2"/>
        <w:keepNext w:val="0"/>
        <w:keepLines w:val="0"/>
        <w:pageBreakBefore w:val="0"/>
        <w:widowControl w:val="0"/>
        <w:shd w:val="clear" w:color="auto" w:fill="auto"/>
        <w:kinsoku/>
        <w:wordWrap/>
        <w:overflowPunct/>
        <w:topLinePunct w:val="0"/>
        <w:autoSpaceDE/>
        <w:autoSpaceDN/>
        <w:bidi w:val="0"/>
        <w:adjustRightInd w:val="0"/>
        <w:snapToGrid w:val="0"/>
        <w:spacing w:beforeLines="0" w:line="576" w:lineRule="exact"/>
        <w:ind w:left="0" w:leftChars="0" w:right="0" w:firstLine="628"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（一）</w:t>
      </w:r>
      <w:r>
        <w:rPr>
          <w:rFonts w:hint="default" w:ascii="Times New Roman" w:hAnsi="Times New Roman" w:eastAsia="仿宋_GB2312" w:cs="Times New Roman"/>
          <w:bCs/>
          <w:color w:val="auto"/>
          <w:sz w:val="32"/>
          <w:szCs w:val="32"/>
          <w:highlight w:val="none"/>
        </w:rPr>
        <w:t>负责推进投资促进等有关领域的经济合作（以下简称经济合作）。参与起草有关经济合作的地方性法规和规章草案。参与拟订全市经济合作的中长期规划和年度计划并组织实施。</w:t>
      </w:r>
    </w:p>
    <w:p w14:paraId="0102CC05">
      <w:pPr>
        <w:pStyle w:val="2"/>
        <w:keepNext w:val="0"/>
        <w:keepLines w:val="0"/>
        <w:pageBreakBefore w:val="0"/>
        <w:widowControl w:val="0"/>
        <w:shd w:val="clear" w:color="auto" w:fill="auto"/>
        <w:kinsoku/>
        <w:wordWrap/>
        <w:overflowPunct/>
        <w:topLinePunct w:val="0"/>
        <w:autoSpaceDE/>
        <w:autoSpaceDN/>
        <w:bidi w:val="0"/>
        <w:adjustRightInd w:val="0"/>
        <w:snapToGrid w:val="0"/>
        <w:spacing w:beforeLines="0" w:line="576" w:lineRule="exact"/>
        <w:ind w:left="0" w:leftChars="0" w:right="0" w:firstLine="628"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（二）</w:t>
      </w:r>
      <w:r>
        <w:rPr>
          <w:rFonts w:hint="default" w:ascii="Times New Roman" w:hAnsi="Times New Roman" w:eastAsia="仿宋_GB2312" w:cs="Times New Roman"/>
          <w:bCs/>
          <w:color w:val="auto"/>
          <w:sz w:val="32"/>
          <w:szCs w:val="32"/>
          <w:highlight w:val="none"/>
        </w:rPr>
        <w:t>统筹指导全市投资促进工作。拟订全市投资促进政策、投资促进中长期规划和年度计划并组织实施。负责全市投资环境推介工作。统筹组织市级重大投资促进活动。牵头全市重大招商引资项目的促进和落实。推进投资促进和管理服务网络体系建设。</w:t>
      </w:r>
    </w:p>
    <w:p w14:paraId="1C71F27D">
      <w:pPr>
        <w:pStyle w:val="2"/>
        <w:keepNext w:val="0"/>
        <w:keepLines w:val="0"/>
        <w:pageBreakBefore w:val="0"/>
        <w:widowControl w:val="0"/>
        <w:shd w:val="clear" w:color="auto" w:fill="auto"/>
        <w:kinsoku/>
        <w:wordWrap/>
        <w:overflowPunct/>
        <w:topLinePunct w:val="0"/>
        <w:autoSpaceDE/>
        <w:autoSpaceDN/>
        <w:bidi w:val="0"/>
        <w:adjustRightInd w:val="0"/>
        <w:snapToGrid w:val="0"/>
        <w:spacing w:beforeLines="0" w:line="576" w:lineRule="exact"/>
        <w:ind w:left="0" w:leftChars="0" w:right="0" w:firstLine="628"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（三）</w:t>
      </w:r>
      <w:r>
        <w:rPr>
          <w:rFonts w:hint="default" w:ascii="Times New Roman" w:hAnsi="Times New Roman" w:eastAsia="仿宋_GB2312" w:cs="Times New Roman"/>
          <w:bCs/>
          <w:color w:val="auto"/>
          <w:sz w:val="32"/>
          <w:szCs w:val="32"/>
          <w:highlight w:val="none"/>
        </w:rPr>
        <w:t>指导外商投资促进和管理工作。参与拟订外商投资政策和改革方案并组织实施。统计分析全市外商投资情况。依法监督检查外商投资企业执行有关法律法规规章、合同章程的情况并协调解决有关问题。</w:t>
      </w:r>
    </w:p>
    <w:p w14:paraId="3E87F9DF">
      <w:pPr>
        <w:pStyle w:val="2"/>
        <w:keepNext w:val="0"/>
        <w:keepLines w:val="0"/>
        <w:pageBreakBefore w:val="0"/>
        <w:widowControl w:val="0"/>
        <w:shd w:val="clear" w:color="auto" w:fill="auto"/>
        <w:kinsoku/>
        <w:wordWrap/>
        <w:overflowPunct/>
        <w:topLinePunct w:val="0"/>
        <w:autoSpaceDE/>
        <w:autoSpaceDN/>
        <w:bidi w:val="0"/>
        <w:adjustRightInd w:val="0"/>
        <w:snapToGrid w:val="0"/>
        <w:spacing w:beforeLines="0" w:line="576" w:lineRule="exact"/>
        <w:ind w:left="0" w:leftChars="0" w:right="0" w:firstLine="628"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（四）</w:t>
      </w:r>
      <w:r>
        <w:rPr>
          <w:rFonts w:hint="default" w:ascii="Times New Roman" w:hAnsi="Times New Roman" w:eastAsia="仿宋_GB2312" w:cs="Times New Roman"/>
          <w:bCs/>
          <w:color w:val="auto"/>
          <w:sz w:val="32"/>
          <w:szCs w:val="32"/>
          <w:highlight w:val="none"/>
        </w:rPr>
        <w:t>参与推进我市与国（境）内外相关区域合作。承担我市与国（境）内外相关区域经济合作活动的有关具体工作。</w:t>
      </w:r>
    </w:p>
    <w:p w14:paraId="32100556">
      <w:pPr>
        <w:pStyle w:val="2"/>
        <w:keepNext w:val="0"/>
        <w:keepLines w:val="0"/>
        <w:pageBreakBefore w:val="0"/>
        <w:widowControl w:val="0"/>
        <w:shd w:val="clear" w:color="auto" w:fill="auto"/>
        <w:kinsoku/>
        <w:wordWrap/>
        <w:overflowPunct/>
        <w:topLinePunct w:val="0"/>
        <w:autoSpaceDE/>
        <w:autoSpaceDN/>
        <w:bidi w:val="0"/>
        <w:adjustRightInd w:val="0"/>
        <w:snapToGrid w:val="0"/>
        <w:spacing w:beforeLines="0" w:line="576" w:lineRule="exact"/>
        <w:ind w:left="0" w:leftChars="0" w:right="0" w:firstLine="628"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（五）</w:t>
      </w:r>
      <w:r>
        <w:rPr>
          <w:rFonts w:hint="default" w:ascii="Times New Roman" w:hAnsi="Times New Roman" w:eastAsia="仿宋_GB2312" w:cs="Times New Roman"/>
          <w:bCs/>
          <w:color w:val="auto"/>
          <w:sz w:val="32"/>
          <w:szCs w:val="32"/>
          <w:highlight w:val="none"/>
        </w:rPr>
        <w:t>承担推动我市与港澳台地区经贸合作有关工作。</w:t>
      </w:r>
    </w:p>
    <w:p w14:paraId="008FA230">
      <w:pPr>
        <w:pStyle w:val="2"/>
        <w:keepNext w:val="0"/>
        <w:keepLines w:val="0"/>
        <w:pageBreakBefore w:val="0"/>
        <w:widowControl w:val="0"/>
        <w:shd w:val="clear" w:color="auto" w:fill="auto"/>
        <w:kinsoku/>
        <w:wordWrap/>
        <w:overflowPunct/>
        <w:topLinePunct w:val="0"/>
        <w:autoSpaceDE/>
        <w:autoSpaceDN/>
        <w:bidi w:val="0"/>
        <w:adjustRightInd w:val="0"/>
        <w:snapToGrid w:val="0"/>
        <w:spacing w:beforeLines="0" w:line="576" w:lineRule="exact"/>
        <w:ind w:left="0" w:leftChars="0" w:right="0" w:firstLine="628"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（六）</w:t>
      </w:r>
      <w:r>
        <w:rPr>
          <w:rFonts w:hint="default" w:ascii="Times New Roman" w:hAnsi="Times New Roman" w:eastAsia="仿宋_GB2312" w:cs="Times New Roman"/>
          <w:bCs/>
          <w:color w:val="auto"/>
          <w:sz w:val="32"/>
          <w:szCs w:val="32"/>
          <w:highlight w:val="none"/>
        </w:rPr>
        <w:t>受市政府委托，负责管理市政府各驻外机构（不含市政府驻北京联络处、驻成都办事处，下同）。推动全市博览发展促进工作，参与拟订全市会展业发展规划和相关政策。</w:t>
      </w:r>
    </w:p>
    <w:p w14:paraId="4E222C1D">
      <w:pPr>
        <w:pStyle w:val="2"/>
        <w:keepNext w:val="0"/>
        <w:keepLines w:val="0"/>
        <w:pageBreakBefore w:val="0"/>
        <w:widowControl w:val="0"/>
        <w:shd w:val="clear" w:color="auto" w:fill="auto"/>
        <w:kinsoku/>
        <w:wordWrap/>
        <w:overflowPunct/>
        <w:topLinePunct w:val="0"/>
        <w:autoSpaceDE/>
        <w:autoSpaceDN/>
        <w:bidi w:val="0"/>
        <w:adjustRightInd w:val="0"/>
        <w:snapToGrid w:val="0"/>
        <w:spacing w:beforeLines="0" w:line="576" w:lineRule="exact"/>
        <w:ind w:left="0" w:leftChars="0" w:right="0" w:firstLine="628"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（七）</w:t>
      </w:r>
      <w:r>
        <w:rPr>
          <w:rFonts w:hint="default" w:ascii="Times New Roman" w:hAnsi="Times New Roman" w:eastAsia="仿宋_GB2312" w:cs="Times New Roman"/>
          <w:bCs/>
          <w:color w:val="auto"/>
          <w:sz w:val="32"/>
          <w:szCs w:val="32"/>
          <w:highlight w:val="none"/>
        </w:rPr>
        <w:t>负责职责范围内的安全生产和职业健康、生态环境保护、审批服务便民化等工作。</w:t>
      </w:r>
    </w:p>
    <w:p w14:paraId="28A73984">
      <w:pPr>
        <w:pStyle w:val="2"/>
        <w:keepNext w:val="0"/>
        <w:keepLines w:val="0"/>
        <w:pageBreakBefore w:val="0"/>
        <w:widowControl w:val="0"/>
        <w:shd w:val="clear" w:color="auto" w:fill="auto"/>
        <w:kinsoku/>
        <w:wordWrap/>
        <w:overflowPunct/>
        <w:topLinePunct w:val="0"/>
        <w:autoSpaceDE/>
        <w:autoSpaceDN/>
        <w:bidi w:val="0"/>
        <w:adjustRightInd w:val="0"/>
        <w:snapToGrid w:val="0"/>
        <w:spacing w:beforeLines="0" w:line="576" w:lineRule="exact"/>
        <w:ind w:left="0" w:leftChars="0" w:right="0" w:firstLine="628"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（八）</w:t>
      </w:r>
      <w:r>
        <w:rPr>
          <w:rFonts w:hint="default" w:ascii="Times New Roman" w:hAnsi="Times New Roman" w:eastAsia="仿宋_GB2312" w:cs="Times New Roman"/>
          <w:bCs/>
          <w:color w:val="auto"/>
          <w:sz w:val="32"/>
          <w:szCs w:val="32"/>
          <w:highlight w:val="none"/>
        </w:rPr>
        <w:t>完成市委、市政府交办的其他工作。</w:t>
      </w:r>
    </w:p>
    <w:p w14:paraId="084A92DC">
      <w:pPr>
        <w:pStyle w:val="2"/>
        <w:keepNext w:val="0"/>
        <w:keepLines w:val="0"/>
        <w:pageBreakBefore w:val="0"/>
        <w:widowControl w:val="0"/>
        <w:shd w:val="clear" w:color="auto" w:fill="auto"/>
        <w:kinsoku/>
        <w:wordWrap/>
        <w:overflowPunct/>
        <w:topLinePunct w:val="0"/>
        <w:autoSpaceDE/>
        <w:autoSpaceDN/>
        <w:bidi w:val="0"/>
        <w:adjustRightInd w:val="0"/>
        <w:snapToGrid w:val="0"/>
        <w:spacing w:beforeLines="0" w:line="576" w:lineRule="exact"/>
        <w:ind w:left="0" w:leftChars="0" w:right="0" w:firstLine="628"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（九）</w:t>
      </w:r>
      <w:r>
        <w:rPr>
          <w:rFonts w:hint="default" w:ascii="Times New Roman" w:hAnsi="Times New Roman" w:eastAsia="仿宋_GB2312" w:cs="Times New Roman"/>
          <w:bCs/>
          <w:color w:val="auto"/>
          <w:sz w:val="32"/>
          <w:szCs w:val="32"/>
          <w:highlight w:val="none"/>
        </w:rPr>
        <w:t>职能转变。建立健全体制机制，加强对全市经济合作的统筹，推进内资和外资、招商与博览有机融合发展。优化精准招商、精品招商、集群招商路径和方式，提升开放合作平台影响力，提高招商引资质量，发展壮大重点产业。深入实施外商投资管理体制改革，进一步改进外商投资企业投资管理，提高投资便利化水平。提升与发达地区经济合作层次，推进全市投资促进分工协作、错位发展。加强对重大引进项目的跟踪服务，完善市级重大引进项目激励机制。促进全市博览事业快速发展。</w:t>
      </w:r>
    </w:p>
    <w:p w14:paraId="5F38D05B">
      <w:pPr>
        <w:pStyle w:val="2"/>
        <w:keepNext w:val="0"/>
        <w:keepLines w:val="0"/>
        <w:pageBreakBefore w:val="0"/>
        <w:widowControl w:val="0"/>
        <w:shd w:val="clear" w:color="auto" w:fill="auto"/>
        <w:kinsoku/>
        <w:wordWrap/>
        <w:overflowPunct/>
        <w:topLinePunct w:val="0"/>
        <w:autoSpaceDE/>
        <w:autoSpaceDN/>
        <w:bidi w:val="0"/>
        <w:adjustRightInd w:val="0"/>
        <w:snapToGrid w:val="0"/>
        <w:spacing w:beforeLines="0" w:line="576" w:lineRule="exact"/>
        <w:ind w:left="0" w:leftChars="0" w:right="0" w:firstLine="628"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（十）</w:t>
      </w:r>
      <w:r>
        <w:rPr>
          <w:rFonts w:hint="default" w:ascii="Times New Roman" w:hAnsi="Times New Roman" w:eastAsia="仿宋_GB2312" w:cs="Times New Roman"/>
          <w:bCs/>
          <w:color w:val="auto"/>
          <w:sz w:val="32"/>
          <w:szCs w:val="32"/>
          <w:highlight w:val="none"/>
        </w:rPr>
        <w:t>有关职责分工。</w:t>
      </w:r>
    </w:p>
    <w:p w14:paraId="01A9A0BB">
      <w:pPr>
        <w:pStyle w:val="2"/>
        <w:keepNext w:val="0"/>
        <w:keepLines w:val="0"/>
        <w:pageBreakBefore w:val="0"/>
        <w:widowControl w:val="0"/>
        <w:shd w:val="clear" w:color="auto" w:fill="auto"/>
        <w:kinsoku/>
        <w:wordWrap/>
        <w:overflowPunct/>
        <w:topLinePunct w:val="0"/>
        <w:autoSpaceDE/>
        <w:autoSpaceDN/>
        <w:bidi w:val="0"/>
        <w:adjustRightInd w:val="0"/>
        <w:snapToGrid w:val="0"/>
        <w:spacing w:beforeLines="0" w:line="576" w:lineRule="exact"/>
        <w:ind w:left="0" w:leftChars="0" w:right="0" w:firstLine="628"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1.</w:t>
      </w:r>
      <w:r>
        <w:rPr>
          <w:rFonts w:hint="eastAsia" w:ascii="Times New Roman" w:hAnsi="Times New Roman"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外商投资管理。</w:t>
      </w:r>
      <w:r>
        <w:rPr>
          <w:rFonts w:hint="default" w:ascii="Times New Roman" w:hAnsi="Times New Roman" w:eastAsia="仿宋_GB2312" w:cs="Times New Roman"/>
          <w:bCs/>
          <w:color w:val="auto"/>
          <w:sz w:val="32"/>
          <w:szCs w:val="32"/>
          <w:highlight w:val="none"/>
        </w:rPr>
        <w:t>会同</w:t>
      </w:r>
      <w:r>
        <w:rPr>
          <w:rFonts w:hint="eastAsia" w:ascii="Times New Roman" w:cs="Times New Roman"/>
          <w:bCs/>
          <w:color w:val="auto"/>
          <w:sz w:val="32"/>
          <w:szCs w:val="32"/>
          <w:highlight w:val="none"/>
          <w:lang w:eastAsia="zh-CN"/>
        </w:rPr>
        <w:t>相关</w:t>
      </w:r>
      <w:r>
        <w:rPr>
          <w:rFonts w:hint="default" w:ascii="Times New Roman" w:hAnsi="Times New Roman" w:eastAsia="仿宋_GB2312" w:cs="Times New Roman"/>
          <w:bCs/>
          <w:color w:val="auto"/>
          <w:sz w:val="32"/>
          <w:szCs w:val="32"/>
          <w:highlight w:val="none"/>
        </w:rPr>
        <w:t>部门拟订上报《外商投资产业指导目录》和《中西部地区外商投资优势产业目录》的调整意见。市发展改革委按规定权限负责对外商投资企业投资项目进行核准、备案。市商务局按规定权限对广元经济开发区涉及国家规定实施准入特别管理措施的外商投资企业审批工作进行协调指导</w:t>
      </w:r>
      <w:r>
        <w:rPr>
          <w:rFonts w:hint="eastAsia" w:ascii="Times New Roman" w:cs="Times New Roman"/>
          <w:bCs/>
          <w:color w:val="auto"/>
          <w:sz w:val="32"/>
          <w:szCs w:val="32"/>
          <w:highlight w:val="none"/>
          <w:lang w:eastAsia="zh-CN"/>
        </w:rPr>
        <w:t>。</w:t>
      </w:r>
      <w:r>
        <w:rPr>
          <w:rFonts w:hint="eastAsia" w:ascii="Times New Roman" w:cs="Times New Roman"/>
          <w:bCs/>
          <w:color w:val="auto"/>
          <w:sz w:val="32"/>
          <w:szCs w:val="32"/>
          <w:highlight w:val="none"/>
          <w:lang w:val="en-US" w:eastAsia="zh-CN"/>
        </w:rPr>
        <w:t>我</w:t>
      </w:r>
      <w:r>
        <w:rPr>
          <w:rFonts w:hint="default" w:ascii="Times New Roman" w:hAnsi="Times New Roman" w:eastAsia="仿宋_GB2312" w:cs="Times New Roman"/>
          <w:bCs/>
          <w:color w:val="auto"/>
          <w:sz w:val="32"/>
          <w:szCs w:val="32"/>
          <w:highlight w:val="none"/>
        </w:rPr>
        <w:t>局按规定权限负责对外商投资企业设立及变更备案。</w:t>
      </w:r>
    </w:p>
    <w:p w14:paraId="7E6AA7F2">
      <w:pPr>
        <w:pStyle w:val="2"/>
        <w:keepNext w:val="0"/>
        <w:keepLines w:val="0"/>
        <w:pageBreakBefore w:val="0"/>
        <w:widowControl w:val="0"/>
        <w:shd w:val="clear" w:color="auto" w:fill="auto"/>
        <w:kinsoku/>
        <w:wordWrap/>
        <w:overflowPunct/>
        <w:topLinePunct w:val="0"/>
        <w:autoSpaceDE/>
        <w:autoSpaceDN/>
        <w:bidi w:val="0"/>
        <w:adjustRightInd w:val="0"/>
        <w:snapToGrid w:val="0"/>
        <w:spacing w:beforeLines="0" w:line="576" w:lineRule="exact"/>
        <w:ind w:left="0" w:leftChars="0" w:right="0" w:firstLine="628" w:firstLineChars="200"/>
        <w:jc w:val="both"/>
        <w:textAlignment w:val="auto"/>
        <w:outlineLvl w:val="9"/>
      </w:pPr>
      <w:r>
        <w:rPr>
          <w:rFonts w:hint="default" w:ascii="Times New Roman" w:hAnsi="Times New Roman" w:eastAsia="仿宋_GB2312" w:cs="Times New Roman"/>
          <w:b w:val="0"/>
          <w:bCs/>
          <w:color w:val="auto"/>
          <w:sz w:val="32"/>
          <w:szCs w:val="32"/>
          <w:highlight w:val="none"/>
          <w:lang w:val="en-US" w:eastAsia="zh-CN"/>
        </w:rPr>
        <w:t>2.</w:t>
      </w:r>
      <w:r>
        <w:rPr>
          <w:rFonts w:hint="eastAsia" w:ascii="Times New Roman" w:hAnsi="Times New Roman"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并购安全审查。</w:t>
      </w:r>
      <w:r>
        <w:rPr>
          <w:rFonts w:hint="default" w:ascii="Times New Roman" w:hAnsi="Times New Roman" w:eastAsia="仿宋_GB2312" w:cs="Times New Roman"/>
          <w:bCs/>
          <w:color w:val="auto"/>
          <w:sz w:val="32"/>
          <w:szCs w:val="32"/>
          <w:highlight w:val="none"/>
        </w:rPr>
        <w:t>市发展改革委、市商务局、市经济合作</w:t>
      </w:r>
      <w:r>
        <w:rPr>
          <w:rFonts w:hint="default" w:ascii="Times New Roman" w:hAnsi="Times New Roman" w:eastAsia="仿宋_GB2312" w:cs="Times New Roman"/>
          <w:bCs/>
          <w:color w:val="auto"/>
          <w:sz w:val="32"/>
          <w:szCs w:val="32"/>
          <w:highlight w:val="none"/>
          <w:lang w:eastAsia="zh-CN"/>
        </w:rPr>
        <w:t>和外事</w:t>
      </w:r>
      <w:r>
        <w:rPr>
          <w:rFonts w:hint="default" w:ascii="Times New Roman" w:hAnsi="Times New Roman" w:eastAsia="仿宋_GB2312" w:cs="Times New Roman"/>
          <w:bCs/>
          <w:color w:val="auto"/>
          <w:sz w:val="32"/>
          <w:szCs w:val="32"/>
          <w:highlight w:val="none"/>
        </w:rPr>
        <w:t>局按照各自职责，分别配合省发展改革委、省商委厅、省经济合作局开展外国投资者并购市内企业安全审查的相关工作。</w:t>
      </w:r>
    </w:p>
    <w:p w14:paraId="6830E6C1">
      <w:pPr>
        <w:pStyle w:val="4"/>
        <w:rPr>
          <w:rStyle w:val="23"/>
          <w:rFonts w:ascii="Times New Roman" w:hAnsi="Times New Roman"/>
          <w:b w:val="0"/>
          <w:bCs w:val="0"/>
        </w:rPr>
      </w:pPr>
      <w:bookmarkStart w:id="10" w:name="_Toc15396601"/>
      <w:bookmarkStart w:id="11" w:name="_Toc31777"/>
      <w:bookmarkStart w:id="12" w:name="_Toc15377200"/>
      <w:r>
        <w:rPr>
          <w:rFonts w:hint="eastAsia" w:ascii="Times New Roman" w:hAnsi="Times New Roman" w:eastAsia="黑体"/>
          <w:b w:val="0"/>
        </w:rPr>
        <w:t>二、机</w:t>
      </w:r>
      <w:r>
        <w:rPr>
          <w:rStyle w:val="23"/>
          <w:rFonts w:hint="eastAsia" w:ascii="Times New Roman" w:hAnsi="Times New Roman" w:eastAsia="黑体"/>
          <w:b w:val="0"/>
          <w:bCs w:val="0"/>
        </w:rPr>
        <w:t>构设置</w:t>
      </w:r>
      <w:bookmarkEnd w:id="10"/>
      <w:bookmarkEnd w:id="11"/>
      <w:bookmarkEnd w:id="12"/>
    </w:p>
    <w:p w14:paraId="178EFE93">
      <w:pPr>
        <w:pStyle w:val="2"/>
        <w:keepNext w:val="0"/>
        <w:keepLines w:val="0"/>
        <w:pageBreakBefore w:val="0"/>
        <w:widowControl w:val="0"/>
        <w:numPr>
          <w:ilvl w:val="0"/>
          <w:numId w:val="0"/>
        </w:numPr>
        <w:pBdr>
          <w:top w:val="none" w:color="auto" w:sz="0" w:space="1"/>
          <w:left w:val="none" w:color="auto" w:sz="0" w:space="4"/>
          <w:bottom w:val="none" w:color="FF0000" w:sz="0" w:space="1"/>
          <w:right w:val="none" w:color="auto" w:sz="0" w:space="4"/>
          <w:between w:val="none" w:color="auto" w:sz="0" w:space="0"/>
        </w:pBdr>
        <w:kinsoku/>
        <w:wordWrap/>
        <w:overflowPunct/>
        <w:topLinePunct w:val="0"/>
        <w:autoSpaceDE/>
        <w:autoSpaceDN/>
        <w:bidi w:val="0"/>
        <w:adjustRightInd w:val="0"/>
        <w:snapToGrid w:val="0"/>
        <w:spacing w:before="0" w:after="0" w:line="556" w:lineRule="exact"/>
        <w:ind w:left="0" w:leftChars="0" w:right="0" w:rightChars="0" w:firstLine="628" w:firstLineChars="200"/>
        <w:jc w:val="both"/>
        <w:textAlignment w:val="auto"/>
        <w:outlineLvl w:val="9"/>
        <w:rPr>
          <w:rFonts w:hint="default" w:ascii="宋体" w:hAnsi="宋体" w:eastAsia="楷体_GB2312" w:cs="Times New Roman"/>
          <w:b w:val="0"/>
          <w:bCs w:val="0"/>
          <w:color w:val="auto"/>
          <w:kern w:val="0"/>
          <w:sz w:val="32"/>
          <w:szCs w:val="32"/>
          <w:highlight w:val="none"/>
          <w:shd w:val="clear" w:color="auto" w:fill="FFFFFF"/>
          <w:lang w:val="zh-CN"/>
        </w:rPr>
        <w:sectPr>
          <w:footerReference r:id="rId9" w:type="default"/>
          <w:pgSz w:w="11907" w:h="16840"/>
          <w:pgMar w:top="2098" w:right="1474" w:bottom="1247" w:left="1587" w:header="851" w:footer="1247" w:gutter="0"/>
          <w:pgBorders>
            <w:top w:val="none" w:sz="0" w:space="0"/>
            <w:left w:val="none" w:sz="0" w:space="0"/>
            <w:bottom w:val="none" w:sz="0" w:space="0"/>
            <w:right w:val="none" w:sz="0" w:space="0"/>
          </w:pgBorders>
          <w:pgNumType w:fmt="decimal" w:start="1"/>
          <w:cols w:space="720" w:num="1"/>
          <w:rtlGutter w:val="0"/>
          <w:docGrid w:type="linesAndChars" w:linePitch="577" w:charSpace="-1259"/>
        </w:sectPr>
      </w:pPr>
      <w:r>
        <w:rPr>
          <w:rFonts w:hint="default" w:ascii="Times New Roman" w:hAnsi="Times New Roman" w:eastAsia="仿宋_GB2312" w:cs="Times New Roman"/>
          <w:color w:val="auto"/>
          <w:sz w:val="32"/>
          <w:szCs w:val="32"/>
          <w:highlight w:val="none"/>
          <w:lang w:eastAsia="zh-CN"/>
        </w:rPr>
        <w:t>广元市经济合作和外事局</w:t>
      </w:r>
      <w:r>
        <w:rPr>
          <w:rFonts w:hint="eastAsia" w:ascii="Times New Roman" w:hAnsi="Times New Roman" w:eastAsia="仿宋_GB2312" w:cs="Times New Roman"/>
          <w:color w:val="auto"/>
          <w:sz w:val="32"/>
          <w:szCs w:val="32"/>
          <w:highlight w:val="none"/>
          <w:lang w:eastAsia="zh-CN"/>
        </w:rPr>
        <w:t>为行政机关，</w:t>
      </w:r>
      <w:r>
        <w:rPr>
          <w:rFonts w:hint="eastAsia" w:ascii="Times New Roman" w:cs="Times New Roman"/>
          <w:color w:val="auto"/>
          <w:sz w:val="32"/>
          <w:szCs w:val="32"/>
          <w:highlight w:val="none"/>
          <w:lang w:eastAsia="zh-CN"/>
        </w:rPr>
        <w:t>一级预算单位，无二级预算单位。</w:t>
      </w:r>
      <w:r>
        <w:rPr>
          <w:rFonts w:hint="default" w:ascii="宋体" w:hAnsi="宋体" w:eastAsia="仿宋_GB2312" w:cs="仿宋_GB2312"/>
          <w:b w:val="0"/>
          <w:bCs w:val="0"/>
          <w:color w:val="auto"/>
          <w:kern w:val="0"/>
          <w:position w:val="0"/>
          <w:sz w:val="32"/>
          <w:szCs w:val="32"/>
          <w:highlight w:val="none"/>
          <w:lang w:val="zh-CN" w:eastAsia="zh-CN" w:bidi="ar-SA"/>
        </w:rPr>
        <w:t>设办公室、投资促进一科、投资促进二科、投资促进三科、区域合作科、国际合作科（外资管理科）、项目管理科、外事和港澳科、人事科9个科室</w:t>
      </w:r>
      <w:r>
        <w:rPr>
          <w:rFonts w:hint="eastAsia" w:ascii="宋体" w:hAnsi="宋体" w:cs="仿宋_GB2312"/>
          <w:b w:val="0"/>
          <w:bCs w:val="0"/>
          <w:color w:val="auto"/>
          <w:kern w:val="0"/>
          <w:position w:val="0"/>
          <w:sz w:val="32"/>
          <w:szCs w:val="32"/>
          <w:highlight w:val="none"/>
          <w:lang w:val="zh-CN" w:eastAsia="zh-CN" w:bidi="ar-SA"/>
        </w:rPr>
        <w:t>；设市委议事协调机构机构</w:t>
      </w:r>
      <w:r>
        <w:rPr>
          <w:rFonts w:hint="eastAsia" w:ascii="宋体" w:hAnsi="宋体" w:cs="仿宋_GB2312"/>
          <w:b w:val="0"/>
          <w:bCs w:val="0"/>
          <w:color w:val="auto"/>
          <w:kern w:val="0"/>
          <w:position w:val="0"/>
          <w:sz w:val="32"/>
          <w:szCs w:val="32"/>
          <w:highlight w:val="none"/>
          <w:lang w:val="en-US" w:eastAsia="zh-CN" w:bidi="ar-SA"/>
        </w:rPr>
        <w:t>1个（市委外办秘书科）</w:t>
      </w:r>
      <w:r>
        <w:rPr>
          <w:rFonts w:hint="default" w:ascii="宋体" w:hAnsi="宋体" w:eastAsia="仿宋_GB2312" w:cs="仿宋_GB2312"/>
          <w:b w:val="0"/>
          <w:bCs w:val="0"/>
          <w:color w:val="auto"/>
          <w:kern w:val="0"/>
          <w:position w:val="0"/>
          <w:sz w:val="32"/>
          <w:szCs w:val="32"/>
          <w:highlight w:val="none"/>
          <w:lang w:val="zh-CN" w:eastAsia="zh-CN" w:bidi="ar-SA"/>
        </w:rPr>
        <w:t>；下设其他事业单位9个</w:t>
      </w:r>
      <w:r>
        <w:rPr>
          <w:rFonts w:hint="eastAsia" w:ascii="宋体" w:hAnsi="宋体" w:cs="仿宋_GB2312"/>
          <w:b w:val="0"/>
          <w:bCs w:val="0"/>
          <w:color w:val="auto"/>
          <w:kern w:val="0"/>
          <w:position w:val="0"/>
          <w:sz w:val="32"/>
          <w:szCs w:val="32"/>
          <w:highlight w:val="none"/>
          <w:lang w:val="zh-CN" w:eastAsia="zh-CN" w:bidi="ar-SA"/>
        </w:rPr>
        <w:t>（未独立核算）</w:t>
      </w:r>
      <w:r>
        <w:rPr>
          <w:rFonts w:hint="default" w:ascii="宋体" w:hAnsi="宋体" w:eastAsia="仿宋_GB2312" w:cs="仿宋_GB2312"/>
          <w:b w:val="0"/>
          <w:bCs w:val="0"/>
          <w:color w:val="auto"/>
          <w:kern w:val="0"/>
          <w:position w:val="0"/>
          <w:sz w:val="32"/>
          <w:szCs w:val="32"/>
          <w:highlight w:val="none"/>
          <w:lang w:val="zh-CN" w:eastAsia="zh-CN" w:bidi="ar-SA"/>
        </w:rPr>
        <w:t>：市经济合作服务中心、市招商中心、市外事和港澳服务中心、市人民对外友好协会机关、市驻广东经合中心、市驻浙江经合中心、市驻福建经合中心、市驻山东经合中心、市驻重庆经合中心</w:t>
      </w:r>
    </w:p>
    <w:p w14:paraId="28CA712D">
      <w:pPr>
        <w:widowControl/>
        <w:jc w:val="left"/>
        <w:rPr>
          <w:rFonts w:eastAsia="仿宋"/>
          <w:kern w:val="0"/>
          <w:sz w:val="32"/>
          <w:szCs w:val="32"/>
        </w:rPr>
      </w:pPr>
    </w:p>
    <w:p w14:paraId="2B22C643">
      <w:pPr>
        <w:pStyle w:val="3"/>
        <w:jc w:val="center"/>
      </w:pPr>
      <w:bookmarkStart w:id="13" w:name="_Toc15396602"/>
      <w:bookmarkStart w:id="14" w:name="_Toc24069"/>
      <w:bookmarkStart w:id="15" w:name="_Toc15377204"/>
      <w:r>
        <w:rPr>
          <w:rFonts w:hint="eastAsia" w:eastAsia="方正小标宋简体" w:cs="方正小标宋简体"/>
          <w:b w:val="0"/>
        </w:rPr>
        <w:t>第二部分2024年度部门决算情况说明</w:t>
      </w:r>
      <w:bookmarkEnd w:id="13"/>
      <w:bookmarkEnd w:id="14"/>
      <w:bookmarkEnd w:id="15"/>
    </w:p>
    <w:p w14:paraId="04977EC2">
      <w:pPr>
        <w:pStyle w:val="33"/>
        <w:spacing w:line="600" w:lineRule="exact"/>
        <w:ind w:firstLine="640"/>
        <w:outlineLvl w:val="1"/>
        <w:rPr>
          <w:rStyle w:val="23"/>
          <w:rFonts w:ascii="Times New Roman" w:hAnsi="Times New Roman" w:eastAsia="黑体"/>
          <w:b w:val="0"/>
        </w:rPr>
      </w:pPr>
      <w:bookmarkStart w:id="16" w:name="_Toc26308"/>
      <w:bookmarkStart w:id="17" w:name="_Toc15377205"/>
      <w:bookmarkStart w:id="18" w:name="_Toc15396603"/>
      <w:r>
        <w:rPr>
          <w:rFonts w:hint="eastAsia" w:eastAsia="黑体"/>
          <w:sz w:val="32"/>
          <w:szCs w:val="32"/>
        </w:rPr>
        <w:t>一、收</w:t>
      </w:r>
      <w:r>
        <w:rPr>
          <w:rStyle w:val="23"/>
          <w:rFonts w:hint="eastAsia" w:ascii="Times New Roman" w:hAnsi="Times New Roman" w:eastAsia="黑体"/>
          <w:b w:val="0"/>
        </w:rPr>
        <w:t>入支出决算总体情况说明</w:t>
      </w:r>
      <w:bookmarkEnd w:id="16"/>
      <w:bookmarkEnd w:id="17"/>
      <w:bookmarkEnd w:id="18"/>
    </w:p>
    <w:p w14:paraId="2704DC78">
      <w:pPr>
        <w:pStyle w:val="33"/>
        <w:spacing w:line="600" w:lineRule="exact"/>
        <w:ind w:firstLine="640"/>
        <w:outlineLvl w:val="1"/>
        <w:rPr>
          <w:rFonts w:hint="eastAsia" w:eastAsia="仿宋_GB2312" w:cs="仿宋_GB2312"/>
          <w:sz w:val="32"/>
          <w:szCs w:val="32"/>
          <w:lang w:val="en-US" w:eastAsia="zh-CN"/>
        </w:rPr>
      </w:pPr>
      <w:bookmarkStart w:id="19" w:name="_Toc18291"/>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1846.67</w:t>
      </w:r>
      <w:r>
        <w:rPr>
          <w:rFonts w:hint="eastAsia" w:eastAsia="仿宋_GB2312" w:cs="仿宋_GB2312"/>
          <w:sz w:val="32"/>
          <w:szCs w:val="32"/>
        </w:rPr>
        <w:t>万元。与2023年度相比，收入、支出总计各减少</w:t>
      </w:r>
      <w:r>
        <w:rPr>
          <w:rFonts w:hint="eastAsia" w:eastAsia="仿宋_GB2312" w:cs="仿宋_GB2312"/>
          <w:sz w:val="32"/>
          <w:szCs w:val="32"/>
          <w:lang w:val="en-US" w:eastAsia="zh-CN"/>
        </w:rPr>
        <w:t>570.65</w:t>
      </w:r>
      <w:r>
        <w:rPr>
          <w:rFonts w:hint="eastAsia" w:eastAsia="仿宋_GB2312" w:cs="仿宋_GB2312"/>
          <w:sz w:val="32"/>
          <w:szCs w:val="32"/>
        </w:rPr>
        <w:t>万元，下降</w:t>
      </w:r>
      <w:r>
        <w:rPr>
          <w:rFonts w:hint="eastAsia" w:eastAsia="仿宋_GB2312" w:cs="仿宋_GB2312"/>
          <w:sz w:val="32"/>
          <w:szCs w:val="32"/>
          <w:lang w:val="en-US" w:eastAsia="zh-CN"/>
        </w:rPr>
        <w:t>23.61</w:t>
      </w:r>
      <w:r>
        <w:rPr>
          <w:rFonts w:hint="eastAsia" w:eastAsia="仿宋_GB2312" w:cs="仿宋_GB2312"/>
          <w:sz w:val="32"/>
          <w:szCs w:val="32"/>
        </w:rPr>
        <w:t>%。主要变动原因是</w:t>
      </w:r>
      <w:r>
        <w:rPr>
          <w:rFonts w:hint="eastAsia" w:eastAsia="仿宋_GB2312" w:cs="仿宋_GB2312"/>
          <w:sz w:val="32"/>
          <w:szCs w:val="32"/>
          <w:lang w:val="en-US" w:eastAsia="zh-CN"/>
        </w:rPr>
        <w:t>2024年期间平台活动开展较上年减少，费用支出减少。</w:t>
      </w:r>
      <w:bookmarkEnd w:id="19"/>
    </w:p>
    <w:p w14:paraId="0BDDE742">
      <w:pPr>
        <w:pStyle w:val="33"/>
        <w:spacing w:line="600" w:lineRule="exact"/>
        <w:ind w:firstLine="640"/>
        <w:outlineLvl w:val="1"/>
        <w:rPr>
          <w:rFonts w:hint="eastAsia" w:eastAsia="仿宋_GB2312" w:cs="仿宋_GB2312"/>
          <w:sz w:val="32"/>
          <w:szCs w:val="32"/>
          <w:lang w:val="en-US" w:eastAsia="zh-CN"/>
        </w:rPr>
      </w:pPr>
    </w:p>
    <w:p w14:paraId="25AC9242">
      <w:pPr>
        <w:pStyle w:val="33"/>
        <w:spacing w:line="600" w:lineRule="exact"/>
        <w:ind w:firstLine="640"/>
        <w:outlineLvl w:val="1"/>
        <w:rPr>
          <w:rFonts w:hint="eastAsia" w:eastAsia="仿宋_GB2312" w:cs="仿宋_GB2312"/>
          <w:sz w:val="32"/>
          <w:szCs w:val="32"/>
          <w:lang w:val="en-US" w:eastAsia="zh-CN"/>
        </w:rPr>
      </w:pPr>
    </w:p>
    <w:p w14:paraId="453D57BE">
      <w:pPr>
        <w:pStyle w:val="33"/>
        <w:spacing w:line="600" w:lineRule="exact"/>
        <w:ind w:firstLine="640"/>
        <w:outlineLvl w:val="1"/>
        <w:rPr>
          <w:rFonts w:hint="eastAsia" w:eastAsia="仿宋_GB2312" w:cs="仿宋_GB2312"/>
          <w:sz w:val="32"/>
          <w:szCs w:val="32"/>
          <w:lang w:val="en-US" w:eastAsia="zh-CN"/>
        </w:rPr>
      </w:pPr>
    </w:p>
    <w:p w14:paraId="3B5CF516">
      <w:pPr>
        <w:pStyle w:val="33"/>
        <w:spacing w:line="600" w:lineRule="exact"/>
        <w:ind w:firstLine="640"/>
        <w:outlineLvl w:val="1"/>
        <w:rPr>
          <w:rFonts w:hint="eastAsia" w:eastAsia="仿宋_GB2312" w:cs="仿宋_GB2312"/>
          <w:sz w:val="32"/>
          <w:szCs w:val="32"/>
          <w:lang w:val="en-US" w:eastAsia="zh-CN"/>
        </w:rPr>
      </w:pPr>
    </w:p>
    <w:p w14:paraId="4D2998C4">
      <w:pPr>
        <w:pStyle w:val="33"/>
        <w:spacing w:line="600" w:lineRule="exact"/>
        <w:ind w:firstLine="640"/>
        <w:outlineLvl w:val="1"/>
        <w:rPr>
          <w:rFonts w:hint="eastAsia" w:eastAsia="仿宋_GB2312" w:cs="仿宋_GB2312"/>
          <w:sz w:val="32"/>
          <w:szCs w:val="32"/>
          <w:lang w:val="en-US" w:eastAsia="zh-CN"/>
        </w:rPr>
      </w:pPr>
    </w:p>
    <w:p w14:paraId="0FAEE090">
      <w:pPr>
        <w:pStyle w:val="33"/>
        <w:spacing w:line="600" w:lineRule="exact"/>
        <w:ind w:firstLine="640"/>
        <w:outlineLvl w:val="1"/>
      </w:pPr>
    </w:p>
    <w:p w14:paraId="3D6CEC05">
      <w:pPr>
        <w:pStyle w:val="33"/>
        <w:spacing w:line="600" w:lineRule="exact"/>
        <w:ind w:firstLine="640"/>
        <w:outlineLvl w:val="1"/>
      </w:pPr>
    </w:p>
    <w:p w14:paraId="64399A42">
      <w:pPr>
        <w:pStyle w:val="33"/>
        <w:spacing w:line="600" w:lineRule="exact"/>
        <w:ind w:firstLine="640"/>
        <w:outlineLvl w:val="1"/>
        <w:rPr>
          <w:rFonts w:hint="default"/>
          <w:lang w:val="en-US" w:eastAsia="zh-CN"/>
        </w:rPr>
      </w:pPr>
      <w:r>
        <w:drawing>
          <wp:anchor distT="0" distB="0" distL="114300" distR="114300" simplePos="0" relativeHeight="251660288" behindDoc="1" locked="0" layoutInCell="1" allowOverlap="1">
            <wp:simplePos x="0" y="0"/>
            <wp:positionH relativeFrom="column">
              <wp:posOffset>263525</wp:posOffset>
            </wp:positionH>
            <wp:positionV relativeFrom="paragraph">
              <wp:posOffset>-2453005</wp:posOffset>
            </wp:positionV>
            <wp:extent cx="4826000" cy="2743200"/>
            <wp:effectExtent l="4445" t="4445" r="8255" b="14605"/>
            <wp:wrapThrough wrapText="bothSides">
              <wp:wrapPolygon>
                <wp:start x="-20" y="-35"/>
                <wp:lineTo x="-20" y="21565"/>
                <wp:lineTo x="21552" y="21565"/>
                <wp:lineTo x="21552" y="-35"/>
                <wp:lineTo x="-20" y="-35"/>
              </wp:wrapPolygon>
            </wp:wrapThrough>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3DC497E0">
      <w:pPr>
        <w:ind w:firstLine="1256" w:firstLineChars="400"/>
        <w:rPr>
          <w:rFonts w:eastAsia="仿宋_GB2312" w:cs="仿宋_GB2312"/>
          <w:sz w:val="32"/>
          <w:szCs w:val="32"/>
        </w:rPr>
      </w:pPr>
      <w:r>
        <w:rPr>
          <w:rFonts w:hint="eastAsia" w:eastAsia="仿宋_GB2312" w:cs="仿宋_GB2312"/>
          <w:sz w:val="32"/>
          <w:szCs w:val="32"/>
        </w:rPr>
        <w:t>（图1：收入、支出决算总计变动情况图）</w:t>
      </w:r>
    </w:p>
    <w:p w14:paraId="6EE0D200">
      <w:pPr>
        <w:ind w:firstLine="628" w:firstLineChars="200"/>
        <w:rPr>
          <w:rFonts w:eastAsia="仿宋_GB2312" w:cs="仿宋_GB2312"/>
          <w:sz w:val="32"/>
          <w:szCs w:val="32"/>
        </w:rPr>
      </w:pPr>
    </w:p>
    <w:p w14:paraId="22BF7F00">
      <w:pPr>
        <w:pStyle w:val="33"/>
        <w:spacing w:line="600" w:lineRule="exact"/>
        <w:ind w:firstLine="640"/>
        <w:outlineLvl w:val="1"/>
        <w:rPr>
          <w:rFonts w:eastAsia="黑体"/>
          <w:sz w:val="32"/>
          <w:szCs w:val="32"/>
        </w:rPr>
      </w:pPr>
      <w:bookmarkStart w:id="20" w:name="_Toc5098"/>
      <w:bookmarkStart w:id="21" w:name="_Toc15396604"/>
      <w:bookmarkStart w:id="22" w:name="_Toc15377206"/>
      <w:r>
        <w:rPr>
          <w:rFonts w:hint="eastAsia" w:eastAsia="黑体"/>
          <w:sz w:val="32"/>
          <w:szCs w:val="32"/>
        </w:rPr>
        <w:t>二、收入决算情况说明</w:t>
      </w:r>
      <w:bookmarkEnd w:id="20"/>
      <w:bookmarkEnd w:id="21"/>
      <w:bookmarkEnd w:id="22"/>
    </w:p>
    <w:p w14:paraId="7C260349">
      <w:pPr>
        <w:pStyle w:val="33"/>
        <w:spacing w:line="600" w:lineRule="exact"/>
        <w:ind w:firstLine="640"/>
        <w:jc w:val="left"/>
        <w:outlineLvl w:val="1"/>
        <w:rPr>
          <w:rFonts w:hint="eastAsia" w:ascii="仿宋_GB2312" w:hAnsi="仿宋_GB2312" w:eastAsia="仿宋_GB2312" w:cs="仿宋_GB2312"/>
          <w:sz w:val="32"/>
          <w:szCs w:val="32"/>
        </w:rPr>
      </w:pPr>
      <w:bookmarkStart w:id="23" w:name="_Toc4665"/>
      <w:r>
        <w:rPr>
          <w:rFonts w:hint="eastAsia" w:ascii="仿宋_GB2312" w:hAnsi="仿宋_GB2312" w:eastAsia="仿宋_GB2312" w:cs="仿宋_GB2312"/>
          <w:sz w:val="32"/>
          <w:szCs w:val="32"/>
        </w:rPr>
        <w:t>2024年度本年收入合计1704.18万元，其中：一般公共预算财政拨款收入1704.18万元，占100%。</w:t>
      </w:r>
      <w:bookmarkEnd w:id="23"/>
    </w:p>
    <w:p w14:paraId="74976EED">
      <w:pPr>
        <w:pStyle w:val="33"/>
        <w:spacing w:line="600" w:lineRule="exact"/>
        <w:ind w:firstLine="640"/>
        <w:jc w:val="left"/>
        <w:outlineLvl w:val="1"/>
        <w:rPr>
          <w:rFonts w:hint="eastAsia" w:ascii="仿宋_GB2312" w:hAnsi="仿宋_GB2312" w:eastAsia="仿宋_GB2312" w:cs="仿宋_GB2312"/>
          <w:sz w:val="32"/>
          <w:szCs w:val="32"/>
        </w:rPr>
      </w:pPr>
    </w:p>
    <w:p w14:paraId="06080DF8">
      <w:pPr>
        <w:ind w:firstLine="785" w:firstLineChars="250"/>
        <w:rPr>
          <w:rFonts w:hint="eastAsia" w:eastAsia="仿宋_GB2312" w:cs="仿宋_GB2312"/>
          <w:sz w:val="32"/>
          <w:szCs w:val="32"/>
        </w:rPr>
      </w:pPr>
    </w:p>
    <w:p w14:paraId="468EC519">
      <w:pPr>
        <w:ind w:firstLine="510" w:firstLineChars="250"/>
        <w:rPr>
          <w:rFonts w:hint="eastAsia" w:eastAsia="仿宋_GB2312" w:cs="仿宋_GB2312"/>
          <w:sz w:val="32"/>
          <w:szCs w:val="32"/>
        </w:rPr>
      </w:pPr>
      <w:r>
        <w:drawing>
          <wp:inline distT="0" distB="0" distL="114300" distR="114300">
            <wp:extent cx="4819650" cy="2743200"/>
            <wp:effectExtent l="4445" t="4445" r="14605" b="1460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B0533B">
      <w:pPr>
        <w:ind w:firstLine="2041" w:firstLineChars="650"/>
        <w:rPr>
          <w:rFonts w:eastAsia="仿宋_GB2312" w:cs="仿宋_GB2312"/>
          <w:sz w:val="32"/>
          <w:szCs w:val="32"/>
        </w:rPr>
      </w:pPr>
      <w:r>
        <w:rPr>
          <w:rFonts w:hint="eastAsia" w:eastAsia="仿宋_GB2312" w:cs="仿宋_GB2312"/>
          <w:sz w:val="32"/>
          <w:szCs w:val="32"/>
        </w:rPr>
        <w:t>（图2：收入决算结构图）</w:t>
      </w:r>
    </w:p>
    <w:p w14:paraId="7AFE7B7A">
      <w:pPr>
        <w:pStyle w:val="33"/>
        <w:spacing w:line="600" w:lineRule="exact"/>
        <w:ind w:firstLine="640"/>
        <w:outlineLvl w:val="1"/>
        <w:rPr>
          <w:rStyle w:val="23"/>
          <w:rFonts w:ascii="Times New Roman" w:hAnsi="Times New Roman" w:eastAsia="黑体"/>
          <w:b w:val="0"/>
        </w:rPr>
      </w:pPr>
      <w:bookmarkStart w:id="24" w:name="_Toc15377207"/>
      <w:bookmarkStart w:id="25" w:name="_Toc15396605"/>
      <w:bookmarkStart w:id="26" w:name="_Toc20712"/>
      <w:r>
        <w:rPr>
          <w:rFonts w:hint="eastAsia" w:eastAsia="黑体"/>
          <w:sz w:val="32"/>
          <w:szCs w:val="32"/>
        </w:rPr>
        <w:t>三、支</w:t>
      </w:r>
      <w:r>
        <w:rPr>
          <w:rStyle w:val="23"/>
          <w:rFonts w:hint="eastAsia" w:ascii="Times New Roman" w:hAnsi="Times New Roman" w:eastAsia="黑体"/>
          <w:b w:val="0"/>
        </w:rPr>
        <w:t>出决算情况说明</w:t>
      </w:r>
      <w:bookmarkEnd w:id="24"/>
      <w:bookmarkEnd w:id="25"/>
      <w:bookmarkEnd w:id="26"/>
    </w:p>
    <w:p w14:paraId="3DFCAB4F">
      <w:pPr>
        <w:pStyle w:val="33"/>
        <w:spacing w:line="600" w:lineRule="exact"/>
        <w:ind w:firstLine="640"/>
        <w:jc w:val="left"/>
        <w:outlineLvl w:val="1"/>
        <w:rPr>
          <w:rFonts w:hint="eastAsia" w:ascii="仿宋_GB2312" w:hAnsi="仿宋_GB2312" w:eastAsia="仿宋_GB2312" w:cs="仿宋_GB2312"/>
          <w:sz w:val="32"/>
          <w:szCs w:val="32"/>
        </w:rPr>
      </w:pPr>
      <w:bookmarkStart w:id="27" w:name="_Toc18549"/>
      <w:r>
        <w:rPr>
          <w:rFonts w:hint="eastAsia" w:ascii="仿宋_GB2312" w:hAnsi="仿宋_GB2312" w:eastAsia="仿宋_GB2312" w:cs="仿宋_GB2312"/>
          <w:sz w:val="32"/>
          <w:szCs w:val="32"/>
        </w:rPr>
        <w:t>2024年度本年支出合计1798.57万元，其中：基本支出1083.87万元，占60.26%；项目支出714.7万元，占39.73%。</w:t>
      </w:r>
      <w:bookmarkEnd w:id="27"/>
    </w:p>
    <w:p w14:paraId="74A0DAD0">
      <w:pPr>
        <w:pStyle w:val="33"/>
        <w:spacing w:line="600" w:lineRule="exact"/>
        <w:ind w:firstLine="640"/>
        <w:jc w:val="left"/>
        <w:outlineLvl w:val="1"/>
        <w:rPr>
          <w:rFonts w:hint="eastAsia" w:ascii="仿宋_GB2312" w:hAnsi="仿宋_GB2312" w:eastAsia="仿宋_GB2312" w:cs="仿宋_GB2312"/>
          <w:sz w:val="32"/>
          <w:szCs w:val="32"/>
        </w:rPr>
      </w:pPr>
      <w:r>
        <w:drawing>
          <wp:anchor distT="0" distB="0" distL="114300" distR="114300" simplePos="0" relativeHeight="251661312" behindDoc="1" locked="0" layoutInCell="1" allowOverlap="1">
            <wp:simplePos x="0" y="0"/>
            <wp:positionH relativeFrom="column">
              <wp:posOffset>419100</wp:posOffset>
            </wp:positionH>
            <wp:positionV relativeFrom="paragraph">
              <wp:posOffset>118110</wp:posOffset>
            </wp:positionV>
            <wp:extent cx="4826000" cy="2743200"/>
            <wp:effectExtent l="4445" t="4445" r="8255" b="14605"/>
            <wp:wrapTight wrapText="bothSides">
              <wp:wrapPolygon>
                <wp:start x="-20" y="-35"/>
                <wp:lineTo x="-20" y="21565"/>
                <wp:lineTo x="21552" y="21565"/>
                <wp:lineTo x="21552" y="-35"/>
                <wp:lineTo x="-20" y="-35"/>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18DF711F">
      <w:pPr>
        <w:pStyle w:val="33"/>
        <w:spacing w:line="600" w:lineRule="exact"/>
        <w:ind w:firstLine="640"/>
        <w:jc w:val="left"/>
        <w:outlineLvl w:val="1"/>
        <w:rPr>
          <w:rFonts w:hint="eastAsia" w:ascii="仿宋_GB2312" w:hAnsi="仿宋_GB2312" w:eastAsia="仿宋_GB2312" w:cs="仿宋_GB2312"/>
          <w:sz w:val="32"/>
          <w:szCs w:val="32"/>
        </w:rPr>
      </w:pPr>
    </w:p>
    <w:p w14:paraId="2EB46405">
      <w:pPr>
        <w:pStyle w:val="33"/>
        <w:spacing w:line="600" w:lineRule="exact"/>
        <w:ind w:firstLine="640"/>
        <w:jc w:val="left"/>
        <w:outlineLvl w:val="1"/>
        <w:rPr>
          <w:rFonts w:hint="eastAsia" w:ascii="仿宋_GB2312" w:hAnsi="仿宋_GB2312" w:eastAsia="仿宋_GB2312" w:cs="仿宋_GB2312"/>
          <w:sz w:val="32"/>
          <w:szCs w:val="32"/>
        </w:rPr>
      </w:pPr>
    </w:p>
    <w:p w14:paraId="615E8823">
      <w:pPr>
        <w:pStyle w:val="33"/>
        <w:spacing w:line="600" w:lineRule="exact"/>
        <w:ind w:firstLine="640"/>
        <w:jc w:val="left"/>
        <w:outlineLvl w:val="1"/>
        <w:rPr>
          <w:rFonts w:hint="eastAsia" w:ascii="仿宋_GB2312" w:hAnsi="仿宋_GB2312" w:eastAsia="仿宋_GB2312" w:cs="仿宋_GB2312"/>
          <w:sz w:val="32"/>
          <w:szCs w:val="32"/>
        </w:rPr>
      </w:pPr>
    </w:p>
    <w:p w14:paraId="7A95E2D9">
      <w:pPr>
        <w:pStyle w:val="33"/>
        <w:spacing w:line="600" w:lineRule="exact"/>
        <w:ind w:firstLine="640"/>
        <w:jc w:val="left"/>
        <w:outlineLvl w:val="1"/>
        <w:rPr>
          <w:rFonts w:hint="eastAsia" w:ascii="仿宋_GB2312" w:hAnsi="仿宋_GB2312" w:eastAsia="仿宋_GB2312" w:cs="仿宋_GB2312"/>
          <w:sz w:val="32"/>
          <w:szCs w:val="32"/>
        </w:rPr>
      </w:pPr>
    </w:p>
    <w:p w14:paraId="376FA5EC">
      <w:pPr>
        <w:pStyle w:val="33"/>
        <w:spacing w:line="600" w:lineRule="exact"/>
        <w:ind w:firstLine="640"/>
        <w:jc w:val="left"/>
        <w:outlineLvl w:val="1"/>
        <w:rPr>
          <w:rFonts w:hint="eastAsia" w:ascii="仿宋_GB2312" w:hAnsi="仿宋_GB2312" w:eastAsia="仿宋_GB2312" w:cs="仿宋_GB2312"/>
          <w:sz w:val="32"/>
          <w:szCs w:val="32"/>
        </w:rPr>
      </w:pPr>
    </w:p>
    <w:p w14:paraId="143E8876">
      <w:pPr>
        <w:pStyle w:val="33"/>
        <w:spacing w:line="600" w:lineRule="exact"/>
        <w:ind w:firstLine="640"/>
        <w:jc w:val="left"/>
        <w:outlineLvl w:val="1"/>
        <w:rPr>
          <w:rFonts w:hint="eastAsia" w:ascii="仿宋_GB2312" w:hAnsi="仿宋_GB2312" w:eastAsia="仿宋_GB2312" w:cs="仿宋_GB2312"/>
          <w:sz w:val="32"/>
          <w:szCs w:val="32"/>
        </w:rPr>
      </w:pPr>
    </w:p>
    <w:p w14:paraId="34D0C215">
      <w:pPr>
        <w:ind w:firstLine="2669" w:firstLineChars="850"/>
        <w:rPr>
          <w:rFonts w:eastAsia="仿宋_GB2312" w:cs="仿宋_GB2312"/>
          <w:sz w:val="32"/>
          <w:szCs w:val="32"/>
        </w:rPr>
      </w:pPr>
      <w:r>
        <w:rPr>
          <w:rFonts w:hint="eastAsia" w:eastAsia="仿宋_GB2312" w:cs="仿宋_GB2312"/>
          <w:sz w:val="32"/>
          <w:szCs w:val="32"/>
        </w:rPr>
        <w:t>（图3：支出决算结构图）</w:t>
      </w:r>
    </w:p>
    <w:p w14:paraId="68AC2838">
      <w:pPr>
        <w:spacing w:line="600" w:lineRule="exact"/>
        <w:ind w:firstLine="628" w:firstLineChars="200"/>
        <w:outlineLvl w:val="1"/>
        <w:rPr>
          <w:rStyle w:val="23"/>
          <w:rFonts w:ascii="Times New Roman" w:hAnsi="Times New Roman" w:eastAsia="黑体"/>
          <w:b w:val="0"/>
        </w:rPr>
      </w:pPr>
      <w:bookmarkStart w:id="28" w:name="_Toc15377208"/>
      <w:bookmarkStart w:id="29" w:name="_Toc26154"/>
      <w:bookmarkStart w:id="30" w:name="_Toc15396606"/>
      <w:r>
        <w:rPr>
          <w:rFonts w:hint="eastAsia" w:eastAsia="黑体"/>
          <w:sz w:val="32"/>
          <w:szCs w:val="32"/>
        </w:rPr>
        <w:t>四、财</w:t>
      </w:r>
      <w:r>
        <w:rPr>
          <w:rStyle w:val="23"/>
          <w:rFonts w:hint="eastAsia" w:ascii="Times New Roman" w:hAnsi="Times New Roman" w:eastAsia="黑体"/>
          <w:b w:val="0"/>
        </w:rPr>
        <w:t>政拨款收入支出决算总体情况说明</w:t>
      </w:r>
      <w:bookmarkEnd w:id="28"/>
      <w:bookmarkEnd w:id="29"/>
      <w:bookmarkEnd w:id="30"/>
    </w:p>
    <w:p w14:paraId="43D36C13">
      <w:pPr>
        <w:pStyle w:val="33"/>
        <w:spacing w:line="600" w:lineRule="exact"/>
        <w:ind w:firstLine="640"/>
        <w:outlineLvl w:val="1"/>
        <w:rPr>
          <w:rFonts w:hint="default" w:eastAsia="仿宋_GB2312" w:cs="仿宋_GB2312"/>
          <w:sz w:val="32"/>
          <w:szCs w:val="32"/>
          <w:lang w:val="en-US" w:eastAsia="zh-CN"/>
        </w:rPr>
      </w:pPr>
      <w:bookmarkStart w:id="31" w:name="_Toc28760"/>
      <w:r>
        <w:drawing>
          <wp:anchor distT="0" distB="0" distL="114300" distR="114300" simplePos="0" relativeHeight="251662336" behindDoc="1" locked="0" layoutInCell="1" allowOverlap="1">
            <wp:simplePos x="0" y="0"/>
            <wp:positionH relativeFrom="column">
              <wp:posOffset>485775</wp:posOffset>
            </wp:positionH>
            <wp:positionV relativeFrom="paragraph">
              <wp:posOffset>1884680</wp:posOffset>
            </wp:positionV>
            <wp:extent cx="4826000" cy="2743200"/>
            <wp:effectExtent l="4445" t="4445" r="8255" b="14605"/>
            <wp:wrapThrough wrapText="bothSides">
              <wp:wrapPolygon>
                <wp:start x="-20" y="-35"/>
                <wp:lineTo x="-20" y="21565"/>
                <wp:lineTo x="21552" y="21565"/>
                <wp:lineTo x="21552" y="-35"/>
                <wp:lineTo x="-20" y="-35"/>
              </wp:wrapPolygon>
            </wp:wrapThrough>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1846.67</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570.65</w:t>
      </w:r>
      <w:r>
        <w:rPr>
          <w:rFonts w:hint="eastAsia" w:eastAsia="仿宋_GB2312" w:cs="仿宋_GB2312"/>
          <w:sz w:val="32"/>
          <w:szCs w:val="32"/>
        </w:rPr>
        <w:t>万元，下降</w:t>
      </w:r>
      <w:r>
        <w:rPr>
          <w:rFonts w:hint="eastAsia" w:eastAsia="仿宋_GB2312" w:cs="仿宋_GB2312"/>
          <w:sz w:val="32"/>
          <w:szCs w:val="32"/>
          <w:lang w:val="en-US" w:eastAsia="zh-CN"/>
        </w:rPr>
        <w:t>23.61</w:t>
      </w:r>
      <w:r>
        <w:rPr>
          <w:rFonts w:hint="eastAsia" w:eastAsia="仿宋_GB2312" w:cs="仿宋_GB2312"/>
          <w:sz w:val="32"/>
          <w:szCs w:val="32"/>
        </w:rPr>
        <w:t>%。主要变动原因是</w:t>
      </w:r>
      <w:r>
        <w:rPr>
          <w:rFonts w:hint="eastAsia" w:eastAsia="仿宋_GB2312" w:cs="仿宋_GB2312"/>
          <w:sz w:val="32"/>
          <w:szCs w:val="32"/>
          <w:lang w:val="en-US" w:eastAsia="zh-CN"/>
        </w:rPr>
        <w:t>2024年期间平台活动开展较上年减少，费用支出减少。</w:t>
      </w:r>
      <w:bookmarkEnd w:id="31"/>
    </w:p>
    <w:p w14:paraId="740CE4F5">
      <w:pPr>
        <w:spacing w:line="600" w:lineRule="exact"/>
        <w:ind w:firstLine="640"/>
        <w:rPr>
          <w:rFonts w:eastAsia="仿宋_GB2312" w:cs="仿宋_GB2312"/>
          <w:sz w:val="32"/>
          <w:szCs w:val="32"/>
        </w:rPr>
      </w:pPr>
    </w:p>
    <w:p w14:paraId="287DB4A0">
      <w:pPr>
        <w:pStyle w:val="2"/>
        <w:rPr>
          <w:rFonts w:eastAsia="仿宋_GB2312" w:cs="仿宋_GB2312"/>
          <w:sz w:val="32"/>
          <w:szCs w:val="32"/>
        </w:rPr>
      </w:pPr>
    </w:p>
    <w:p w14:paraId="0DD6CB1A">
      <w:pPr>
        <w:pStyle w:val="2"/>
        <w:rPr>
          <w:rFonts w:eastAsia="仿宋_GB2312" w:cs="仿宋_GB2312"/>
          <w:sz w:val="32"/>
          <w:szCs w:val="32"/>
        </w:rPr>
      </w:pPr>
    </w:p>
    <w:p w14:paraId="3137893A">
      <w:pPr>
        <w:pStyle w:val="2"/>
        <w:rPr>
          <w:rFonts w:eastAsia="仿宋_GB2312" w:cs="仿宋_GB2312"/>
          <w:sz w:val="32"/>
          <w:szCs w:val="32"/>
        </w:rPr>
      </w:pPr>
    </w:p>
    <w:p w14:paraId="1133DD67">
      <w:pPr>
        <w:pStyle w:val="2"/>
        <w:rPr>
          <w:rFonts w:eastAsia="仿宋_GB2312" w:cs="仿宋_GB2312"/>
          <w:sz w:val="32"/>
          <w:szCs w:val="32"/>
        </w:rPr>
      </w:pPr>
    </w:p>
    <w:p w14:paraId="195365A8">
      <w:pPr>
        <w:spacing w:line="600" w:lineRule="exact"/>
        <w:ind w:firstLine="1256" w:firstLineChars="400"/>
        <w:rPr>
          <w:rFonts w:eastAsia="仿宋_GB2312" w:cs="仿宋_GB2312"/>
          <w:sz w:val="32"/>
          <w:szCs w:val="32"/>
        </w:rPr>
      </w:pPr>
      <w:r>
        <w:rPr>
          <w:rFonts w:hint="eastAsia" w:eastAsia="仿宋_GB2312" w:cs="仿宋_GB2312"/>
          <w:sz w:val="32"/>
          <w:szCs w:val="32"/>
        </w:rPr>
        <w:t>（图4：财政拨款收、支决算总计变动情况）</w:t>
      </w:r>
    </w:p>
    <w:p w14:paraId="16837AE1">
      <w:pPr>
        <w:spacing w:line="600" w:lineRule="exact"/>
        <w:ind w:firstLine="628" w:firstLineChars="200"/>
        <w:outlineLvl w:val="1"/>
        <w:rPr>
          <w:rStyle w:val="23"/>
          <w:rFonts w:ascii="Times New Roman" w:hAnsi="Times New Roman" w:eastAsia="黑体"/>
          <w:b w:val="0"/>
        </w:rPr>
      </w:pPr>
      <w:bookmarkStart w:id="32" w:name="_Toc12958"/>
      <w:bookmarkStart w:id="33" w:name="_Toc15377209"/>
      <w:bookmarkStart w:id="34" w:name="_Toc15396607"/>
      <w:r>
        <w:rPr>
          <w:rFonts w:hint="eastAsia" w:eastAsia="黑体"/>
          <w:sz w:val="32"/>
          <w:szCs w:val="32"/>
        </w:rPr>
        <w:t>五、</w:t>
      </w:r>
      <w:r>
        <w:rPr>
          <w:rFonts w:hint="eastAsia" w:eastAsia="黑体"/>
          <w:b/>
          <w:sz w:val="32"/>
          <w:szCs w:val="32"/>
        </w:rPr>
        <w:t>一</w:t>
      </w:r>
      <w:r>
        <w:rPr>
          <w:rStyle w:val="23"/>
          <w:rFonts w:hint="eastAsia" w:ascii="Times New Roman" w:hAnsi="Times New Roman" w:eastAsia="黑体"/>
          <w:b w:val="0"/>
        </w:rPr>
        <w:t>般公共预算财政拨款支出决算情况说明</w:t>
      </w:r>
      <w:bookmarkEnd w:id="32"/>
      <w:bookmarkEnd w:id="33"/>
      <w:bookmarkEnd w:id="34"/>
    </w:p>
    <w:p w14:paraId="652368BA">
      <w:pPr>
        <w:spacing w:line="600" w:lineRule="exact"/>
        <w:ind w:firstLine="628" w:firstLineChars="200"/>
        <w:outlineLvl w:val="2"/>
        <w:rPr>
          <w:rFonts w:eastAsia="楷体_GB2312" w:cs="楷体_GB2312"/>
          <w:b/>
          <w:sz w:val="32"/>
          <w:szCs w:val="32"/>
        </w:rPr>
      </w:pPr>
      <w:bookmarkStart w:id="35" w:name="_Toc15377210"/>
      <w:r>
        <w:rPr>
          <w:rFonts w:hint="eastAsia" w:eastAsia="楷体_GB2312" w:cs="楷体_GB2312"/>
          <w:b/>
          <w:sz w:val="32"/>
          <w:szCs w:val="32"/>
        </w:rPr>
        <w:t>（一）一般公共预算财政拨款支出决算总体情况</w:t>
      </w:r>
      <w:bookmarkEnd w:id="35"/>
    </w:p>
    <w:p w14:paraId="3F84A282">
      <w:pPr>
        <w:pStyle w:val="33"/>
        <w:spacing w:line="600" w:lineRule="exact"/>
        <w:ind w:firstLine="640"/>
        <w:outlineLvl w:val="1"/>
        <w:rPr>
          <w:rFonts w:hint="eastAsia" w:eastAsia="仿宋_GB2312" w:cs="仿宋_GB2312"/>
          <w:sz w:val="32"/>
          <w:szCs w:val="32"/>
          <w:lang w:val="en-US" w:eastAsia="zh-CN"/>
        </w:rPr>
      </w:pPr>
      <w:bookmarkStart w:id="36" w:name="_Toc32521"/>
      <w:r>
        <w:rPr>
          <w:rFonts w:hint="eastAsia" w:ascii="仿宋_GB2312" w:hAnsi="仿宋_GB2312" w:eastAsia="仿宋_GB2312" w:cs="仿宋_GB2312"/>
          <w:sz w:val="32"/>
          <w:szCs w:val="32"/>
        </w:rPr>
        <w:t>2024年度一般公共预算财政拨款支出1798.57万元，占本年支出合计的100%。与2023年度相比，一般公共预算财政拨款支出减少</w:t>
      </w:r>
      <w:r>
        <w:rPr>
          <w:rFonts w:hint="eastAsia" w:ascii="仿宋_GB2312" w:hAnsi="仿宋_GB2312" w:eastAsia="仿宋_GB2312" w:cs="仿宋_GB2312"/>
          <w:sz w:val="32"/>
          <w:szCs w:val="32"/>
          <w:lang w:val="en-US" w:eastAsia="zh-CN"/>
        </w:rPr>
        <w:t>476.27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20.94</w:t>
      </w:r>
      <w:r>
        <w:rPr>
          <w:rFonts w:hint="eastAsia" w:ascii="仿宋_GB2312" w:hAnsi="仿宋_GB2312" w:eastAsia="仿宋_GB2312" w:cs="仿宋_GB2312"/>
          <w:sz w:val="32"/>
          <w:szCs w:val="32"/>
        </w:rPr>
        <w:t>%。主要变动原因是</w:t>
      </w:r>
      <w:r>
        <w:rPr>
          <w:rFonts w:hint="eastAsia" w:eastAsia="仿宋_GB2312" w:cs="仿宋_GB2312"/>
          <w:sz w:val="32"/>
          <w:szCs w:val="32"/>
          <w:lang w:val="en-US" w:eastAsia="zh-CN"/>
        </w:rPr>
        <w:t>2024年期间平台活动开展较上年减少，费用支出减少。</w:t>
      </w:r>
      <w:bookmarkEnd w:id="36"/>
    </w:p>
    <w:p w14:paraId="4C291F28">
      <w:pPr>
        <w:pStyle w:val="33"/>
        <w:spacing w:line="600" w:lineRule="exact"/>
        <w:ind w:firstLine="640"/>
        <w:outlineLvl w:val="1"/>
        <w:rPr>
          <w:rFonts w:hint="eastAsia" w:eastAsia="仿宋_GB2312" w:cs="仿宋_GB2312"/>
          <w:sz w:val="32"/>
          <w:szCs w:val="32"/>
          <w:lang w:val="en-US" w:eastAsia="zh-CN"/>
        </w:rPr>
      </w:pPr>
    </w:p>
    <w:p w14:paraId="3E0E70FC">
      <w:pPr>
        <w:pStyle w:val="33"/>
        <w:spacing w:line="600" w:lineRule="exact"/>
        <w:ind w:firstLine="640"/>
        <w:outlineLvl w:val="1"/>
        <w:rPr>
          <w:rFonts w:hint="eastAsia" w:eastAsia="仿宋_GB2312" w:cs="仿宋_GB2312"/>
          <w:sz w:val="32"/>
          <w:szCs w:val="32"/>
          <w:lang w:val="en-US" w:eastAsia="zh-CN"/>
        </w:rPr>
      </w:pPr>
    </w:p>
    <w:p w14:paraId="5E6699E3">
      <w:pPr>
        <w:pStyle w:val="33"/>
        <w:spacing w:line="600" w:lineRule="exact"/>
        <w:ind w:firstLine="640"/>
        <w:outlineLvl w:val="1"/>
        <w:rPr>
          <w:rFonts w:hint="eastAsia" w:eastAsia="仿宋_GB2312" w:cs="仿宋_GB2312"/>
          <w:sz w:val="32"/>
          <w:szCs w:val="32"/>
          <w:lang w:val="en-US" w:eastAsia="zh-CN"/>
        </w:rPr>
      </w:pPr>
    </w:p>
    <w:p w14:paraId="015E5990">
      <w:pPr>
        <w:pStyle w:val="33"/>
        <w:spacing w:line="600" w:lineRule="exact"/>
        <w:ind w:firstLine="640"/>
        <w:outlineLvl w:val="1"/>
        <w:rPr>
          <w:rFonts w:hint="eastAsia" w:eastAsia="仿宋_GB2312" w:cs="仿宋_GB2312"/>
          <w:sz w:val="32"/>
          <w:szCs w:val="32"/>
          <w:lang w:val="en-US" w:eastAsia="zh-CN"/>
        </w:rPr>
      </w:pPr>
    </w:p>
    <w:p w14:paraId="6856A833">
      <w:pPr>
        <w:pStyle w:val="33"/>
        <w:spacing w:line="600" w:lineRule="exact"/>
        <w:ind w:firstLine="640"/>
        <w:outlineLvl w:val="1"/>
        <w:rPr>
          <w:rFonts w:hint="eastAsia" w:eastAsia="仿宋_GB2312" w:cs="仿宋_GB2312"/>
          <w:sz w:val="32"/>
          <w:szCs w:val="32"/>
          <w:lang w:val="en-US" w:eastAsia="zh-CN"/>
        </w:rPr>
      </w:pPr>
    </w:p>
    <w:p w14:paraId="000440B0">
      <w:pPr>
        <w:pStyle w:val="33"/>
        <w:spacing w:line="600" w:lineRule="exact"/>
        <w:ind w:firstLine="640"/>
        <w:outlineLvl w:val="1"/>
        <w:rPr>
          <w:rFonts w:hint="eastAsia" w:eastAsia="仿宋_GB2312" w:cs="仿宋_GB2312"/>
          <w:sz w:val="32"/>
          <w:szCs w:val="32"/>
          <w:lang w:val="en-US" w:eastAsia="zh-CN"/>
        </w:rPr>
      </w:pPr>
    </w:p>
    <w:p w14:paraId="262A5693">
      <w:pPr>
        <w:pStyle w:val="33"/>
        <w:spacing w:line="600" w:lineRule="exact"/>
        <w:ind w:firstLine="640"/>
        <w:outlineLvl w:val="1"/>
        <w:rPr>
          <w:rFonts w:hint="eastAsia" w:eastAsia="仿宋_GB2312" w:cs="仿宋_GB2312"/>
          <w:sz w:val="32"/>
          <w:szCs w:val="32"/>
          <w:lang w:val="en-US" w:eastAsia="zh-CN"/>
        </w:rPr>
      </w:pPr>
    </w:p>
    <w:p w14:paraId="6AEB2F28">
      <w:pPr>
        <w:pStyle w:val="33"/>
        <w:spacing w:line="600" w:lineRule="exact"/>
        <w:ind w:firstLine="640"/>
        <w:outlineLvl w:val="1"/>
        <w:rPr>
          <w:rFonts w:hint="default" w:eastAsia="仿宋_GB2312" w:cs="仿宋_GB2312"/>
          <w:sz w:val="32"/>
          <w:szCs w:val="32"/>
          <w:lang w:val="en-US" w:eastAsia="zh-CN"/>
        </w:rPr>
      </w:pPr>
      <w:r>
        <w:drawing>
          <wp:anchor distT="0" distB="0" distL="114300" distR="114300" simplePos="0" relativeHeight="251663360" behindDoc="1" locked="0" layoutInCell="1" allowOverlap="1">
            <wp:simplePos x="0" y="0"/>
            <wp:positionH relativeFrom="column">
              <wp:posOffset>263525</wp:posOffset>
            </wp:positionH>
            <wp:positionV relativeFrom="paragraph">
              <wp:posOffset>-2453005</wp:posOffset>
            </wp:positionV>
            <wp:extent cx="4826000" cy="2743200"/>
            <wp:effectExtent l="4445" t="4445" r="8255" b="14605"/>
            <wp:wrapTight wrapText="bothSides">
              <wp:wrapPolygon>
                <wp:start x="-20" y="-35"/>
                <wp:lineTo x="-20" y="21565"/>
                <wp:lineTo x="21552" y="21565"/>
                <wp:lineTo x="21552" y="-35"/>
                <wp:lineTo x="-20"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7A05FAA6">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14:paraId="0FD4108F">
      <w:pPr>
        <w:spacing w:line="600" w:lineRule="exact"/>
        <w:ind w:firstLine="628" w:firstLineChars="200"/>
        <w:outlineLvl w:val="2"/>
        <w:rPr>
          <w:rFonts w:eastAsia="楷体_GB2312" w:cs="楷体_GB2312"/>
          <w:b/>
          <w:sz w:val="32"/>
          <w:szCs w:val="32"/>
        </w:rPr>
      </w:pPr>
      <w:bookmarkStart w:id="37" w:name="_Toc15377211"/>
      <w:r>
        <w:rPr>
          <w:rFonts w:hint="eastAsia" w:eastAsia="楷体_GB2312" w:cs="楷体_GB2312"/>
          <w:b/>
          <w:sz w:val="32"/>
          <w:szCs w:val="32"/>
        </w:rPr>
        <w:t>（二）一般公共预算财政拨款支出决算结构情况</w:t>
      </w:r>
      <w:bookmarkEnd w:id="37"/>
    </w:p>
    <w:p w14:paraId="4D23B52B">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1798.57万元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1600.44</w:t>
      </w:r>
      <w:r>
        <w:rPr>
          <w:rFonts w:hint="eastAsia" w:eastAsia="仿宋_GB2312" w:cs="仿宋_GB2312"/>
          <w:sz w:val="32"/>
          <w:szCs w:val="32"/>
        </w:rPr>
        <w:t>万元，占</w:t>
      </w:r>
      <w:r>
        <w:rPr>
          <w:rFonts w:hint="eastAsia" w:eastAsia="仿宋_GB2312" w:cs="仿宋_GB2312"/>
          <w:sz w:val="32"/>
          <w:szCs w:val="32"/>
          <w:lang w:val="en-US" w:eastAsia="zh-CN"/>
        </w:rPr>
        <w:t>88.98</w:t>
      </w:r>
      <w:r>
        <w:rPr>
          <w:rFonts w:hint="eastAsia" w:eastAsia="仿宋_GB2312" w:cs="仿宋_GB2312"/>
          <w:sz w:val="32"/>
          <w:szCs w:val="32"/>
        </w:rPr>
        <w:t>%；社会保障和就业支出</w:t>
      </w:r>
      <w:r>
        <w:rPr>
          <w:rFonts w:hint="eastAsia" w:eastAsia="仿宋_GB2312" w:cs="仿宋_GB2312"/>
          <w:sz w:val="32"/>
          <w:szCs w:val="32"/>
          <w:lang w:val="en-US" w:eastAsia="zh-CN"/>
        </w:rPr>
        <w:t>94.63</w:t>
      </w:r>
      <w:r>
        <w:rPr>
          <w:rFonts w:hint="eastAsia" w:eastAsia="仿宋_GB2312" w:cs="仿宋_GB2312"/>
          <w:sz w:val="32"/>
          <w:szCs w:val="32"/>
        </w:rPr>
        <w:t>万元，占</w:t>
      </w:r>
      <w:r>
        <w:rPr>
          <w:rFonts w:hint="eastAsia" w:eastAsia="仿宋_GB2312" w:cs="仿宋_GB2312"/>
          <w:sz w:val="32"/>
          <w:szCs w:val="32"/>
          <w:lang w:val="en-US" w:eastAsia="zh-CN"/>
        </w:rPr>
        <w:t>5.26</w:t>
      </w:r>
      <w:r>
        <w:rPr>
          <w:rFonts w:hint="eastAsia" w:eastAsia="仿宋_GB2312" w:cs="仿宋_GB2312"/>
          <w:sz w:val="32"/>
          <w:szCs w:val="32"/>
        </w:rPr>
        <w:t>%；卫生健康支出</w:t>
      </w:r>
      <w:r>
        <w:rPr>
          <w:rFonts w:hint="eastAsia" w:eastAsia="仿宋_GB2312" w:cs="仿宋_GB2312"/>
          <w:sz w:val="32"/>
          <w:szCs w:val="32"/>
          <w:lang w:val="en-US" w:eastAsia="zh-CN"/>
        </w:rPr>
        <w:t>27.95</w:t>
      </w:r>
      <w:r>
        <w:rPr>
          <w:rFonts w:hint="eastAsia" w:eastAsia="仿宋_GB2312" w:cs="仿宋_GB2312"/>
          <w:sz w:val="32"/>
          <w:szCs w:val="32"/>
        </w:rPr>
        <w:t>万元，占</w:t>
      </w:r>
      <w:r>
        <w:rPr>
          <w:rFonts w:hint="eastAsia" w:eastAsia="仿宋_GB2312" w:cs="仿宋_GB2312"/>
          <w:sz w:val="32"/>
          <w:szCs w:val="32"/>
          <w:lang w:val="en-US" w:eastAsia="zh-CN"/>
        </w:rPr>
        <w:t>1.55</w:t>
      </w:r>
      <w:r>
        <w:rPr>
          <w:rFonts w:hint="eastAsia" w:eastAsia="仿宋_GB2312" w:cs="仿宋_GB2312"/>
          <w:sz w:val="32"/>
          <w:szCs w:val="32"/>
        </w:rPr>
        <w:t>%；住房保障支出</w:t>
      </w:r>
      <w:r>
        <w:rPr>
          <w:rFonts w:hint="eastAsia" w:eastAsia="仿宋_GB2312" w:cs="仿宋_GB2312"/>
          <w:sz w:val="32"/>
          <w:szCs w:val="32"/>
          <w:lang w:val="en-US" w:eastAsia="zh-CN"/>
        </w:rPr>
        <w:t>75.55</w:t>
      </w:r>
      <w:r>
        <w:rPr>
          <w:rFonts w:hint="eastAsia" w:eastAsia="仿宋_GB2312" w:cs="仿宋_GB2312"/>
          <w:sz w:val="32"/>
          <w:szCs w:val="32"/>
        </w:rPr>
        <w:t>万元，占</w:t>
      </w:r>
      <w:r>
        <w:rPr>
          <w:rFonts w:hint="eastAsia" w:eastAsia="仿宋_GB2312" w:cs="仿宋_GB2312"/>
          <w:sz w:val="32"/>
          <w:szCs w:val="32"/>
          <w:lang w:val="en-US" w:eastAsia="zh-CN"/>
        </w:rPr>
        <w:t>4.2</w:t>
      </w:r>
      <w:r>
        <w:rPr>
          <w:rFonts w:hint="eastAsia" w:eastAsia="仿宋_GB2312" w:cs="仿宋_GB2312"/>
          <w:sz w:val="32"/>
          <w:szCs w:val="32"/>
        </w:rPr>
        <w:t>%</w:t>
      </w:r>
      <w:r>
        <w:rPr>
          <w:rFonts w:hint="eastAsia" w:eastAsia="仿宋_GB2312" w:cs="仿宋_GB2312"/>
          <w:sz w:val="32"/>
          <w:szCs w:val="32"/>
          <w:lang w:eastAsia="zh-CN"/>
        </w:rPr>
        <w:t>。</w:t>
      </w:r>
    </w:p>
    <w:p w14:paraId="40E23F7B">
      <w:pPr>
        <w:pStyle w:val="2"/>
        <w:rPr>
          <w:rFonts w:hint="eastAsia" w:eastAsia="仿宋_GB2312" w:cs="仿宋_GB2312"/>
          <w:sz w:val="32"/>
          <w:szCs w:val="32"/>
          <w:lang w:eastAsia="zh-CN"/>
        </w:rPr>
      </w:pPr>
      <w:r>
        <w:rPr>
          <w:rFonts w:hint="eastAsia"/>
          <w:lang w:val="en-US" w:eastAsia="zh-CN"/>
        </w:rPr>
        <w:t xml:space="preserve">   </w:t>
      </w:r>
      <w:r>
        <w:drawing>
          <wp:inline distT="0" distB="0" distL="114300" distR="114300">
            <wp:extent cx="4826000" cy="2743200"/>
            <wp:effectExtent l="4445" t="4445" r="825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3506E34">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14:paraId="08F45CAE">
      <w:pPr>
        <w:spacing w:line="600" w:lineRule="exact"/>
        <w:ind w:firstLine="628" w:firstLineChars="200"/>
        <w:outlineLvl w:val="2"/>
        <w:rPr>
          <w:rFonts w:eastAsia="楷体_GB2312" w:cs="楷体_GB2312"/>
          <w:b/>
          <w:sz w:val="32"/>
          <w:szCs w:val="32"/>
        </w:rPr>
      </w:pPr>
      <w:bookmarkStart w:id="38" w:name="_Toc15377212"/>
      <w:r>
        <w:rPr>
          <w:rFonts w:hint="eastAsia" w:eastAsia="楷体_GB2312" w:cs="楷体_GB2312"/>
          <w:b/>
          <w:sz w:val="32"/>
          <w:szCs w:val="32"/>
        </w:rPr>
        <w:t>（三）一般公共预算财政拨款支出决算具体情况</w:t>
      </w:r>
      <w:bookmarkEnd w:id="38"/>
    </w:p>
    <w:p w14:paraId="08658790">
      <w:pPr>
        <w:spacing w:line="600" w:lineRule="exact"/>
        <w:ind w:firstLine="640"/>
        <w:rPr>
          <w:rFonts w:hint="eastAsia" w:eastAsia="仿宋_GB2312" w:cs="仿宋_GB2312"/>
          <w:sz w:val="32"/>
          <w:szCs w:val="32"/>
        </w:rPr>
      </w:pPr>
      <w:bookmarkStart w:id="39" w:name="_Toc15377444"/>
      <w:bookmarkStart w:id="40" w:name="_Toc15377213"/>
      <w:bookmarkStart w:id="41"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1798.57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97.4</w:t>
      </w:r>
      <w:r>
        <w:rPr>
          <w:rFonts w:hint="eastAsia" w:eastAsia="仿宋_GB2312" w:cs="仿宋_GB2312"/>
          <w:sz w:val="32"/>
          <w:szCs w:val="32"/>
        </w:rPr>
        <w:t>%。其中：</w:t>
      </w:r>
      <w:bookmarkEnd w:id="39"/>
      <w:bookmarkEnd w:id="40"/>
      <w:bookmarkEnd w:id="41"/>
    </w:p>
    <w:p w14:paraId="6958B898">
      <w:pPr>
        <w:numPr>
          <w:ilvl w:val="0"/>
          <w:numId w:val="2"/>
        </w:numPr>
        <w:spacing w:line="600" w:lineRule="exact"/>
        <w:ind w:left="0" w:leftChars="0" w:firstLine="400" w:firstLineChars="0"/>
        <w:rPr>
          <w:rFonts w:hint="eastAsia" w:eastAsia="仿宋_GB2312" w:cs="仿宋_GB2312"/>
          <w:sz w:val="32"/>
          <w:szCs w:val="32"/>
          <w:lang w:eastAsia="zh-CN"/>
        </w:rPr>
      </w:pPr>
      <w:r>
        <w:rPr>
          <w:rFonts w:hint="eastAsia" w:eastAsia="仿宋_GB2312" w:cs="仿宋_GB2312"/>
          <w:sz w:val="32"/>
          <w:szCs w:val="32"/>
        </w:rPr>
        <w:t>一般公共服务（类）</w:t>
      </w:r>
      <w:r>
        <w:rPr>
          <w:rFonts w:hint="eastAsia" w:eastAsia="仿宋_GB2312" w:cs="仿宋_GB2312"/>
          <w:sz w:val="32"/>
          <w:szCs w:val="32"/>
          <w:lang w:eastAsia="zh-CN"/>
        </w:rPr>
        <w:t>商贸事务</w:t>
      </w:r>
      <w:r>
        <w:rPr>
          <w:rFonts w:hint="eastAsia" w:eastAsia="仿宋_GB2312" w:cs="仿宋_GB2312"/>
          <w:sz w:val="32"/>
          <w:szCs w:val="32"/>
        </w:rPr>
        <w:t>（款）</w:t>
      </w:r>
      <w:r>
        <w:rPr>
          <w:rFonts w:hint="eastAsia" w:eastAsia="仿宋_GB2312" w:cs="仿宋_GB2312"/>
          <w:sz w:val="32"/>
          <w:szCs w:val="32"/>
          <w:lang w:eastAsia="zh-CN"/>
        </w:rPr>
        <w:t>行政运行</w:t>
      </w:r>
      <w:r>
        <w:rPr>
          <w:rFonts w:hint="eastAsia" w:eastAsia="仿宋_GB2312" w:cs="仿宋_GB2312"/>
          <w:sz w:val="32"/>
          <w:szCs w:val="32"/>
        </w:rPr>
        <w:t>（项）：支出决算为</w:t>
      </w:r>
      <w:r>
        <w:rPr>
          <w:rFonts w:hint="eastAsia" w:eastAsia="仿宋_GB2312" w:cs="仿宋_GB2312"/>
          <w:sz w:val="32"/>
          <w:szCs w:val="32"/>
          <w:lang w:val="en-US" w:eastAsia="zh-CN"/>
        </w:rPr>
        <w:t>724.1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44BA4FE">
      <w:pPr>
        <w:numPr>
          <w:ilvl w:val="0"/>
          <w:numId w:val="2"/>
        </w:numPr>
        <w:spacing w:line="600" w:lineRule="exact"/>
        <w:ind w:left="0" w:leftChars="0" w:firstLine="400" w:firstLineChars="0"/>
        <w:rPr>
          <w:rFonts w:eastAsia="仿宋_GB2312" w:cs="仿宋_GB2312"/>
          <w:sz w:val="32"/>
          <w:szCs w:val="32"/>
        </w:rPr>
      </w:pPr>
      <w:r>
        <w:rPr>
          <w:rFonts w:hint="eastAsia" w:eastAsia="仿宋_GB2312" w:cs="仿宋_GB2312"/>
          <w:sz w:val="32"/>
          <w:szCs w:val="32"/>
        </w:rPr>
        <w:t>一般公共服务（类）</w:t>
      </w:r>
      <w:r>
        <w:rPr>
          <w:rFonts w:hint="eastAsia" w:eastAsia="仿宋_GB2312" w:cs="仿宋_GB2312"/>
          <w:sz w:val="32"/>
          <w:szCs w:val="32"/>
          <w:lang w:eastAsia="zh-CN"/>
        </w:rPr>
        <w:t>商贸事务</w:t>
      </w:r>
      <w:r>
        <w:rPr>
          <w:rFonts w:hint="eastAsia" w:eastAsia="仿宋_GB2312" w:cs="仿宋_GB2312"/>
          <w:sz w:val="32"/>
          <w:szCs w:val="32"/>
        </w:rPr>
        <w:t>（款）</w:t>
      </w:r>
      <w:r>
        <w:rPr>
          <w:rFonts w:hint="eastAsia" w:eastAsia="仿宋_GB2312" w:cs="仿宋_GB2312"/>
          <w:sz w:val="32"/>
          <w:szCs w:val="32"/>
          <w:lang w:eastAsia="zh-CN"/>
        </w:rPr>
        <w:t>一般行政管理事务</w:t>
      </w:r>
      <w:r>
        <w:rPr>
          <w:rFonts w:hint="eastAsia" w:eastAsia="仿宋_GB2312" w:cs="仿宋_GB2312"/>
          <w:sz w:val="32"/>
          <w:szCs w:val="32"/>
        </w:rPr>
        <w:t>（项）</w:t>
      </w:r>
      <w:r>
        <w:rPr>
          <w:rFonts w:hint="eastAsia" w:eastAsia="仿宋_GB2312" w:cs="仿宋_GB2312"/>
          <w:sz w:val="32"/>
          <w:szCs w:val="32"/>
          <w:lang w:eastAsia="zh-CN"/>
        </w:rPr>
        <w:t>：</w:t>
      </w:r>
      <w:r>
        <w:rPr>
          <w:rFonts w:hint="eastAsia" w:eastAsia="仿宋_GB2312" w:cs="仿宋_GB2312"/>
          <w:sz w:val="32"/>
          <w:szCs w:val="32"/>
        </w:rPr>
        <w:t>支出决算为</w:t>
      </w:r>
      <w:r>
        <w:rPr>
          <w:rFonts w:hint="eastAsia" w:eastAsia="仿宋_GB2312" w:cs="仿宋_GB2312"/>
          <w:sz w:val="32"/>
          <w:szCs w:val="32"/>
          <w:lang w:val="en-US" w:eastAsia="zh-CN"/>
        </w:rPr>
        <w:t>129.33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62320AB1">
      <w:pPr>
        <w:numPr>
          <w:ilvl w:val="0"/>
          <w:numId w:val="2"/>
        </w:numPr>
        <w:spacing w:line="600" w:lineRule="exact"/>
        <w:ind w:left="0" w:leftChars="0" w:firstLine="400" w:firstLineChars="0"/>
        <w:rPr>
          <w:rFonts w:hint="eastAsia" w:eastAsia="仿宋_GB2312" w:cs="仿宋_GB2312"/>
          <w:sz w:val="32"/>
          <w:szCs w:val="32"/>
          <w:lang w:eastAsia="zh-CN"/>
        </w:rPr>
      </w:pPr>
      <w:r>
        <w:rPr>
          <w:rFonts w:hint="eastAsia" w:eastAsia="仿宋_GB2312" w:cs="仿宋_GB2312"/>
          <w:sz w:val="32"/>
          <w:szCs w:val="32"/>
        </w:rPr>
        <w:t>一般公共服务（类）</w:t>
      </w:r>
      <w:r>
        <w:rPr>
          <w:rFonts w:hint="eastAsia" w:eastAsia="仿宋_GB2312" w:cs="仿宋_GB2312"/>
          <w:sz w:val="32"/>
          <w:szCs w:val="32"/>
          <w:lang w:eastAsia="zh-CN"/>
        </w:rPr>
        <w:t>商贸事务</w:t>
      </w:r>
      <w:r>
        <w:rPr>
          <w:rFonts w:hint="eastAsia" w:eastAsia="仿宋_GB2312" w:cs="仿宋_GB2312"/>
          <w:sz w:val="32"/>
          <w:szCs w:val="32"/>
        </w:rPr>
        <w:t>（款）</w:t>
      </w:r>
      <w:r>
        <w:rPr>
          <w:rFonts w:hint="eastAsia" w:eastAsia="仿宋_GB2312" w:cs="仿宋_GB2312"/>
          <w:sz w:val="32"/>
          <w:szCs w:val="32"/>
          <w:lang w:eastAsia="zh-CN"/>
        </w:rPr>
        <w:t>招商引资</w:t>
      </w:r>
      <w:r>
        <w:rPr>
          <w:rFonts w:hint="eastAsia" w:eastAsia="仿宋_GB2312" w:cs="仿宋_GB2312"/>
          <w:sz w:val="32"/>
          <w:szCs w:val="32"/>
        </w:rPr>
        <w:t>（项）：支出决算为</w:t>
      </w:r>
      <w:r>
        <w:rPr>
          <w:rFonts w:hint="eastAsia" w:eastAsia="仿宋_GB2312" w:cs="仿宋_GB2312"/>
          <w:sz w:val="32"/>
          <w:szCs w:val="32"/>
          <w:lang w:val="en-US" w:eastAsia="zh-CN"/>
        </w:rPr>
        <w:t>585.37</w:t>
      </w:r>
      <w:r>
        <w:rPr>
          <w:rFonts w:hint="eastAsia" w:eastAsia="仿宋_GB2312" w:cs="仿宋_GB2312"/>
          <w:sz w:val="32"/>
          <w:szCs w:val="32"/>
        </w:rPr>
        <w:t>万元，完成预算</w:t>
      </w:r>
      <w:r>
        <w:rPr>
          <w:rFonts w:hint="eastAsia" w:eastAsia="仿宋_GB2312" w:cs="仿宋_GB2312"/>
          <w:sz w:val="32"/>
          <w:szCs w:val="32"/>
          <w:lang w:val="en-US" w:eastAsia="zh-CN"/>
        </w:rPr>
        <w:t>97.14</w:t>
      </w:r>
      <w:r>
        <w:rPr>
          <w:rFonts w:hint="eastAsia" w:eastAsia="仿宋_GB2312" w:cs="仿宋_GB2312"/>
          <w:sz w:val="32"/>
          <w:szCs w:val="32"/>
        </w:rPr>
        <w:t>%，决算数小于预算数的主要原因是</w:t>
      </w:r>
      <w:r>
        <w:rPr>
          <w:rFonts w:hint="eastAsia" w:eastAsia="仿宋_GB2312" w:cs="仿宋_GB2312"/>
          <w:sz w:val="32"/>
          <w:szCs w:val="32"/>
          <w:lang w:eastAsia="zh-CN"/>
        </w:rPr>
        <w:t>部分资金未支付结转到下年使用。</w:t>
      </w:r>
    </w:p>
    <w:p w14:paraId="7354812D">
      <w:pPr>
        <w:numPr>
          <w:ilvl w:val="0"/>
          <w:numId w:val="2"/>
        </w:numPr>
        <w:spacing w:line="600" w:lineRule="exact"/>
        <w:ind w:left="0" w:leftChars="0" w:firstLine="400" w:firstLineChars="0"/>
        <w:rPr>
          <w:rFonts w:hint="eastAsia" w:eastAsia="仿宋_GB2312" w:cs="仿宋_GB2312"/>
          <w:sz w:val="32"/>
          <w:szCs w:val="32"/>
          <w:lang w:eastAsia="zh-CN"/>
        </w:rPr>
      </w:pPr>
      <w:r>
        <w:rPr>
          <w:rFonts w:hint="eastAsia" w:eastAsia="仿宋_GB2312" w:cs="仿宋_GB2312"/>
          <w:sz w:val="32"/>
          <w:szCs w:val="32"/>
        </w:rPr>
        <w:t>一般公共服务（类）</w:t>
      </w:r>
      <w:r>
        <w:rPr>
          <w:rFonts w:hint="eastAsia" w:eastAsia="仿宋_GB2312" w:cs="仿宋_GB2312"/>
          <w:sz w:val="32"/>
          <w:szCs w:val="32"/>
          <w:lang w:eastAsia="zh-CN"/>
        </w:rPr>
        <w:t>商贸事务</w:t>
      </w:r>
      <w:r>
        <w:rPr>
          <w:rFonts w:hint="eastAsia" w:eastAsia="仿宋_GB2312" w:cs="仿宋_GB2312"/>
          <w:sz w:val="32"/>
          <w:szCs w:val="32"/>
        </w:rPr>
        <w:t>（款）</w:t>
      </w:r>
      <w:r>
        <w:rPr>
          <w:rFonts w:hint="eastAsia" w:eastAsia="仿宋_GB2312" w:cs="仿宋_GB2312"/>
          <w:sz w:val="32"/>
          <w:szCs w:val="32"/>
          <w:lang w:eastAsia="zh-CN"/>
        </w:rPr>
        <w:t>事业运行</w:t>
      </w:r>
      <w:r>
        <w:rPr>
          <w:rFonts w:hint="eastAsia" w:eastAsia="仿宋_GB2312" w:cs="仿宋_GB2312"/>
          <w:sz w:val="32"/>
          <w:szCs w:val="32"/>
        </w:rPr>
        <w:t>（项）：支出决算为</w:t>
      </w:r>
      <w:r>
        <w:rPr>
          <w:rFonts w:hint="eastAsia" w:eastAsia="仿宋_GB2312" w:cs="仿宋_GB2312"/>
          <w:sz w:val="32"/>
          <w:szCs w:val="32"/>
          <w:lang w:val="en-US" w:eastAsia="zh-CN"/>
        </w:rPr>
        <w:t>161.64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11BBA790">
      <w:pPr>
        <w:numPr>
          <w:ilvl w:val="0"/>
          <w:numId w:val="2"/>
        </w:numPr>
        <w:spacing w:line="600" w:lineRule="exact"/>
        <w:ind w:left="0" w:leftChars="0" w:firstLine="400" w:firstLineChars="0"/>
        <w:rPr>
          <w:rFonts w:hint="eastAsia" w:eastAsia="仿宋_GB2312" w:cs="仿宋_GB2312"/>
          <w:sz w:val="32"/>
          <w:szCs w:val="32"/>
          <w:lang w:eastAsia="zh-CN"/>
        </w:rPr>
      </w:pP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机关事业单位基本养老保险缴费支出</w:t>
      </w:r>
      <w:r>
        <w:rPr>
          <w:rFonts w:hint="eastAsia" w:eastAsia="仿宋_GB2312" w:cs="仿宋_GB2312"/>
          <w:sz w:val="32"/>
          <w:szCs w:val="32"/>
        </w:rPr>
        <w:t>（项）：支出决算为</w:t>
      </w:r>
      <w:r>
        <w:rPr>
          <w:rFonts w:hint="eastAsia" w:eastAsia="仿宋_GB2312" w:cs="仿宋_GB2312"/>
          <w:sz w:val="32"/>
          <w:szCs w:val="32"/>
          <w:lang w:val="en-US" w:eastAsia="zh-CN"/>
        </w:rPr>
        <w:t>82.69</w:t>
      </w:r>
      <w:r>
        <w:rPr>
          <w:rFonts w:hint="eastAsia" w:eastAsia="仿宋_GB2312" w:cs="仿宋_GB2312"/>
          <w:sz w:val="32"/>
          <w:szCs w:val="32"/>
        </w:rPr>
        <w:t>万元，完成预算</w:t>
      </w:r>
      <w:r>
        <w:rPr>
          <w:rFonts w:hint="eastAsia" w:eastAsia="仿宋_GB2312" w:cs="仿宋_GB2312"/>
          <w:sz w:val="32"/>
          <w:szCs w:val="32"/>
          <w:lang w:val="en-US" w:eastAsia="zh-CN"/>
        </w:rPr>
        <w:t>72.81</w:t>
      </w:r>
      <w:r>
        <w:rPr>
          <w:rFonts w:hint="eastAsia" w:eastAsia="仿宋_GB2312" w:cs="仿宋_GB2312"/>
          <w:sz w:val="32"/>
          <w:szCs w:val="32"/>
        </w:rPr>
        <w:t>%，决算数小于预算数的主要原因是</w:t>
      </w:r>
      <w:r>
        <w:rPr>
          <w:rFonts w:hint="eastAsia" w:eastAsia="仿宋_GB2312" w:cs="仿宋_GB2312"/>
          <w:sz w:val="32"/>
          <w:szCs w:val="32"/>
          <w:lang w:eastAsia="zh-CN"/>
        </w:rPr>
        <w:t>年末未及时缴纳养老保险费用，结转下年缴费。</w:t>
      </w:r>
    </w:p>
    <w:p w14:paraId="36E07486">
      <w:pPr>
        <w:numPr>
          <w:ilvl w:val="0"/>
          <w:numId w:val="2"/>
        </w:numPr>
        <w:spacing w:line="600" w:lineRule="exact"/>
        <w:ind w:left="0" w:leftChars="0" w:firstLine="400" w:firstLineChars="0"/>
        <w:rPr>
          <w:rFonts w:hint="eastAsia" w:eastAsia="仿宋_GB2312" w:cs="仿宋_GB2312"/>
          <w:sz w:val="32"/>
          <w:szCs w:val="32"/>
          <w:lang w:eastAsia="zh-CN"/>
        </w:rPr>
      </w:pP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机关事业单位职业年金缴费支出</w:t>
      </w:r>
      <w:r>
        <w:rPr>
          <w:rFonts w:hint="eastAsia" w:eastAsia="仿宋_GB2312" w:cs="仿宋_GB2312"/>
          <w:sz w:val="32"/>
          <w:szCs w:val="32"/>
        </w:rPr>
        <w:t>（项）：支出决算为</w:t>
      </w:r>
      <w:r>
        <w:rPr>
          <w:rFonts w:hint="eastAsia" w:eastAsia="仿宋_GB2312" w:cs="仿宋_GB2312"/>
          <w:sz w:val="32"/>
          <w:szCs w:val="32"/>
          <w:lang w:val="en-US" w:eastAsia="zh-CN"/>
        </w:rPr>
        <w:t>7.5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308B1EE5">
      <w:pPr>
        <w:numPr>
          <w:ilvl w:val="0"/>
          <w:numId w:val="2"/>
        </w:numPr>
        <w:spacing w:line="600" w:lineRule="exact"/>
        <w:ind w:left="0" w:leftChars="0" w:firstLine="400" w:firstLineChars="0"/>
        <w:rPr>
          <w:rFonts w:hint="eastAsia"/>
          <w:lang w:eastAsia="zh-CN"/>
        </w:rPr>
      </w:pPr>
      <w:r>
        <w:rPr>
          <w:rFonts w:hint="eastAsia" w:eastAsia="仿宋_GB2312" w:cs="仿宋_GB2312"/>
          <w:sz w:val="32"/>
          <w:szCs w:val="32"/>
        </w:rPr>
        <w:t>社会保障和就业（类）</w:t>
      </w:r>
      <w:r>
        <w:rPr>
          <w:rFonts w:hint="eastAsia" w:eastAsia="仿宋_GB2312" w:cs="仿宋_GB2312"/>
          <w:sz w:val="32"/>
          <w:szCs w:val="32"/>
          <w:lang w:eastAsia="zh-CN"/>
        </w:rPr>
        <w:t>其他社会保障和就业支出</w:t>
      </w:r>
      <w:r>
        <w:rPr>
          <w:rFonts w:hint="eastAsia" w:eastAsia="仿宋_GB2312" w:cs="仿宋_GB2312"/>
          <w:sz w:val="32"/>
          <w:szCs w:val="32"/>
        </w:rPr>
        <w:t>（款）</w:t>
      </w:r>
      <w:r>
        <w:rPr>
          <w:rFonts w:hint="eastAsia" w:eastAsia="仿宋_GB2312" w:cs="仿宋_GB2312"/>
          <w:sz w:val="32"/>
          <w:szCs w:val="32"/>
          <w:lang w:eastAsia="zh-CN"/>
        </w:rPr>
        <w:t>其他社会保障和就业支出</w:t>
      </w:r>
      <w:r>
        <w:rPr>
          <w:rFonts w:hint="eastAsia" w:eastAsia="仿宋_GB2312" w:cs="仿宋_GB2312"/>
          <w:sz w:val="32"/>
          <w:szCs w:val="32"/>
        </w:rPr>
        <w:t>（项）：支出决算为</w:t>
      </w:r>
      <w:r>
        <w:rPr>
          <w:rFonts w:hint="eastAsia" w:eastAsia="仿宋_GB2312" w:cs="仿宋_GB2312"/>
          <w:sz w:val="32"/>
          <w:szCs w:val="32"/>
          <w:lang w:val="en-US" w:eastAsia="zh-CN"/>
        </w:rPr>
        <w:t>4.43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28393B18">
      <w:pPr>
        <w:numPr>
          <w:ilvl w:val="0"/>
          <w:numId w:val="2"/>
        </w:numPr>
        <w:spacing w:line="600" w:lineRule="exact"/>
        <w:ind w:left="0" w:leftChars="0" w:firstLine="400" w:firstLineChars="0"/>
        <w:rPr>
          <w:rFonts w:hint="eastAsia" w:eastAsia="仿宋_GB2312" w:cs="仿宋_GB2312"/>
          <w:sz w:val="32"/>
          <w:szCs w:val="32"/>
          <w:lang w:eastAsia="zh-CN"/>
        </w:rPr>
      </w:pP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行政单位医疗</w:t>
      </w:r>
      <w:r>
        <w:rPr>
          <w:rFonts w:hint="eastAsia" w:eastAsia="仿宋_GB2312" w:cs="仿宋_GB2312"/>
          <w:sz w:val="32"/>
          <w:szCs w:val="32"/>
        </w:rPr>
        <w:t>（项）：支出决算为</w:t>
      </w:r>
      <w:r>
        <w:rPr>
          <w:rFonts w:hint="eastAsia" w:eastAsia="仿宋_GB2312" w:cs="仿宋_GB2312"/>
          <w:sz w:val="32"/>
          <w:szCs w:val="32"/>
          <w:lang w:val="en-US" w:eastAsia="zh-CN"/>
        </w:rPr>
        <w:t>27.95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9CC5F75">
      <w:pPr>
        <w:pStyle w:val="2"/>
        <w:numPr>
          <w:ilvl w:val="0"/>
          <w:numId w:val="2"/>
        </w:numPr>
        <w:ind w:left="0" w:leftChars="0" w:firstLine="400" w:firstLineChars="0"/>
        <w:rPr>
          <w:rFonts w:eastAsia="仿宋_GB2312" w:cs="仿宋_GB2312"/>
          <w:sz w:val="32"/>
          <w:szCs w:val="32"/>
        </w:rPr>
      </w:pPr>
      <w:r>
        <w:rPr>
          <w:rFonts w:hint="eastAsia" w:cs="仿宋_GB2312"/>
          <w:sz w:val="32"/>
          <w:szCs w:val="32"/>
          <w:lang w:eastAsia="zh-CN"/>
        </w:rPr>
        <w:t>住房保障支出</w:t>
      </w:r>
      <w:r>
        <w:rPr>
          <w:rFonts w:hint="eastAsia" w:eastAsia="仿宋_GB2312" w:cs="仿宋_GB2312"/>
          <w:sz w:val="32"/>
          <w:szCs w:val="32"/>
        </w:rPr>
        <w:t>（类）</w:t>
      </w:r>
      <w:r>
        <w:rPr>
          <w:rFonts w:hint="eastAsia" w:cs="仿宋_GB2312"/>
          <w:sz w:val="32"/>
          <w:szCs w:val="32"/>
          <w:lang w:eastAsia="zh-CN"/>
        </w:rPr>
        <w:t>住房改革支出</w:t>
      </w:r>
      <w:r>
        <w:rPr>
          <w:rFonts w:hint="eastAsia" w:eastAsia="仿宋_GB2312" w:cs="仿宋_GB2312"/>
          <w:sz w:val="32"/>
          <w:szCs w:val="32"/>
        </w:rPr>
        <w:t>（款）</w:t>
      </w:r>
      <w:r>
        <w:rPr>
          <w:rFonts w:hint="eastAsia" w:cs="仿宋_GB2312"/>
          <w:sz w:val="32"/>
          <w:szCs w:val="32"/>
          <w:lang w:eastAsia="zh-CN"/>
        </w:rPr>
        <w:t>住房公积金</w:t>
      </w:r>
      <w:r>
        <w:rPr>
          <w:rFonts w:hint="eastAsia" w:eastAsia="仿宋_GB2312" w:cs="仿宋_GB2312"/>
          <w:sz w:val="32"/>
          <w:szCs w:val="32"/>
        </w:rPr>
        <w:t>（项）：支出决算为</w:t>
      </w:r>
      <w:r>
        <w:rPr>
          <w:rFonts w:hint="eastAsia" w:cs="仿宋_GB2312"/>
          <w:sz w:val="32"/>
          <w:szCs w:val="32"/>
          <w:lang w:val="en-US" w:eastAsia="zh-CN"/>
        </w:rPr>
        <w:t>75.55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8E4A627">
      <w:pPr>
        <w:tabs>
          <w:tab w:val="right" w:pos="8306"/>
        </w:tabs>
        <w:spacing w:line="600" w:lineRule="exact"/>
        <w:ind w:firstLine="640"/>
        <w:outlineLvl w:val="1"/>
        <w:rPr>
          <w:rStyle w:val="23"/>
          <w:rFonts w:ascii="Times New Roman" w:hAnsi="Times New Roman"/>
        </w:rPr>
      </w:pPr>
      <w:bookmarkStart w:id="42" w:name="_Toc12930"/>
      <w:bookmarkStart w:id="43" w:name="_Toc15377214"/>
      <w:bookmarkStart w:id="44" w:name="_Toc15396608"/>
      <w:r>
        <w:rPr>
          <w:rFonts w:hint="eastAsia" w:eastAsia="黑体"/>
          <w:sz w:val="32"/>
          <w:szCs w:val="32"/>
        </w:rPr>
        <w:t>六</w:t>
      </w:r>
      <w:r>
        <w:rPr>
          <w:rFonts w:hint="eastAsia" w:eastAsia="黑体"/>
          <w:b/>
          <w:sz w:val="32"/>
          <w:szCs w:val="32"/>
        </w:rPr>
        <w:t>、一</w:t>
      </w:r>
      <w:r>
        <w:rPr>
          <w:rStyle w:val="23"/>
          <w:rFonts w:hint="eastAsia" w:ascii="Times New Roman" w:hAnsi="Times New Roman" w:eastAsia="黑体"/>
          <w:b w:val="0"/>
        </w:rPr>
        <w:t>般公共预算财政拨款基本支出决算情况说明</w:t>
      </w:r>
      <w:bookmarkEnd w:id="42"/>
      <w:bookmarkEnd w:id="43"/>
      <w:bookmarkEnd w:id="44"/>
      <w:r>
        <w:rPr>
          <w:rStyle w:val="23"/>
          <w:rFonts w:ascii="Times New Roman" w:hAnsi="Times New Roman" w:eastAsia="黑体"/>
          <w:b w:val="0"/>
        </w:rPr>
        <w:tab/>
      </w:r>
    </w:p>
    <w:p w14:paraId="4D3A5A1C">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1083.8</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334C2AF0">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903.6万</w:t>
      </w:r>
      <w:r>
        <w:rPr>
          <w:rFonts w:hint="eastAsia" w:eastAsia="仿宋_GB2312" w:cs="仿宋_GB2312"/>
          <w:sz w:val="32"/>
          <w:szCs w:val="32"/>
        </w:rPr>
        <w:t>元，主要包括：基本工资、津贴补贴、奖金、绩效工资、机关事业单位基本养老保险缴费、职业年金缴费、职工基本医疗保险缴费</w:t>
      </w:r>
      <w:r>
        <w:rPr>
          <w:rFonts w:hint="eastAsia" w:eastAsia="仿宋_GB2312" w:cs="仿宋_GB2312"/>
          <w:sz w:val="32"/>
          <w:szCs w:val="32"/>
          <w:lang w:eastAsia="zh-CN"/>
        </w:rPr>
        <w:t>、</w:t>
      </w:r>
      <w:r>
        <w:rPr>
          <w:rFonts w:hint="eastAsia" w:eastAsia="仿宋_GB2312" w:cs="仿宋_GB2312"/>
          <w:sz w:val="32"/>
          <w:szCs w:val="32"/>
        </w:rPr>
        <w:t>其他社会保障缴费、住房公积金、生活补助。</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180.28万</w:t>
      </w:r>
      <w:r>
        <w:rPr>
          <w:rFonts w:hint="eastAsia" w:eastAsia="仿宋_GB2312" w:cs="仿宋_GB2312"/>
          <w:sz w:val="32"/>
          <w:szCs w:val="32"/>
        </w:rPr>
        <w:t>元，主要包括：办公费、咨询费、水费、邮电费、差旅费、维修（护）费、租赁费、会议费、培训费、公务接待费、劳务费、委托业务费、工会经费、福利费、公务用车运行维护费、其他交通费</w:t>
      </w:r>
      <w:r>
        <w:rPr>
          <w:rFonts w:hint="eastAsia" w:eastAsia="仿宋_GB2312" w:cs="仿宋_GB2312"/>
          <w:sz w:val="32"/>
          <w:szCs w:val="32"/>
          <w:lang w:val="en-US" w:eastAsia="zh-CN"/>
        </w:rPr>
        <w:t>用</w:t>
      </w:r>
      <w:r>
        <w:rPr>
          <w:rFonts w:hint="eastAsia" w:eastAsia="仿宋_GB2312" w:cs="仿宋_GB2312"/>
          <w:sz w:val="32"/>
          <w:szCs w:val="32"/>
        </w:rPr>
        <w:t>、其他商品和服务支出。</w:t>
      </w:r>
    </w:p>
    <w:p w14:paraId="02BE4E4B">
      <w:pPr>
        <w:spacing w:line="600" w:lineRule="exact"/>
        <w:ind w:firstLine="640"/>
        <w:outlineLvl w:val="1"/>
        <w:rPr>
          <w:rStyle w:val="23"/>
          <w:rFonts w:ascii="Times New Roman" w:hAnsi="Times New Roman" w:eastAsia="黑体"/>
          <w:b w:val="0"/>
        </w:rPr>
      </w:pPr>
      <w:bookmarkStart w:id="45" w:name="_Toc5159"/>
      <w:bookmarkStart w:id="46" w:name="_Toc15377215"/>
      <w:bookmarkStart w:id="47" w:name="_Toc15396609"/>
      <w:r>
        <w:rPr>
          <w:rFonts w:hint="eastAsia" w:eastAsia="黑体"/>
          <w:sz w:val="32"/>
          <w:szCs w:val="32"/>
        </w:rPr>
        <w:t>七、</w:t>
      </w:r>
      <w:r>
        <w:rPr>
          <w:rStyle w:val="23"/>
          <w:rFonts w:hint="eastAsia" w:ascii="Times New Roman" w:hAnsi="Times New Roman" w:eastAsia="黑体"/>
          <w:b w:val="0"/>
        </w:rPr>
        <w:t>财政拨款</w:t>
      </w:r>
      <w:r>
        <w:rPr>
          <w:rStyle w:val="23"/>
          <w:rFonts w:hint="eastAsia" w:ascii="Times New Roman" w:hAnsi="Times New Roman" w:eastAsia="黑体"/>
        </w:rPr>
        <w:t>“</w:t>
      </w:r>
      <w:r>
        <w:rPr>
          <w:rStyle w:val="23"/>
          <w:rFonts w:hint="eastAsia" w:ascii="Times New Roman" w:hAnsi="Times New Roman" w:eastAsia="黑体"/>
          <w:b w:val="0"/>
        </w:rPr>
        <w:t>三公”经费支出决算情况说明</w:t>
      </w:r>
      <w:bookmarkEnd w:id="45"/>
      <w:bookmarkEnd w:id="46"/>
      <w:bookmarkEnd w:id="47"/>
    </w:p>
    <w:p w14:paraId="06501DC6">
      <w:pPr>
        <w:spacing w:line="600" w:lineRule="exact"/>
        <w:ind w:firstLine="628" w:firstLineChars="200"/>
        <w:outlineLvl w:val="2"/>
        <w:rPr>
          <w:rFonts w:eastAsia="楷体_GB2312" w:cs="楷体_GB2312"/>
          <w:b/>
          <w:sz w:val="32"/>
          <w:szCs w:val="32"/>
        </w:rPr>
      </w:pPr>
      <w:bookmarkStart w:id="48" w:name="_Toc15377216"/>
      <w:r>
        <w:rPr>
          <w:rFonts w:hint="eastAsia" w:eastAsia="楷体_GB2312" w:cs="楷体_GB2312"/>
          <w:b/>
          <w:sz w:val="32"/>
          <w:szCs w:val="32"/>
        </w:rPr>
        <w:t>（一）“三公”经费财政拨款支出决算总体情况说明</w:t>
      </w:r>
      <w:bookmarkEnd w:id="48"/>
    </w:p>
    <w:p w14:paraId="55BA73D8">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115.9万元，完成预算90.61%，</w:t>
      </w:r>
      <w:r>
        <w:rPr>
          <w:rFonts w:hint="eastAsia" w:eastAsia="仿宋_GB2312" w:cs="仿宋_GB2312"/>
          <w:sz w:val="32"/>
          <w:szCs w:val="32"/>
        </w:rPr>
        <w:t>较上年度减少</w:t>
      </w:r>
      <w:r>
        <w:rPr>
          <w:rFonts w:hint="eastAsia" w:eastAsia="仿宋_GB2312" w:cs="仿宋_GB2312"/>
          <w:sz w:val="32"/>
          <w:szCs w:val="32"/>
          <w:lang w:val="en-US" w:eastAsia="zh-CN"/>
        </w:rPr>
        <w:t>0.14</w:t>
      </w:r>
      <w:r>
        <w:rPr>
          <w:rFonts w:hint="eastAsia" w:eastAsia="仿宋_GB2312" w:cs="仿宋_GB2312"/>
          <w:sz w:val="32"/>
          <w:szCs w:val="32"/>
        </w:rPr>
        <w:t>万元，下降</w:t>
      </w:r>
      <w:r>
        <w:rPr>
          <w:rFonts w:hint="eastAsia" w:eastAsia="仿宋_GB2312" w:cs="仿宋_GB2312"/>
          <w:sz w:val="32"/>
          <w:szCs w:val="32"/>
          <w:lang w:val="en-US" w:eastAsia="zh-CN"/>
        </w:rPr>
        <w:t>0.12</w:t>
      </w:r>
      <w:r>
        <w:rPr>
          <w:rFonts w:hint="eastAsia" w:eastAsia="仿宋_GB2312" w:cs="仿宋_GB2312"/>
          <w:sz w:val="32"/>
          <w:szCs w:val="32"/>
        </w:rPr>
        <w:t>%。决算数小于预算数的主要原因是</w:t>
      </w:r>
      <w:r>
        <w:rPr>
          <w:rFonts w:hint="eastAsia" w:eastAsia="仿宋_GB2312" w:cs="仿宋_GB2312"/>
          <w:sz w:val="32"/>
          <w:szCs w:val="32"/>
          <w:lang w:eastAsia="zh-CN"/>
        </w:rPr>
        <w:t>厉行节约。</w:t>
      </w:r>
    </w:p>
    <w:p w14:paraId="561A8A8D">
      <w:pPr>
        <w:spacing w:line="600" w:lineRule="exact"/>
        <w:ind w:firstLine="628" w:firstLineChars="200"/>
        <w:outlineLvl w:val="2"/>
        <w:rPr>
          <w:rFonts w:eastAsia="楷体_GB2312" w:cs="楷体_GB2312"/>
          <w:b/>
          <w:sz w:val="32"/>
          <w:szCs w:val="32"/>
        </w:rPr>
      </w:pPr>
      <w:bookmarkStart w:id="49" w:name="_Toc15377217"/>
      <w:r>
        <w:rPr>
          <w:rFonts w:hint="eastAsia" w:eastAsia="楷体_GB2312" w:cs="楷体_GB2312"/>
          <w:b/>
          <w:sz w:val="32"/>
          <w:szCs w:val="32"/>
        </w:rPr>
        <w:t>（二）“三公”经费财政拨款支出决算具体情况说明</w:t>
      </w:r>
      <w:bookmarkEnd w:id="49"/>
    </w:p>
    <w:p w14:paraId="5BDDAF73">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2024年度“三公”经费财政拨款支出决算中，因公出国（境）费支出决算111.95万元，占</w:t>
      </w:r>
      <w:r>
        <w:rPr>
          <w:rFonts w:hint="eastAsia" w:ascii="仿宋_GB2312" w:hAnsi="仿宋_GB2312" w:eastAsia="仿宋_GB2312" w:cs="仿宋_GB2312"/>
          <w:sz w:val="32"/>
          <w:szCs w:val="32"/>
          <w:lang w:val="en-US" w:eastAsia="zh-CN"/>
        </w:rPr>
        <w:t>96.59</w:t>
      </w:r>
      <w:r>
        <w:rPr>
          <w:rFonts w:hint="eastAsia" w:ascii="仿宋_GB2312" w:hAnsi="仿宋_GB2312" w:eastAsia="仿宋_GB2312" w:cs="仿宋_GB2312"/>
          <w:sz w:val="32"/>
          <w:szCs w:val="32"/>
        </w:rPr>
        <w:t>%；公务用车购置及运行维护费支出决算3.37万元，占</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%；公务接待费支出决算0.58万元，占</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%。具体情况如下：</w:t>
      </w:r>
    </w:p>
    <w:p w14:paraId="68621918">
      <w:pPr>
        <w:pStyle w:val="2"/>
        <w:rPr>
          <w:rFonts w:hint="eastAsia" w:ascii="仿宋_GB2312" w:hAnsi="仿宋_GB2312" w:eastAsia="仿宋_GB2312" w:cs="仿宋_GB2312"/>
          <w:sz w:val="32"/>
          <w:szCs w:val="32"/>
        </w:rPr>
      </w:pPr>
      <w:r>
        <w:rPr>
          <w:rFonts w:hint="eastAsia"/>
          <w:lang w:val="en-US" w:eastAsia="zh-CN"/>
        </w:rPr>
        <w:t xml:space="preserve">   </w:t>
      </w:r>
      <w:r>
        <w:drawing>
          <wp:inline distT="0" distB="0" distL="114300" distR="114300">
            <wp:extent cx="4826000" cy="2743200"/>
            <wp:effectExtent l="4445" t="4445" r="825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251B8CE">
      <w:pPr>
        <w:tabs>
          <w:tab w:val="left" w:pos="494"/>
        </w:tabs>
        <w:spacing w:line="600" w:lineRule="exact"/>
        <w:ind w:firstLine="640"/>
        <w:rPr>
          <w:rFonts w:eastAsia="仿宋_GB2312" w:cs="仿宋_GB2312"/>
          <w:sz w:val="32"/>
          <w:szCs w:val="32"/>
        </w:rPr>
      </w:pPr>
      <w:r>
        <w:rPr>
          <w:rFonts w:hint="eastAsia" w:eastAsia="仿宋_GB2312" w:cs="仿宋_GB2312"/>
          <w:sz w:val="32"/>
          <w:szCs w:val="32"/>
          <w:lang w:eastAsia="zh-CN"/>
        </w:rPr>
        <w:tab/>
      </w:r>
      <w:r>
        <w:rPr>
          <w:rFonts w:hint="eastAsia" w:eastAsia="仿宋_GB2312" w:cs="仿宋_GB2312"/>
          <w:sz w:val="32"/>
          <w:szCs w:val="32"/>
          <w:lang w:val="en-US" w:eastAsia="zh-CN"/>
        </w:rPr>
        <w:t xml:space="preserve">    </w:t>
      </w:r>
      <w:r>
        <w:rPr>
          <w:rFonts w:hint="eastAsia" w:eastAsia="仿宋_GB2312" w:cs="仿宋_GB2312"/>
          <w:sz w:val="32"/>
          <w:szCs w:val="32"/>
        </w:rPr>
        <w:t>（图7：“三公”经费财政拨款支出结构）</w:t>
      </w:r>
    </w:p>
    <w:p w14:paraId="582D1A12">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111.95</w:t>
      </w:r>
      <w:r>
        <w:rPr>
          <w:rFonts w:hint="eastAsia" w:eastAsia="仿宋_GB2312" w:cs="仿宋_GB2312"/>
          <w:b/>
          <w:bCs/>
          <w:sz w:val="32"/>
          <w:szCs w:val="32"/>
        </w:rPr>
        <w:t>万元，完成预算</w:t>
      </w:r>
      <w:r>
        <w:rPr>
          <w:rFonts w:hint="eastAsia" w:eastAsia="仿宋_GB2312" w:cs="仿宋_GB2312"/>
          <w:b/>
          <w:bCs/>
          <w:sz w:val="32"/>
          <w:szCs w:val="32"/>
          <w:lang w:val="en-US" w:eastAsia="zh-CN"/>
        </w:rPr>
        <w:t>94.38</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组4</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。因公出国（境）支出决算比2023年增加</w:t>
      </w:r>
      <w:r>
        <w:rPr>
          <w:rFonts w:hint="eastAsia" w:eastAsia="仿宋_GB2312" w:cs="仿宋_GB2312"/>
          <w:sz w:val="32"/>
          <w:szCs w:val="32"/>
          <w:lang w:val="en-US" w:eastAsia="zh-CN"/>
        </w:rPr>
        <w:t>18.3</w:t>
      </w:r>
      <w:r>
        <w:rPr>
          <w:rFonts w:hint="eastAsia" w:eastAsia="仿宋_GB2312" w:cs="仿宋_GB2312"/>
          <w:sz w:val="32"/>
          <w:szCs w:val="32"/>
        </w:rPr>
        <w:t>万元，增长</w:t>
      </w:r>
      <w:r>
        <w:rPr>
          <w:rFonts w:hint="eastAsia" w:eastAsia="仿宋_GB2312" w:cs="仿宋_GB2312"/>
          <w:sz w:val="32"/>
          <w:szCs w:val="32"/>
          <w:lang w:val="en-US" w:eastAsia="zh-CN"/>
        </w:rPr>
        <w:t>19.54</w:t>
      </w:r>
      <w:r>
        <w:rPr>
          <w:rFonts w:hint="eastAsia" w:eastAsia="仿宋_GB2312" w:cs="仿宋_GB2312"/>
          <w:sz w:val="32"/>
          <w:szCs w:val="32"/>
        </w:rPr>
        <w:t>%。主要原因是</w:t>
      </w:r>
      <w:r>
        <w:rPr>
          <w:rFonts w:hint="eastAsia" w:eastAsia="仿宋_GB2312" w:cs="仿宋_GB2312"/>
          <w:sz w:val="32"/>
          <w:szCs w:val="32"/>
          <w:lang w:eastAsia="zh-CN"/>
        </w:rPr>
        <w:t>出访团组增加，费用增加。</w:t>
      </w:r>
    </w:p>
    <w:p w14:paraId="4A0252E4">
      <w:pPr>
        <w:spacing w:line="600" w:lineRule="exact"/>
        <w:ind w:firstLine="640"/>
        <w:rPr>
          <w:rFonts w:hint="eastAsia" w:ascii="仿宋_GB2312" w:hAnsi="仿宋_GB2312" w:eastAsia="仿宋_GB2312" w:cs="仿宋_GB2312"/>
          <w:color w:val="auto"/>
          <w:sz w:val="32"/>
          <w:szCs w:val="32"/>
          <w:highlight w:val="none"/>
        </w:rPr>
      </w:pPr>
      <w:r>
        <w:rPr>
          <w:rFonts w:hint="eastAsia" w:eastAsia="仿宋_GB2312" w:cs="仿宋_GB2312"/>
          <w:sz w:val="32"/>
          <w:szCs w:val="32"/>
        </w:rPr>
        <w:t>开支内容包括：</w:t>
      </w:r>
      <w:r>
        <w:rPr>
          <w:rFonts w:hint="eastAsia" w:ascii="宋体" w:hAnsi="宋体" w:eastAsia="仿宋_GB2312" w:cs="Times New Roman"/>
          <w:sz w:val="32"/>
          <w:szCs w:val="32"/>
          <w:lang w:val="en-US" w:eastAsia="zh-CN"/>
        </w:rPr>
        <w:t>市委主要领导赴泰国、马来西亚团组；</w:t>
      </w:r>
      <w:r>
        <w:rPr>
          <w:rFonts w:hint="eastAsia" w:eastAsia="仿宋_GB2312" w:cs="仿宋_GB2312"/>
          <w:sz w:val="32"/>
          <w:szCs w:val="32"/>
          <w:lang w:eastAsia="zh-CN"/>
        </w:rPr>
        <w:t>市政府主要领导</w:t>
      </w:r>
      <w:r>
        <w:rPr>
          <w:rFonts w:hint="eastAsia" w:ascii="宋体" w:hAnsi="宋体" w:eastAsia="仿宋_GB2312" w:cs="Times New Roman"/>
          <w:sz w:val="32"/>
          <w:szCs w:val="32"/>
          <w:lang w:val="en-US" w:eastAsia="zh-CN"/>
        </w:rPr>
        <w:t>赴奥地利、比利时、瑞士团组；市委副书记赴意大利、西班牙、法国团组；市政府领导赴挪威、荷兰团组</w:t>
      </w:r>
      <w:r>
        <w:rPr>
          <w:rFonts w:hint="eastAsia" w:eastAsia="仿宋_GB2312" w:cs="仿宋_GB2312"/>
          <w:sz w:val="32"/>
          <w:szCs w:val="32"/>
          <w:lang w:eastAsia="zh-CN"/>
        </w:rPr>
        <w:t>在境外</w:t>
      </w:r>
      <w:r>
        <w:rPr>
          <w:rFonts w:hint="eastAsia" w:ascii="宋体" w:hAnsi="宋体" w:eastAsia="仿宋_GB2312" w:cs="Times New Roman"/>
          <w:sz w:val="32"/>
          <w:szCs w:val="32"/>
          <w:lang w:val="en-US" w:eastAsia="zh-CN"/>
        </w:rPr>
        <w:t>开展了对外招商推介活动，有效的宣传和推介了广元优质产业，对中外友好合作交流起到了一定的推进作用。</w:t>
      </w:r>
    </w:p>
    <w:p w14:paraId="0A327477">
      <w:pPr>
        <w:spacing w:line="600" w:lineRule="exact"/>
        <w:ind w:firstLine="640"/>
        <w:rPr>
          <w:rFonts w:hint="default" w:eastAsia="仿宋_GB2312" w:cs="仿宋_GB2312"/>
          <w:sz w:val="32"/>
          <w:szCs w:val="32"/>
          <w:lang w:val="en-US"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3.37万</w:t>
      </w:r>
      <w:r>
        <w:rPr>
          <w:rFonts w:hint="eastAsia" w:eastAsia="仿宋_GB2312" w:cs="仿宋_GB2312"/>
          <w:b/>
          <w:bCs/>
          <w:sz w:val="32"/>
          <w:szCs w:val="32"/>
        </w:rPr>
        <w:t>元，完成预算</w:t>
      </w:r>
      <w:r>
        <w:rPr>
          <w:rFonts w:hint="eastAsia" w:eastAsia="仿宋_GB2312" w:cs="仿宋_GB2312"/>
          <w:b/>
          <w:bCs/>
          <w:sz w:val="32"/>
          <w:szCs w:val="32"/>
          <w:lang w:val="en-US" w:eastAsia="zh-CN"/>
        </w:rPr>
        <w:t>39.65</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18.35</w:t>
      </w:r>
      <w:r>
        <w:rPr>
          <w:rFonts w:hint="eastAsia" w:eastAsia="仿宋_GB2312" w:cs="仿宋_GB2312"/>
          <w:sz w:val="32"/>
          <w:szCs w:val="32"/>
        </w:rPr>
        <w:t>万元，下降</w:t>
      </w:r>
      <w:r>
        <w:rPr>
          <w:rFonts w:hint="eastAsia" w:eastAsia="仿宋_GB2312" w:cs="仿宋_GB2312"/>
          <w:sz w:val="32"/>
          <w:szCs w:val="32"/>
          <w:lang w:val="en-US" w:eastAsia="zh-CN"/>
        </w:rPr>
        <w:t>84.48</w:t>
      </w:r>
      <w:r>
        <w:rPr>
          <w:rFonts w:hint="eastAsia" w:eastAsia="仿宋_GB2312" w:cs="仿宋_GB2312"/>
          <w:sz w:val="32"/>
          <w:szCs w:val="32"/>
        </w:rPr>
        <w:t>%。主要原因是</w:t>
      </w:r>
      <w:r>
        <w:rPr>
          <w:rFonts w:hint="eastAsia" w:eastAsia="仿宋_GB2312" w:cs="仿宋_GB2312"/>
          <w:sz w:val="32"/>
          <w:szCs w:val="32"/>
          <w:lang w:val="en-US" w:eastAsia="zh-CN"/>
        </w:rPr>
        <w:t>2023年期间有新购公务用车。</w:t>
      </w:r>
    </w:p>
    <w:p w14:paraId="077407F0">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w:t>
      </w:r>
      <w:r>
        <w:rPr>
          <w:rFonts w:hint="eastAsia" w:eastAsia="仿宋_GB2312" w:cs="仿宋_GB2312"/>
          <w:sz w:val="32"/>
          <w:szCs w:val="32"/>
          <w:lang w:eastAsia="zh-CN"/>
        </w:rPr>
        <w:t>，未购置公务用车</w:t>
      </w:r>
      <w:r>
        <w:rPr>
          <w:rFonts w:hint="eastAsia" w:eastAsia="仿宋_GB2312" w:cs="仿宋_GB2312"/>
          <w:sz w:val="32"/>
          <w:szCs w:val="32"/>
        </w:rPr>
        <w:t>。截至2024年12月31日，单位共有公务用车</w:t>
      </w:r>
      <w:r>
        <w:rPr>
          <w:rFonts w:hint="eastAsia" w:eastAsia="仿宋_GB2312" w:cs="仿宋_GB2312"/>
          <w:sz w:val="32"/>
          <w:szCs w:val="32"/>
          <w:lang w:val="en-US" w:eastAsia="zh-CN"/>
        </w:rPr>
        <w:t>3</w:t>
      </w:r>
      <w:r>
        <w:rPr>
          <w:rFonts w:hint="eastAsia" w:eastAsia="仿宋_GB2312" w:cs="仿宋_GB2312"/>
          <w:sz w:val="32"/>
          <w:szCs w:val="32"/>
        </w:rPr>
        <w:t>辆，其中：轿车</w:t>
      </w:r>
      <w:r>
        <w:rPr>
          <w:rFonts w:hint="eastAsia" w:eastAsia="仿宋_GB2312" w:cs="仿宋_GB2312"/>
          <w:sz w:val="32"/>
          <w:szCs w:val="32"/>
          <w:lang w:val="en-US" w:eastAsia="zh-CN"/>
        </w:rPr>
        <w:t>1</w:t>
      </w:r>
      <w:r>
        <w:rPr>
          <w:rFonts w:hint="eastAsia" w:eastAsia="仿宋_GB2312" w:cs="仿宋_GB2312"/>
          <w:sz w:val="32"/>
          <w:szCs w:val="32"/>
        </w:rPr>
        <w:t>辆</w:t>
      </w:r>
      <w:r>
        <w:rPr>
          <w:rFonts w:hint="eastAsia" w:eastAsia="仿宋_GB2312" w:cs="仿宋_GB2312"/>
          <w:sz w:val="32"/>
          <w:szCs w:val="32"/>
          <w:lang w:eastAsia="zh-CN"/>
        </w:rPr>
        <w:t>、商务车</w:t>
      </w:r>
      <w:r>
        <w:rPr>
          <w:rFonts w:hint="eastAsia" w:eastAsia="仿宋_GB2312" w:cs="仿宋_GB2312"/>
          <w:sz w:val="32"/>
          <w:szCs w:val="32"/>
          <w:lang w:val="en-US" w:eastAsia="zh-CN"/>
        </w:rPr>
        <w:t>2辆</w:t>
      </w:r>
      <w:r>
        <w:rPr>
          <w:rFonts w:hint="eastAsia" w:eastAsia="仿宋_GB2312" w:cs="仿宋_GB2312"/>
          <w:sz w:val="32"/>
          <w:szCs w:val="32"/>
        </w:rPr>
        <w:t>。</w:t>
      </w:r>
    </w:p>
    <w:p w14:paraId="7AAF2C00">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出3.37</w:t>
      </w:r>
      <w:r>
        <w:rPr>
          <w:rFonts w:hint="eastAsia" w:eastAsia="仿宋_GB2312" w:cs="仿宋_GB2312"/>
          <w:sz w:val="32"/>
          <w:szCs w:val="32"/>
        </w:rPr>
        <w:t>万元。主要用于</w:t>
      </w:r>
      <w:r>
        <w:rPr>
          <w:rFonts w:hint="eastAsia" w:ascii="Times New Roman" w:hAnsi="Times New Roman" w:eastAsia="仿宋_GB2312" w:cs="Times New Roman"/>
          <w:color w:val="auto"/>
          <w:sz w:val="32"/>
          <w:szCs w:val="32"/>
          <w:highlight w:val="none"/>
          <w:lang w:eastAsia="zh-CN"/>
        </w:rPr>
        <w:t>外出考察项目、接送客商</w:t>
      </w:r>
      <w:r>
        <w:rPr>
          <w:rFonts w:hint="eastAsia" w:ascii="仿宋_GB2312" w:hAnsi="仿宋_GB2312" w:eastAsia="仿宋_GB2312" w:cs="仿宋_GB2312"/>
          <w:color w:val="auto"/>
          <w:sz w:val="32"/>
          <w:szCs w:val="32"/>
          <w:highlight w:val="none"/>
        </w:rPr>
        <w:t>等所需的公务用车燃料费、维修费、过路过桥费、保险费等支出</w:t>
      </w:r>
      <w:r>
        <w:rPr>
          <w:rFonts w:hint="eastAsia" w:eastAsia="仿宋_GB2312" w:cs="仿宋_GB2312"/>
          <w:sz w:val="32"/>
          <w:szCs w:val="32"/>
        </w:rPr>
        <w:t>。</w:t>
      </w:r>
    </w:p>
    <w:p w14:paraId="1DC00E20">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0.58万</w:t>
      </w:r>
      <w:r>
        <w:rPr>
          <w:rFonts w:hint="eastAsia" w:eastAsia="仿宋_GB2312" w:cs="仿宋_GB2312"/>
          <w:b/>
          <w:bCs/>
          <w:sz w:val="32"/>
          <w:szCs w:val="32"/>
        </w:rPr>
        <w:t>元，完成预算</w:t>
      </w:r>
      <w:r>
        <w:rPr>
          <w:rFonts w:hint="eastAsia" w:eastAsia="仿宋_GB2312" w:cs="仿宋_GB2312"/>
          <w:b/>
          <w:bCs/>
          <w:sz w:val="32"/>
          <w:szCs w:val="32"/>
          <w:lang w:val="en-US" w:eastAsia="zh-CN"/>
        </w:rPr>
        <w:t>72.5</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0.09</w:t>
      </w:r>
      <w:r>
        <w:rPr>
          <w:rFonts w:hint="eastAsia" w:eastAsia="仿宋_GB2312" w:cs="仿宋_GB2312"/>
          <w:sz w:val="32"/>
          <w:szCs w:val="32"/>
        </w:rPr>
        <w:t>万元，下降</w:t>
      </w:r>
      <w:r>
        <w:rPr>
          <w:rFonts w:hint="eastAsia" w:eastAsia="仿宋_GB2312" w:cs="仿宋_GB2312"/>
          <w:sz w:val="32"/>
          <w:szCs w:val="32"/>
          <w:lang w:val="en-US" w:eastAsia="zh-CN"/>
        </w:rPr>
        <w:t>13.43</w:t>
      </w:r>
      <w:r>
        <w:rPr>
          <w:rFonts w:hint="eastAsia" w:eastAsia="仿宋_GB2312" w:cs="仿宋_GB2312"/>
          <w:sz w:val="32"/>
          <w:szCs w:val="32"/>
        </w:rPr>
        <w:t>%。主要原因是</w:t>
      </w:r>
      <w:r>
        <w:rPr>
          <w:rFonts w:hint="eastAsia" w:eastAsia="仿宋_GB2312" w:cs="仿宋_GB2312"/>
          <w:sz w:val="32"/>
          <w:szCs w:val="32"/>
          <w:lang w:eastAsia="zh-CN"/>
        </w:rPr>
        <w:t>厉行节约</w:t>
      </w:r>
      <w:r>
        <w:rPr>
          <w:rFonts w:hint="eastAsia" w:eastAsia="仿宋_GB2312" w:cs="仿宋_GB2312"/>
          <w:sz w:val="32"/>
          <w:szCs w:val="32"/>
        </w:rPr>
        <w:t>。其中：</w:t>
      </w:r>
    </w:p>
    <w:p w14:paraId="7424FD4E">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出0.58万</w:t>
      </w:r>
      <w:r>
        <w:rPr>
          <w:rFonts w:hint="eastAsia" w:eastAsia="仿宋_GB2312" w:cs="仿宋_GB2312"/>
          <w:sz w:val="32"/>
          <w:szCs w:val="32"/>
        </w:rPr>
        <w:t>元，主要用于</w:t>
      </w:r>
      <w:r>
        <w:rPr>
          <w:rFonts w:hint="eastAsia" w:ascii="仿宋_GB2312" w:eastAsia="仿宋_GB2312"/>
          <w:color w:val="auto"/>
          <w:sz w:val="32"/>
          <w:szCs w:val="32"/>
          <w:highlight w:val="none"/>
        </w:rPr>
        <w:t>执行公务、开展业务活动开支的交通费、住宿费、用餐费等</w:t>
      </w:r>
      <w:r>
        <w:rPr>
          <w:rFonts w:hint="eastAsia" w:eastAsia="仿宋_GB2312" w:cs="仿宋_GB2312"/>
          <w:sz w:val="32"/>
          <w:szCs w:val="32"/>
        </w:rPr>
        <w:t>。国内公务接</w:t>
      </w:r>
      <w:r>
        <w:rPr>
          <w:rFonts w:hint="eastAsia" w:ascii="仿宋_GB2312" w:hAnsi="仿宋_GB2312" w:eastAsia="仿宋_GB2312" w:cs="仿宋_GB2312"/>
          <w:sz w:val="32"/>
          <w:szCs w:val="32"/>
        </w:rPr>
        <w:t>待5批次，38</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0.58</w:t>
      </w:r>
      <w:r>
        <w:rPr>
          <w:rFonts w:hint="eastAsia" w:eastAsia="仿宋_GB2312" w:cs="仿宋_GB2312"/>
          <w:sz w:val="32"/>
          <w:szCs w:val="32"/>
        </w:rPr>
        <w:t>万元，具体内容包括：</w:t>
      </w:r>
      <w:r>
        <w:rPr>
          <w:rFonts w:hint="eastAsia" w:ascii="Times New Roman" w:hAnsi="Times New Roman" w:eastAsia="仿宋_GB2312" w:cs="Times New Roman"/>
          <w:color w:val="auto"/>
          <w:sz w:val="32"/>
          <w:szCs w:val="32"/>
          <w:highlight w:val="none"/>
          <w:lang w:eastAsia="zh-CN"/>
        </w:rPr>
        <w:t>省经合局来广调研、央企国企来广考察等</w:t>
      </w:r>
      <w:r>
        <w:rPr>
          <w:rFonts w:hint="eastAsia" w:eastAsia="仿宋_GB2312" w:cs="仿宋_GB2312"/>
          <w:sz w:val="32"/>
          <w:szCs w:val="32"/>
        </w:rPr>
        <w:t>。</w:t>
      </w:r>
    </w:p>
    <w:p w14:paraId="158432A0">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p>
    <w:p w14:paraId="116AA407">
      <w:pPr>
        <w:spacing w:line="600" w:lineRule="exact"/>
        <w:ind w:firstLine="640"/>
        <w:outlineLvl w:val="1"/>
        <w:rPr>
          <w:rStyle w:val="23"/>
          <w:rFonts w:ascii="Times New Roman" w:hAnsi="Times New Roman" w:eastAsia="黑体"/>
        </w:rPr>
      </w:pPr>
      <w:bookmarkStart w:id="50" w:name="_Toc15396610"/>
      <w:bookmarkStart w:id="51" w:name="_Toc15377218"/>
      <w:bookmarkStart w:id="52" w:name="_Toc30625"/>
      <w:r>
        <w:rPr>
          <w:rFonts w:hint="eastAsia" w:eastAsia="黑体"/>
          <w:sz w:val="32"/>
          <w:szCs w:val="32"/>
        </w:rPr>
        <w:t>八、</w:t>
      </w:r>
      <w:r>
        <w:rPr>
          <w:rStyle w:val="23"/>
          <w:rFonts w:hint="eastAsia" w:ascii="Times New Roman" w:hAnsi="Times New Roman" w:eastAsia="黑体"/>
          <w:b w:val="0"/>
        </w:rPr>
        <w:t>政府性基金预算支出决算情况说明</w:t>
      </w:r>
      <w:bookmarkEnd w:id="50"/>
      <w:bookmarkEnd w:id="51"/>
      <w:bookmarkEnd w:id="52"/>
    </w:p>
    <w:p w14:paraId="646D39A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w:t>
      </w:r>
    </w:p>
    <w:p w14:paraId="158683FC">
      <w:pPr>
        <w:spacing w:line="600" w:lineRule="exact"/>
        <w:ind w:left="630"/>
        <w:outlineLvl w:val="1"/>
        <w:rPr>
          <w:rStyle w:val="23"/>
          <w:rFonts w:ascii="Times New Roman" w:hAnsi="Times New Roman" w:eastAsia="黑体"/>
          <w:b w:val="0"/>
        </w:rPr>
      </w:pPr>
      <w:bookmarkStart w:id="53" w:name="_Toc32229"/>
      <w:bookmarkStart w:id="54" w:name="_Toc15377219"/>
      <w:bookmarkStart w:id="55" w:name="_Toc15396611"/>
      <w:r>
        <w:rPr>
          <w:rStyle w:val="23"/>
          <w:rFonts w:hint="eastAsia" w:ascii="Times New Roman" w:hAnsi="Times New Roman" w:eastAsia="黑体"/>
          <w:b w:val="0"/>
        </w:rPr>
        <w:t>九、国有资本经营预算支出决算情况说明</w:t>
      </w:r>
      <w:bookmarkEnd w:id="53"/>
      <w:bookmarkEnd w:id="54"/>
      <w:bookmarkEnd w:id="55"/>
    </w:p>
    <w:p w14:paraId="47B5FEA4">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w:t>
      </w:r>
    </w:p>
    <w:p w14:paraId="2C4B9B97">
      <w:pPr>
        <w:spacing w:line="600" w:lineRule="exact"/>
        <w:ind w:left="630"/>
        <w:outlineLvl w:val="1"/>
        <w:rPr>
          <w:rStyle w:val="23"/>
          <w:rFonts w:ascii="Times New Roman" w:hAnsi="Times New Roman" w:eastAsia="黑体"/>
          <w:b w:val="0"/>
        </w:rPr>
      </w:pPr>
      <w:bookmarkStart w:id="56" w:name="_Toc15396612"/>
      <w:bookmarkStart w:id="57" w:name="_Toc15377221"/>
      <w:bookmarkStart w:id="58" w:name="_Toc15151"/>
      <w:r>
        <w:rPr>
          <w:rStyle w:val="23"/>
          <w:rFonts w:hint="eastAsia" w:ascii="Times New Roman" w:hAnsi="Times New Roman" w:eastAsia="黑体"/>
          <w:b w:val="0"/>
        </w:rPr>
        <w:t>十、其他重要事项的情况说明</w:t>
      </w:r>
      <w:bookmarkEnd w:id="56"/>
      <w:bookmarkEnd w:id="57"/>
      <w:bookmarkEnd w:id="58"/>
    </w:p>
    <w:p w14:paraId="69279CBD">
      <w:pPr>
        <w:spacing w:line="600" w:lineRule="exact"/>
        <w:ind w:firstLine="628" w:firstLineChars="200"/>
        <w:outlineLvl w:val="2"/>
        <w:rPr>
          <w:rFonts w:eastAsia="楷体_GB2312" w:cs="楷体_GB2312"/>
          <w:b/>
          <w:sz w:val="32"/>
          <w:szCs w:val="32"/>
        </w:rPr>
      </w:pPr>
      <w:bookmarkStart w:id="59" w:name="_Toc15377222"/>
      <w:r>
        <w:rPr>
          <w:rFonts w:hint="eastAsia" w:eastAsia="楷体_GB2312" w:cs="楷体_GB2312"/>
          <w:b/>
          <w:sz w:val="32"/>
          <w:szCs w:val="32"/>
        </w:rPr>
        <w:t>（一）机关运行经费支出情况</w:t>
      </w:r>
      <w:bookmarkEnd w:id="59"/>
    </w:p>
    <w:p w14:paraId="5D86A929">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，广元市经济合作和外事局机关运行经费支出180.28万</w:t>
      </w:r>
      <w:r>
        <w:rPr>
          <w:rFonts w:hint="eastAsia" w:eastAsia="仿宋_GB2312" w:cs="仿宋_GB2312"/>
          <w:sz w:val="32"/>
          <w:szCs w:val="32"/>
        </w:rPr>
        <w:t>元，比2023年度增加</w:t>
      </w:r>
      <w:r>
        <w:rPr>
          <w:rFonts w:hint="eastAsia" w:eastAsia="仿宋_GB2312" w:cs="仿宋_GB2312"/>
          <w:sz w:val="32"/>
          <w:szCs w:val="32"/>
          <w:lang w:val="en-US" w:eastAsia="zh-CN"/>
        </w:rPr>
        <w:t>13.93</w:t>
      </w:r>
      <w:r>
        <w:rPr>
          <w:rFonts w:hint="eastAsia" w:eastAsia="仿宋_GB2312" w:cs="仿宋_GB2312"/>
          <w:sz w:val="32"/>
          <w:szCs w:val="32"/>
        </w:rPr>
        <w:t>万元，增长</w:t>
      </w:r>
      <w:r>
        <w:rPr>
          <w:rFonts w:hint="eastAsia" w:eastAsia="仿宋_GB2312" w:cs="仿宋_GB2312"/>
          <w:sz w:val="32"/>
          <w:szCs w:val="32"/>
          <w:lang w:val="en-US" w:eastAsia="zh-CN"/>
        </w:rPr>
        <w:t>8.37</w:t>
      </w:r>
      <w:r>
        <w:rPr>
          <w:rFonts w:hint="eastAsia" w:eastAsia="仿宋_GB2312" w:cs="仿宋_GB2312"/>
          <w:sz w:val="32"/>
          <w:szCs w:val="32"/>
        </w:rPr>
        <w:t>%。主要原因是</w:t>
      </w:r>
      <w:r>
        <w:rPr>
          <w:rFonts w:hint="eastAsia" w:eastAsia="仿宋_GB2312" w:cs="仿宋_GB2312"/>
          <w:sz w:val="32"/>
          <w:szCs w:val="32"/>
          <w:lang w:eastAsia="zh-CN"/>
        </w:rPr>
        <w:t>单位人员增加，机关运行经费增加。</w:t>
      </w:r>
    </w:p>
    <w:p w14:paraId="5EAFDAB2">
      <w:pPr>
        <w:spacing w:line="600" w:lineRule="exact"/>
        <w:ind w:firstLine="628" w:firstLineChars="200"/>
        <w:outlineLvl w:val="2"/>
        <w:rPr>
          <w:rFonts w:eastAsia="楷体_GB2312" w:cs="楷体_GB2312"/>
          <w:b/>
          <w:sz w:val="32"/>
          <w:szCs w:val="32"/>
        </w:rPr>
      </w:pPr>
      <w:bookmarkStart w:id="60" w:name="_Toc15377223"/>
      <w:r>
        <w:rPr>
          <w:rFonts w:hint="eastAsia" w:eastAsia="楷体_GB2312" w:cs="楷体_GB2312"/>
          <w:b/>
          <w:sz w:val="32"/>
          <w:szCs w:val="32"/>
        </w:rPr>
        <w:t>（二）政府采购支出情况</w:t>
      </w:r>
      <w:bookmarkEnd w:id="60"/>
    </w:p>
    <w:p w14:paraId="0700A9AF">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2024年度，广元市经济合作和外事局政府采购支出总额3.03万元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其中：政府采购货物支出2.13万元、政府采购服务支出0.9万元。主要用于</w:t>
      </w:r>
      <w:r>
        <w:rPr>
          <w:rFonts w:hint="eastAsia" w:ascii="仿宋_GB2312" w:hAnsi="仿宋_GB2312" w:eastAsia="仿宋_GB2312" w:cs="仿宋_GB2312"/>
          <w:sz w:val="32"/>
          <w:szCs w:val="32"/>
          <w:lang w:eastAsia="zh-CN"/>
        </w:rPr>
        <w:t>采购电脑打印机等必要办公设备、公务用车加油、公务用车维修等服务支出</w:t>
      </w:r>
      <w:r>
        <w:rPr>
          <w:rFonts w:hint="eastAsia" w:ascii="仿宋_GB2312" w:hAnsi="仿宋_GB2312" w:eastAsia="仿宋_GB2312" w:cs="仿宋_GB2312"/>
          <w:sz w:val="32"/>
          <w:szCs w:val="32"/>
        </w:rPr>
        <w:t>。授予中小企业合同金额2.13万元，占政府采购支出总额的70.27%，其中：授予小微企业合同金额2.13万元，占政府采购支出总额的70.27%。</w:t>
      </w:r>
    </w:p>
    <w:p w14:paraId="3F1003F2">
      <w:pPr>
        <w:spacing w:line="600" w:lineRule="exact"/>
        <w:ind w:firstLine="628" w:firstLineChars="200"/>
        <w:outlineLvl w:val="2"/>
        <w:rPr>
          <w:rFonts w:eastAsia="楷体_GB2312" w:cs="楷体_GB2312"/>
          <w:b/>
          <w:sz w:val="32"/>
          <w:szCs w:val="32"/>
        </w:rPr>
      </w:pPr>
      <w:bookmarkStart w:id="61" w:name="_Toc15377224"/>
      <w:r>
        <w:rPr>
          <w:rFonts w:hint="eastAsia" w:eastAsia="楷体_GB2312" w:cs="楷体_GB2312"/>
          <w:b/>
          <w:sz w:val="32"/>
          <w:szCs w:val="32"/>
        </w:rPr>
        <w:t>（三）国有资产占有使用情况</w:t>
      </w:r>
      <w:bookmarkEnd w:id="61"/>
    </w:p>
    <w:p w14:paraId="7C9FC50A">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截至2024年12月31日，广元市经济合作和外事局共有车辆3辆，其中：应急保障用车3辆。单价100万元（含）以上设备（不含车辆）0台（套）</w:t>
      </w:r>
      <w:r>
        <w:rPr>
          <w:rFonts w:hint="eastAsia" w:eastAsia="仿宋_GB2312" w:cs="仿宋_GB2312"/>
          <w:sz w:val="32"/>
          <w:szCs w:val="32"/>
        </w:rPr>
        <w:t>。</w:t>
      </w:r>
    </w:p>
    <w:p w14:paraId="2804A88F">
      <w:pPr>
        <w:spacing w:line="600" w:lineRule="exact"/>
        <w:ind w:firstLine="628"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14233C93">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广元市经济合作和外事局</w:t>
      </w:r>
      <w:r>
        <w:rPr>
          <w:rFonts w:hint="eastAsia" w:eastAsia="仿宋_GB2312" w:cs="仿宋_GB2312"/>
          <w:sz w:val="32"/>
          <w:szCs w:val="32"/>
        </w:rPr>
        <w:t>在2024年度预算编制阶段，组织对</w:t>
      </w:r>
      <w:r>
        <w:rPr>
          <w:rFonts w:hint="eastAsia" w:eastAsia="仿宋_GB2312" w:cs="仿宋_GB2312"/>
          <w:sz w:val="32"/>
          <w:szCs w:val="32"/>
          <w:lang w:eastAsia="zh-CN"/>
        </w:rPr>
        <w:t>各驻点招商分局工作经费及房租</w:t>
      </w:r>
      <w:r>
        <w:rPr>
          <w:rFonts w:hint="eastAsia" w:eastAsia="仿宋_GB2312" w:cs="仿宋_GB2312"/>
          <w:sz w:val="32"/>
          <w:szCs w:val="32"/>
        </w:rPr>
        <w:t>等</w:t>
      </w:r>
      <w:r>
        <w:rPr>
          <w:rFonts w:hint="eastAsia" w:eastAsia="仿宋_GB2312" w:cs="仿宋_GB2312"/>
          <w:sz w:val="32"/>
          <w:szCs w:val="32"/>
          <w:lang w:val="en-US" w:eastAsia="zh-CN"/>
        </w:rPr>
        <w:t>2</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2</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2</w:t>
      </w:r>
      <w:r>
        <w:rPr>
          <w:rFonts w:hint="eastAsia" w:eastAsia="仿宋_GB2312" w:cs="仿宋_GB2312"/>
          <w:sz w:val="32"/>
          <w:szCs w:val="32"/>
        </w:rPr>
        <w:t>个项目开展绩效监控。</w:t>
      </w:r>
    </w:p>
    <w:p w14:paraId="1A7EC293">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eastAsia="仿宋_GB2312" w:cs="仿宋_GB2312"/>
          <w:sz w:val="32"/>
          <w:szCs w:val="32"/>
          <w:lang w:eastAsia="zh-CN"/>
        </w:rPr>
        <w:t>广元市经济合作和外事局</w:t>
      </w:r>
      <w:r>
        <w:rPr>
          <w:rFonts w:hint="eastAsia" w:eastAsia="仿宋_GB2312" w:cs="仿宋_GB2312"/>
          <w:sz w:val="32"/>
          <w:szCs w:val="32"/>
        </w:rPr>
        <w:t>部门整体（含部门预算项目）绩效自评报告、</w:t>
      </w:r>
      <w:r>
        <w:rPr>
          <w:rFonts w:hint="eastAsia" w:eastAsia="仿宋_GB2312" w:cs="仿宋_GB2312"/>
          <w:sz w:val="32"/>
          <w:szCs w:val="32"/>
          <w:lang w:eastAsia="zh-CN"/>
        </w:rPr>
        <w:t>各驻点招商分局工作经费及房租</w:t>
      </w:r>
      <w:r>
        <w:rPr>
          <w:rFonts w:hint="eastAsia" w:eastAsia="仿宋_GB2312" w:cs="仿宋_GB2312"/>
          <w:sz w:val="32"/>
          <w:szCs w:val="32"/>
        </w:rPr>
        <w:t>等专项预算项目绩效自评报告</w:t>
      </w:r>
      <w:r>
        <w:rPr>
          <w:rFonts w:hint="eastAsia" w:eastAsia="仿宋_GB2312" w:cs="仿宋_GB2312"/>
          <w:sz w:val="32"/>
          <w:szCs w:val="32"/>
          <w:lang w:eastAsia="zh-CN"/>
        </w:rPr>
        <w:t>。</w:t>
      </w:r>
      <w:r>
        <w:rPr>
          <w:rFonts w:hint="eastAsia" w:eastAsia="仿宋_GB2312" w:cs="仿宋_GB2312"/>
          <w:sz w:val="32"/>
          <w:szCs w:val="32"/>
        </w:rPr>
        <w:t>其中，</w:t>
      </w:r>
      <w:r>
        <w:rPr>
          <w:rFonts w:hint="eastAsia" w:eastAsia="仿宋_GB2312" w:cs="仿宋_GB2312"/>
          <w:sz w:val="32"/>
          <w:szCs w:val="32"/>
          <w:lang w:eastAsia="zh-CN"/>
        </w:rPr>
        <w:t>广元市经济合作和外事局</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95.3</w:t>
      </w:r>
      <w:r>
        <w:rPr>
          <w:rFonts w:hint="eastAsia" w:eastAsia="仿宋_GB2312" w:cs="仿宋_GB2312"/>
          <w:sz w:val="32"/>
          <w:szCs w:val="32"/>
        </w:rPr>
        <w:t>分，绩效自评综述</w:t>
      </w:r>
      <w:r>
        <w:rPr>
          <w:rFonts w:hint="eastAsia" w:eastAsia="仿宋_GB2312" w:cs="仿宋_GB2312"/>
          <w:sz w:val="32"/>
          <w:szCs w:val="32"/>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zh-CN" w:eastAsia="zh-CN"/>
        </w:rPr>
        <w:t>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zh-CN" w:eastAsia="zh-CN"/>
        </w:rPr>
        <w:t>年我单位整体支出绩效自查自评结果良好，全年基本支出保证了单位的正常运转，项目支出保障了重点专项工作的开展，按照 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zh-CN" w:eastAsia="zh-CN"/>
        </w:rPr>
        <w:t>年度部门整体支出绩效评价指标体系对我单位预算编制、预算执行、完成结果、信息公开、整改反馈等方面进行了自评，最终得分</w:t>
      </w:r>
      <w:r>
        <w:rPr>
          <w:rFonts w:hint="eastAsia" w:ascii="Times New Roman" w:hAnsi="Times New Roman" w:eastAsia="仿宋_GB2312" w:cs="Times New Roman"/>
          <w:color w:val="auto"/>
          <w:sz w:val="32"/>
          <w:szCs w:val="32"/>
          <w:highlight w:val="none"/>
          <w:lang w:val="en-US" w:eastAsia="zh-CN"/>
        </w:rPr>
        <w:t>95.3</w:t>
      </w:r>
      <w:r>
        <w:rPr>
          <w:rFonts w:hint="eastAsia" w:ascii="Times New Roman" w:hAnsi="Times New Roman" w:eastAsia="仿宋_GB2312" w:cs="Times New Roman"/>
          <w:color w:val="auto"/>
          <w:sz w:val="32"/>
          <w:szCs w:val="32"/>
          <w:highlight w:val="none"/>
          <w:lang w:val="zh-CN" w:eastAsia="zh-CN"/>
        </w:rPr>
        <w:t>分</w:t>
      </w:r>
      <w:r>
        <w:rPr>
          <w:rFonts w:hint="eastAsia" w:eastAsia="仿宋_GB2312" w:cs="仿宋_GB2312"/>
          <w:sz w:val="32"/>
          <w:szCs w:val="32"/>
        </w:rPr>
        <w:t>；</w:t>
      </w:r>
      <w:r>
        <w:rPr>
          <w:rFonts w:hint="eastAsia" w:eastAsia="仿宋_GB2312" w:cs="仿宋_GB2312"/>
          <w:sz w:val="32"/>
          <w:szCs w:val="32"/>
          <w:lang w:eastAsia="zh-CN"/>
        </w:rPr>
        <w:t>因公临时出国（境）</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100</w:t>
      </w:r>
      <w:r>
        <w:rPr>
          <w:rFonts w:hint="eastAsia" w:eastAsia="仿宋_GB2312" w:cs="仿宋_GB2312"/>
          <w:sz w:val="32"/>
          <w:szCs w:val="32"/>
        </w:rPr>
        <w:t>分，绩效自评综述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zh-CN" w:eastAsia="zh-CN"/>
        </w:rPr>
        <w:t>20</w:t>
      </w:r>
      <w:r>
        <w:rPr>
          <w:rFonts w:hint="eastAsia"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zh-CN" w:eastAsia="zh-CN"/>
        </w:rPr>
        <w:t>年我单位</w:t>
      </w:r>
      <w:r>
        <w:rPr>
          <w:rFonts w:hint="eastAsia" w:eastAsia="仿宋_GB2312" w:cs="仿宋_GB2312"/>
          <w:sz w:val="32"/>
          <w:szCs w:val="32"/>
          <w:lang w:eastAsia="zh-CN"/>
        </w:rPr>
        <w:t>因公临时出国（境）经费</w:t>
      </w:r>
      <w:r>
        <w:rPr>
          <w:rFonts w:hint="eastAsia" w:ascii="Times New Roman" w:hAnsi="Times New Roman" w:eastAsia="仿宋_GB2312" w:cs="Times New Roman"/>
          <w:color w:val="auto"/>
          <w:sz w:val="32"/>
          <w:szCs w:val="32"/>
          <w:highlight w:val="none"/>
          <w:lang w:val="zh-CN" w:eastAsia="zh-CN"/>
        </w:rPr>
        <w:t>支出绩效自查自评结果良好，全年基本支出保证了因公出国工作的正常运转，按照 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zh-CN" w:eastAsia="zh-CN"/>
        </w:rPr>
        <w:t>年度部门</w:t>
      </w:r>
      <w:r>
        <w:rPr>
          <w:rFonts w:hint="eastAsia" w:ascii="Times New Roman" w:hAnsi="Times New Roman" w:eastAsia="仿宋_GB2312" w:cs="Times New Roman"/>
          <w:color w:val="auto"/>
          <w:sz w:val="32"/>
          <w:szCs w:val="32"/>
          <w:highlight w:val="none"/>
          <w:lang w:val="en-US" w:eastAsia="zh-CN"/>
        </w:rPr>
        <w:t>因公出国专项资金</w:t>
      </w:r>
      <w:r>
        <w:rPr>
          <w:rFonts w:hint="eastAsia" w:ascii="Times New Roman" w:hAnsi="Times New Roman" w:eastAsia="仿宋_GB2312" w:cs="Times New Roman"/>
          <w:color w:val="auto"/>
          <w:sz w:val="32"/>
          <w:szCs w:val="32"/>
          <w:highlight w:val="none"/>
          <w:lang w:val="zh-CN" w:eastAsia="zh-CN"/>
        </w:rPr>
        <w:t>支出绩效评价指标体系对我单位预算编制、预算执行、完成结果、信息公开、整改反馈等方面进行了自评，最终得分</w:t>
      </w:r>
      <w:r>
        <w:rPr>
          <w:rFonts w:hint="eastAsia"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highlight w:val="none"/>
          <w:lang w:val="zh-CN" w:eastAsia="zh-CN"/>
        </w:rPr>
        <w:t>分</w:t>
      </w:r>
      <w:r>
        <w:rPr>
          <w:rFonts w:hint="eastAsia" w:ascii="Times New Roman" w:hAnsi="Times New Roman" w:eastAsia="仿宋_GB2312" w:cs="Times New Roman"/>
          <w:color w:val="auto"/>
          <w:sz w:val="32"/>
          <w:szCs w:val="32"/>
          <w:highlight w:val="none"/>
          <w:lang w:eastAsia="zh-CN"/>
        </w:rPr>
        <w:t>。</w:t>
      </w:r>
      <w:r>
        <w:rPr>
          <w:rFonts w:hint="eastAsia" w:eastAsia="仿宋_GB2312" w:cs="仿宋_GB2312"/>
          <w:sz w:val="32"/>
          <w:szCs w:val="32"/>
        </w:rPr>
        <w:t>绩效自评报告详见附件。</w:t>
      </w:r>
    </w:p>
    <w:p w14:paraId="742CA8B5">
      <w:pPr>
        <w:rPr>
          <w:rFonts w:hint="eastAsia" w:eastAsia="黑体"/>
          <w:sz w:val="44"/>
          <w:szCs w:val="44"/>
        </w:rPr>
      </w:pPr>
      <w:bookmarkStart w:id="62" w:name="_Toc15377225"/>
      <w:bookmarkStart w:id="63" w:name="_Toc15396613"/>
      <w:r>
        <w:rPr>
          <w:rFonts w:hint="eastAsia" w:eastAsia="黑体"/>
          <w:sz w:val="44"/>
          <w:szCs w:val="44"/>
        </w:rPr>
        <w:br w:type="page"/>
      </w:r>
    </w:p>
    <w:p w14:paraId="08347B6C">
      <w:pPr>
        <w:spacing w:line="600" w:lineRule="exact"/>
        <w:jc w:val="center"/>
        <w:outlineLvl w:val="0"/>
        <w:rPr>
          <w:rFonts w:eastAsia="黑体"/>
          <w:sz w:val="44"/>
          <w:szCs w:val="44"/>
        </w:rPr>
      </w:pPr>
      <w:bookmarkStart w:id="64" w:name="_Toc11387"/>
      <w:r>
        <w:rPr>
          <w:rFonts w:hint="eastAsia" w:eastAsia="黑体"/>
          <w:sz w:val="44"/>
          <w:szCs w:val="44"/>
        </w:rPr>
        <w:t>第三部分</w:t>
      </w:r>
      <w:r>
        <w:rPr>
          <w:rFonts w:hint="eastAsia" w:eastAsia="黑体"/>
          <w:sz w:val="44"/>
          <w:szCs w:val="44"/>
          <w:lang w:val="en-US" w:eastAsia="zh-CN"/>
        </w:rPr>
        <w:t xml:space="preserve">  </w:t>
      </w:r>
      <w:r>
        <w:rPr>
          <w:rFonts w:hint="eastAsia" w:eastAsia="黑体"/>
          <w:sz w:val="44"/>
          <w:szCs w:val="44"/>
        </w:rPr>
        <w:t>名词解释</w:t>
      </w:r>
      <w:bookmarkEnd w:id="62"/>
      <w:bookmarkEnd w:id="63"/>
      <w:bookmarkEnd w:id="64"/>
    </w:p>
    <w:p w14:paraId="794E7D6A">
      <w:pPr>
        <w:spacing w:line="600" w:lineRule="exact"/>
        <w:jc w:val="left"/>
        <w:rPr>
          <w:b/>
          <w:sz w:val="44"/>
          <w:szCs w:val="44"/>
        </w:rPr>
      </w:pPr>
    </w:p>
    <w:p w14:paraId="065BE013">
      <w:pPr>
        <w:pStyle w:val="32"/>
        <w:numPr>
          <w:ilvl w:val="0"/>
          <w:numId w:val="3"/>
        </w:numPr>
        <w:spacing w:line="560" w:lineRule="exact"/>
        <w:ind w:left="0" w:leftChars="0" w:firstLine="400" w:firstLineChars="0"/>
        <w:rPr>
          <w:rFonts w:ascii="仿宋_GB2312" w:eastAsia="仿宋_GB2312"/>
          <w:color w:val="auto"/>
          <w:sz w:val="32"/>
          <w:szCs w:val="32"/>
          <w:highlight w:val="none"/>
        </w:rPr>
      </w:pPr>
      <w:bookmarkStart w:id="65" w:name="_Toc15377226"/>
      <w:r>
        <w:rPr>
          <w:rFonts w:hint="eastAsia" w:ascii="黑体" w:hAnsi="黑体" w:eastAsia="黑体" w:cs="黑体"/>
          <w:color w:val="auto"/>
          <w:kern w:val="2"/>
          <w:sz w:val="32"/>
          <w:szCs w:val="32"/>
          <w:highlight w:val="none"/>
          <w:lang w:val="en-US" w:eastAsia="zh-CN" w:bidi="ar-SA"/>
        </w:rPr>
        <w:t>财政拨款收入：</w:t>
      </w:r>
      <w:r>
        <w:rPr>
          <w:rFonts w:hint="eastAsia" w:ascii="仿宋_GB2312" w:eastAsia="仿宋_GB2312"/>
          <w:color w:val="auto"/>
          <w:sz w:val="32"/>
          <w:szCs w:val="32"/>
          <w:highlight w:val="none"/>
        </w:rPr>
        <w:t>指单位从同级财政部门取得的财政预算资金。</w:t>
      </w:r>
    </w:p>
    <w:p w14:paraId="59D11700">
      <w:pPr>
        <w:pStyle w:val="32"/>
        <w:numPr>
          <w:ilvl w:val="0"/>
          <w:numId w:val="3"/>
        </w:numPr>
        <w:spacing w:line="560" w:lineRule="exact"/>
        <w:ind w:left="0" w:leftChars="0" w:firstLine="400" w:firstLineChars="0"/>
        <w:rPr>
          <w:rFonts w:ascii="仿宋_GB2312" w:eastAsia="仿宋_GB2312"/>
          <w:color w:val="auto"/>
          <w:sz w:val="32"/>
          <w:szCs w:val="32"/>
          <w:highlight w:val="none"/>
        </w:rPr>
      </w:pPr>
      <w:r>
        <w:rPr>
          <w:rFonts w:hint="eastAsia" w:ascii="黑体" w:hAnsi="黑体" w:eastAsia="黑体" w:cs="黑体"/>
          <w:color w:val="auto"/>
          <w:kern w:val="2"/>
          <w:sz w:val="32"/>
          <w:szCs w:val="32"/>
          <w:highlight w:val="none"/>
          <w:lang w:val="zh-CN" w:eastAsia="zh-CN" w:bidi="ar-SA"/>
        </w:rPr>
        <w:t>年初结转和结余：</w:t>
      </w:r>
      <w:r>
        <w:rPr>
          <w:rFonts w:hint="eastAsia" w:ascii="仿宋_GB2312" w:eastAsia="仿宋_GB2312"/>
          <w:color w:val="auto"/>
          <w:sz w:val="32"/>
          <w:szCs w:val="32"/>
          <w:highlight w:val="none"/>
        </w:rPr>
        <w:t>指以前年度尚未完成、结转到本年按有关规定继续使用的资金。</w:t>
      </w:r>
      <w:r>
        <w:rPr>
          <w:rFonts w:ascii="仿宋_GB2312" w:eastAsia="仿宋_GB2312"/>
          <w:color w:val="auto"/>
          <w:sz w:val="32"/>
          <w:szCs w:val="32"/>
          <w:highlight w:val="none"/>
        </w:rPr>
        <w:t xml:space="preserve"> </w:t>
      </w:r>
    </w:p>
    <w:p w14:paraId="0FD2D240">
      <w:pPr>
        <w:pStyle w:val="32"/>
        <w:numPr>
          <w:ilvl w:val="0"/>
          <w:numId w:val="3"/>
        </w:numPr>
        <w:spacing w:line="560" w:lineRule="exact"/>
        <w:ind w:left="0" w:leftChars="0" w:firstLine="400" w:firstLineChars="0"/>
        <w:rPr>
          <w:rFonts w:ascii="仿宋_GB2312" w:eastAsia="仿宋_GB2312"/>
          <w:color w:val="auto"/>
          <w:sz w:val="32"/>
          <w:szCs w:val="32"/>
          <w:highlight w:val="none"/>
        </w:rPr>
      </w:pPr>
      <w:r>
        <w:rPr>
          <w:rFonts w:hint="eastAsia" w:ascii="黑体" w:hAnsi="黑体" w:eastAsia="黑体" w:cs="黑体"/>
          <w:color w:val="auto"/>
          <w:kern w:val="2"/>
          <w:sz w:val="32"/>
          <w:szCs w:val="32"/>
          <w:highlight w:val="none"/>
          <w:lang w:val="en-US" w:eastAsia="zh-CN" w:bidi="ar-SA"/>
        </w:rPr>
        <w:t>年末结转和结余</w:t>
      </w:r>
      <w:r>
        <w:rPr>
          <w:rFonts w:hint="eastAsia" w:ascii="仿宋_GB2312" w:eastAsia="仿宋_GB2312"/>
          <w:color w:val="auto"/>
          <w:sz w:val="32"/>
          <w:szCs w:val="32"/>
          <w:highlight w:val="none"/>
        </w:rPr>
        <w:t>：指单位按有关规定结转到下年或以后年度继续使用的资金。</w:t>
      </w:r>
    </w:p>
    <w:p w14:paraId="47D0F94A">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zh-CN" w:eastAsia="zh-CN"/>
        </w:rPr>
        <w:t>一般公共服务（类）商贸事务（款）行政运行（项）：</w:t>
      </w:r>
      <w:r>
        <w:rPr>
          <w:rFonts w:hint="eastAsia" w:ascii="Times New Roman" w:hAnsi="Times New Roman" w:eastAsia="仿宋_GB2312" w:cs="Times New Roman"/>
          <w:color w:val="auto"/>
          <w:sz w:val="32"/>
          <w:szCs w:val="32"/>
          <w:highlight w:val="none"/>
          <w:lang w:val="en-US" w:eastAsia="zh-CN"/>
        </w:rPr>
        <w:t>指行政单位基本支出。</w:t>
      </w:r>
    </w:p>
    <w:p w14:paraId="035C85E6">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576" w:lineRule="exact"/>
        <w:ind w:left="0" w:leftChars="0" w:firstLine="400" w:firstLineChars="0"/>
        <w:jc w:val="both"/>
        <w:textAlignment w:val="auto"/>
        <w:outlineLvl w:val="9"/>
        <w:rPr>
          <w:rFonts w:hint="default"/>
          <w:lang w:val="en-US" w:eastAsia="zh-CN"/>
        </w:rPr>
      </w:pPr>
      <w:r>
        <w:rPr>
          <w:rFonts w:hint="eastAsia" w:ascii="黑体" w:hAnsi="黑体" w:eastAsia="黑体" w:cs="黑体"/>
          <w:color w:val="auto"/>
          <w:sz w:val="32"/>
          <w:szCs w:val="32"/>
          <w:highlight w:val="none"/>
          <w:lang w:val="zh-CN" w:eastAsia="zh-CN"/>
        </w:rPr>
        <w:t>一般公共服务（类）商贸事务（款）一般行政管理事务（项）：</w:t>
      </w:r>
      <w:r>
        <w:rPr>
          <w:rFonts w:hint="eastAsia" w:ascii="Times New Roman" w:hAnsi="Times New Roman" w:eastAsia="仿宋_GB2312" w:cs="Times New Roman"/>
          <w:color w:val="auto"/>
          <w:kern w:val="2"/>
          <w:sz w:val="32"/>
          <w:szCs w:val="32"/>
          <w:highlight w:val="none"/>
          <w:lang w:val="zh-CN" w:eastAsia="zh-CN" w:bidi="ar-SA"/>
        </w:rPr>
        <w:t>指行政单位除单设科目以外的其他项目支出</w:t>
      </w:r>
      <w:r>
        <w:rPr>
          <w:rFonts w:hint="eastAsia" w:eastAsia="仿宋_GB2312" w:cs="Times New Roman"/>
          <w:color w:val="auto"/>
          <w:kern w:val="2"/>
          <w:sz w:val="32"/>
          <w:szCs w:val="32"/>
          <w:highlight w:val="none"/>
          <w:lang w:val="zh-CN" w:eastAsia="zh-CN" w:bidi="ar-SA"/>
        </w:rPr>
        <w:t>。</w:t>
      </w:r>
    </w:p>
    <w:p w14:paraId="57CFD043">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黑体" w:hAnsi="黑体" w:eastAsia="黑体" w:cs="黑体"/>
          <w:color w:val="auto"/>
          <w:sz w:val="32"/>
          <w:szCs w:val="32"/>
          <w:highlight w:val="none"/>
          <w:lang w:val="zh-CN" w:eastAsia="zh-CN"/>
        </w:rPr>
        <w:t>一般公共服务（类）商贸事务（款）招商引资（项）：</w:t>
      </w:r>
      <w:r>
        <w:rPr>
          <w:rFonts w:hint="eastAsia" w:ascii="Times New Roman" w:hAnsi="Times New Roman" w:eastAsia="仿宋_GB2312" w:cs="Times New Roman"/>
          <w:color w:val="auto"/>
          <w:sz w:val="32"/>
          <w:szCs w:val="32"/>
          <w:highlight w:val="none"/>
          <w:lang w:val="zh-CN" w:eastAsia="zh-CN"/>
        </w:rPr>
        <w:t>指财政部门用于招商引资方面的支出。</w:t>
      </w:r>
    </w:p>
    <w:p w14:paraId="4B1612C7">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zh-CN" w:eastAsia="zh-CN"/>
        </w:rPr>
        <w:t>一般公共服务（类）商贸事务（款）事业运行（项）：</w:t>
      </w:r>
      <w:r>
        <w:rPr>
          <w:rFonts w:hint="eastAsia" w:ascii="Times New Roman" w:hAnsi="Times New Roman" w:eastAsia="仿宋_GB2312" w:cs="Times New Roman"/>
          <w:color w:val="auto"/>
          <w:sz w:val="32"/>
          <w:szCs w:val="32"/>
          <w:highlight w:val="none"/>
          <w:lang w:val="en-US" w:eastAsia="zh-CN"/>
        </w:rPr>
        <w:t>指</w:t>
      </w:r>
      <w:r>
        <w:rPr>
          <w:rFonts w:hint="eastAsia" w:eastAsia="仿宋_GB2312" w:cs="Times New Roman"/>
          <w:color w:val="auto"/>
          <w:sz w:val="32"/>
          <w:szCs w:val="32"/>
          <w:highlight w:val="none"/>
          <w:lang w:val="en-US" w:eastAsia="zh-CN"/>
        </w:rPr>
        <w:t>事业</w:t>
      </w:r>
      <w:r>
        <w:rPr>
          <w:rFonts w:hint="eastAsia" w:ascii="Times New Roman" w:hAnsi="Times New Roman" w:eastAsia="仿宋_GB2312" w:cs="Times New Roman"/>
          <w:color w:val="auto"/>
          <w:sz w:val="32"/>
          <w:szCs w:val="32"/>
          <w:highlight w:val="none"/>
          <w:lang w:val="en-US" w:eastAsia="zh-CN"/>
        </w:rPr>
        <w:t>单位基本支出。</w:t>
      </w:r>
    </w:p>
    <w:p w14:paraId="4739F35D">
      <w:pPr>
        <w:pStyle w:val="17"/>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576" w:lineRule="exact"/>
        <w:ind w:left="0" w:leftChars="0" w:right="0" w:rightChars="0" w:firstLine="400" w:firstLineChars="0"/>
        <w:jc w:val="both"/>
        <w:textAlignment w:val="auto"/>
        <w:rPr>
          <w:rFonts w:hint="eastAsia" w:ascii="Times New Roman" w:hAnsi="Times New Roman" w:eastAsia="仿宋_GB2312" w:cs="Times New Roman"/>
          <w:color w:val="auto"/>
          <w:sz w:val="32"/>
          <w:szCs w:val="32"/>
          <w:highlight w:val="none"/>
          <w:lang w:val="zh-CN" w:eastAsia="zh-CN"/>
        </w:rPr>
      </w:pPr>
      <w:r>
        <w:rPr>
          <w:rFonts w:hint="eastAsia" w:ascii="黑体" w:hAnsi="黑体" w:eastAsia="黑体" w:cs="黑体"/>
          <w:color w:val="auto"/>
          <w:kern w:val="2"/>
          <w:sz w:val="32"/>
          <w:szCs w:val="32"/>
          <w:highlight w:val="none"/>
          <w:lang w:val="zh-CN" w:eastAsia="zh-CN" w:bidi="ar-SA"/>
        </w:rPr>
        <w:t>社会保障和就业（类）行政事业单位养老支出（款）机关事业单位基本养老保险缴费支出（项）：</w:t>
      </w:r>
      <w:r>
        <w:rPr>
          <w:rFonts w:hint="eastAsia" w:ascii="Times New Roman" w:hAnsi="Times New Roman" w:eastAsia="仿宋_GB2312" w:cs="Times New Roman"/>
          <w:color w:val="auto"/>
          <w:sz w:val="32"/>
          <w:szCs w:val="32"/>
          <w:highlight w:val="none"/>
          <w:lang w:val="zh-CN" w:eastAsia="zh-CN"/>
        </w:rPr>
        <w:t>指机关事业单位实施养老制度由单位缴纳的基本养老保险费用支出。</w:t>
      </w:r>
    </w:p>
    <w:p w14:paraId="5EBA1713">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黑体" w:hAnsi="黑体" w:eastAsia="黑体" w:cs="黑体"/>
          <w:color w:val="auto"/>
          <w:sz w:val="32"/>
          <w:szCs w:val="32"/>
          <w:highlight w:val="none"/>
          <w:lang w:val="zh-CN" w:eastAsia="zh-CN"/>
        </w:rPr>
        <w:t>社会保障和就业（类）行政事业单位养老支出（款）机关事业单位职业年金缴费支出（项）：</w:t>
      </w:r>
      <w:r>
        <w:rPr>
          <w:rFonts w:hint="eastAsia" w:ascii="Times New Roman" w:hAnsi="Times New Roman" w:eastAsia="仿宋_GB2312" w:cs="Times New Roman"/>
          <w:color w:val="auto"/>
          <w:sz w:val="32"/>
          <w:szCs w:val="32"/>
          <w:highlight w:val="none"/>
          <w:lang w:val="zh-CN" w:eastAsia="zh-CN"/>
        </w:rPr>
        <w:t>指机关事业单位用于缴纳职工职业年金的支出。</w:t>
      </w:r>
    </w:p>
    <w:p w14:paraId="5F719AB0">
      <w:pPr>
        <w:pStyle w:val="17"/>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576" w:lineRule="exact"/>
        <w:ind w:left="0" w:leftChars="0" w:right="0" w:rightChars="0" w:firstLine="400" w:firstLineChars="0"/>
        <w:jc w:val="both"/>
        <w:textAlignment w:val="auto"/>
        <w:rPr>
          <w:rFonts w:hint="eastAsia" w:ascii="Times New Roman" w:hAnsi="Times New Roman" w:eastAsia="仿宋_GB2312" w:cs="Times New Roman"/>
          <w:color w:val="auto"/>
          <w:sz w:val="32"/>
          <w:szCs w:val="32"/>
          <w:highlight w:val="none"/>
          <w:lang w:val="zh-CN" w:eastAsia="zh-CN"/>
        </w:rPr>
      </w:pPr>
      <w:r>
        <w:rPr>
          <w:rFonts w:hint="eastAsia" w:ascii="黑体" w:hAnsi="黑体" w:eastAsia="黑体" w:cs="黑体"/>
          <w:color w:val="auto"/>
          <w:kern w:val="2"/>
          <w:sz w:val="32"/>
          <w:szCs w:val="32"/>
          <w:highlight w:val="none"/>
          <w:lang w:val="zh-CN" w:eastAsia="zh-CN" w:bidi="ar-SA"/>
        </w:rPr>
        <w:t>社会保障和就业（类）其他社会保障和就业支出（款）其他社会保障和就业支出（项）：</w:t>
      </w:r>
      <w:r>
        <w:rPr>
          <w:rFonts w:hint="eastAsia" w:ascii="Times New Roman" w:hAnsi="Times New Roman" w:eastAsia="仿宋_GB2312" w:cs="Times New Roman"/>
          <w:color w:val="auto"/>
          <w:sz w:val="32"/>
          <w:szCs w:val="32"/>
          <w:highlight w:val="none"/>
          <w:lang w:val="zh-CN" w:eastAsia="zh-CN"/>
        </w:rPr>
        <w:t>指行政事业单位用于其他方面的社会保障支出。</w:t>
      </w:r>
    </w:p>
    <w:p w14:paraId="22672BB2">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黑体" w:hAnsi="黑体" w:eastAsia="黑体" w:cs="黑体"/>
          <w:color w:val="auto"/>
          <w:sz w:val="32"/>
          <w:szCs w:val="32"/>
          <w:highlight w:val="none"/>
          <w:lang w:val="zh-CN" w:eastAsia="zh-CN"/>
        </w:rPr>
        <w:t>卫生健康（类）行政事业单位医疗（款）行政单位医疗（项）：</w:t>
      </w:r>
      <w:r>
        <w:rPr>
          <w:rFonts w:hint="eastAsia" w:ascii="Times New Roman" w:hAnsi="Times New Roman" w:eastAsia="仿宋_GB2312" w:cs="Times New Roman"/>
          <w:color w:val="auto"/>
          <w:sz w:val="32"/>
          <w:szCs w:val="32"/>
          <w:highlight w:val="none"/>
          <w:lang w:val="zh-CN" w:eastAsia="zh-CN"/>
        </w:rPr>
        <w:t>指财政部门集中安排的行政单位基本医疗保险缴费经费。</w:t>
      </w:r>
    </w:p>
    <w:p w14:paraId="15FDCFE2">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黑体" w:hAnsi="黑体" w:eastAsia="黑体" w:cs="黑体"/>
          <w:color w:val="auto"/>
          <w:sz w:val="32"/>
          <w:szCs w:val="32"/>
          <w:highlight w:val="none"/>
          <w:lang w:val="zh-CN" w:eastAsia="zh-CN"/>
        </w:rPr>
        <w:t>住房保障支出（类）住房改革支出（款）住房公积金（项）：</w:t>
      </w:r>
      <w:r>
        <w:rPr>
          <w:rFonts w:hint="eastAsia" w:ascii="Times New Roman" w:hAnsi="Times New Roman" w:eastAsia="仿宋_GB2312" w:cs="Times New Roman"/>
          <w:color w:val="auto"/>
          <w:sz w:val="32"/>
          <w:szCs w:val="32"/>
          <w:highlight w:val="none"/>
          <w:lang w:val="zh-CN" w:eastAsia="zh-CN"/>
        </w:rPr>
        <w:t>指行政事业单位按人力资源和社会保障部、财政部规定的基本工资和津补贴以及规定比例为职工缴纳的住房公积金。</w:t>
      </w:r>
    </w:p>
    <w:p w14:paraId="0E5577C4">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黑体" w:hAnsi="黑体" w:eastAsia="黑体" w:cs="黑体"/>
          <w:color w:val="auto"/>
          <w:sz w:val="32"/>
          <w:szCs w:val="32"/>
          <w:highlight w:val="none"/>
          <w:lang w:val="zh-CN" w:eastAsia="zh-CN"/>
        </w:rPr>
        <w:t>基本支出：</w:t>
      </w:r>
      <w:r>
        <w:rPr>
          <w:rFonts w:hint="eastAsia" w:ascii="Times New Roman" w:hAnsi="Times New Roman" w:eastAsia="仿宋_GB2312" w:cs="Times New Roman"/>
          <w:color w:val="auto"/>
          <w:sz w:val="32"/>
          <w:szCs w:val="32"/>
          <w:highlight w:val="none"/>
          <w:lang w:val="zh-CN" w:eastAsia="zh-CN"/>
        </w:rPr>
        <w:t>指为保障机构正常运转、完成日常工作任务而发生的人员支出和公用支出。</w:t>
      </w:r>
    </w:p>
    <w:p w14:paraId="7CF3EF2F">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576" w:lineRule="exact"/>
        <w:ind w:left="0" w:leftChars="0" w:firstLine="400" w:firstLineChars="0"/>
        <w:jc w:val="both"/>
        <w:textAlignment w:val="auto"/>
        <w:outlineLvl w:val="9"/>
        <w:rPr>
          <w:rFonts w:hint="eastAsia" w:ascii="Times New Roman" w:hAnsi="Times New Roman" w:eastAsia="仿宋_GB2312" w:cs="Times New Roman"/>
          <w:color w:val="auto"/>
          <w:sz w:val="32"/>
          <w:szCs w:val="32"/>
          <w:highlight w:val="none"/>
          <w:lang w:val="zh-CN" w:eastAsia="zh-CN"/>
        </w:rPr>
      </w:pPr>
      <w:r>
        <w:rPr>
          <w:rFonts w:hint="eastAsia" w:ascii="黑体" w:hAnsi="黑体" w:eastAsia="黑体" w:cs="黑体"/>
          <w:color w:val="auto"/>
          <w:sz w:val="32"/>
          <w:szCs w:val="32"/>
          <w:highlight w:val="none"/>
          <w:lang w:val="zh-CN" w:eastAsia="zh-CN"/>
        </w:rPr>
        <w:t>项目支出：</w:t>
      </w:r>
      <w:r>
        <w:rPr>
          <w:rFonts w:hint="eastAsia" w:ascii="Times New Roman" w:hAnsi="Times New Roman" w:eastAsia="仿宋_GB2312" w:cs="Times New Roman"/>
          <w:color w:val="auto"/>
          <w:sz w:val="32"/>
          <w:szCs w:val="32"/>
          <w:highlight w:val="none"/>
          <w:lang w:val="zh-CN" w:eastAsia="zh-CN"/>
        </w:rPr>
        <w:t>指在基本支出之外为完成特定行政任务和事业发展目标所发生的支出。</w:t>
      </w:r>
    </w:p>
    <w:p w14:paraId="345079FF">
      <w:pPr>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line="576" w:lineRule="exact"/>
        <w:ind w:left="0" w:leftChars="0" w:firstLine="400" w:firstLineChars="0"/>
        <w:jc w:val="both"/>
        <w:textAlignment w:val="auto"/>
        <w:outlineLvl w:val="9"/>
        <w:rPr>
          <w:rFonts w:hint="eastAsia" w:ascii="仿宋_GB2312" w:hAnsi="仿宋_GB2312" w:eastAsia="仿宋_GB2312" w:cs="仿宋_GB2312"/>
          <w:color w:val="auto"/>
          <w:sz w:val="32"/>
          <w:szCs w:val="32"/>
          <w:highlight w:val="none"/>
          <w:lang w:val="zh-CN" w:eastAsia="zh-CN"/>
        </w:rPr>
      </w:pPr>
      <w:r>
        <w:rPr>
          <w:rFonts w:hint="eastAsia" w:ascii="黑体" w:hAnsi="黑体" w:eastAsia="黑体" w:cs="黑体"/>
          <w:color w:val="auto"/>
          <w:sz w:val="32"/>
          <w:szCs w:val="32"/>
          <w:highlight w:val="none"/>
          <w:lang w:val="zh-CN" w:eastAsia="zh-CN"/>
        </w:rPr>
        <w:t>“三公”经费：</w:t>
      </w:r>
      <w:r>
        <w:rPr>
          <w:rFonts w:hint="eastAsia" w:ascii="Times New Roman" w:hAnsi="Times New Roman" w:eastAsia="仿宋_GB2312" w:cs="Times New Roman"/>
          <w:color w:val="auto"/>
          <w:sz w:val="32"/>
          <w:szCs w:val="32"/>
          <w:highlight w:val="none"/>
          <w:lang w:val="zh-CN" w:eastAsia="zh-CN"/>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w:t>
      </w:r>
      <w:r>
        <w:rPr>
          <w:rFonts w:hint="eastAsia" w:ascii="仿宋_GB2312" w:hAnsi="仿宋_GB2312" w:eastAsia="仿宋_GB2312" w:cs="仿宋_GB2312"/>
          <w:color w:val="auto"/>
          <w:sz w:val="32"/>
          <w:szCs w:val="32"/>
          <w:highlight w:val="none"/>
          <w:lang w:val="zh-CN" w:eastAsia="zh-CN"/>
        </w:rPr>
        <w:t>费、维修费、过路过桥费、保险费等支出；公务接待费反映单位按规定开支的各类公务接待（含外宾接待）支出。</w:t>
      </w:r>
    </w:p>
    <w:p w14:paraId="1A9F575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firstLine="628" w:firstLineChars="200"/>
        <w:jc w:val="both"/>
        <w:textAlignment w:val="auto"/>
        <w:outlineLvl w:val="9"/>
        <w:rPr>
          <w:rFonts w:ascii="宋体"/>
          <w:b/>
          <w:color w:val="auto"/>
          <w:sz w:val="44"/>
          <w:szCs w:val="44"/>
          <w:highlight w:val="none"/>
        </w:rPr>
      </w:pPr>
      <w:r>
        <w:rPr>
          <w:rFonts w:hint="eastAsia" w:ascii="黑体" w:hAnsi="黑体" w:eastAsia="黑体" w:cs="黑体"/>
          <w:color w:val="auto"/>
          <w:sz w:val="32"/>
          <w:szCs w:val="32"/>
          <w:highlight w:val="none"/>
          <w:lang w:val="en-US" w:eastAsia="zh-CN"/>
        </w:rPr>
        <w:t>16.</w:t>
      </w:r>
      <w:r>
        <w:rPr>
          <w:rFonts w:hint="eastAsia" w:ascii="黑体" w:hAnsi="黑体" w:eastAsia="黑体" w:cs="黑体"/>
          <w:color w:val="auto"/>
          <w:sz w:val="32"/>
          <w:szCs w:val="32"/>
          <w:highlight w:val="none"/>
          <w:lang w:val="zh-CN" w:eastAsia="zh-CN"/>
        </w:rPr>
        <w:t>机关运行经费：</w:t>
      </w:r>
      <w:r>
        <w:rPr>
          <w:rFonts w:hint="eastAsia" w:ascii="仿宋_GB2312" w:hAnsi="仿宋_GB2312" w:eastAsia="仿宋_GB2312" w:cs="仿宋_GB2312"/>
          <w:color w:val="auto"/>
          <w:sz w:val="32"/>
          <w:szCs w:val="32"/>
          <w:highlight w:val="none"/>
          <w:lang w:val="zh-CN" w:eastAsia="zh-CN"/>
        </w:rPr>
        <w:t>为保障行政单位（含参照公务员法管理的事业单位）运行用于购买货物和服务的各项资金，包括办公及印刷费、邮电费、差旅费</w:t>
      </w:r>
      <w:r>
        <w:rPr>
          <w:rFonts w:hint="eastAsia" w:ascii="Times New Roman" w:hAnsi="Times New Roman" w:eastAsia="仿宋_GB2312" w:cs="Times New Roman"/>
          <w:color w:val="auto"/>
          <w:sz w:val="32"/>
          <w:szCs w:val="32"/>
          <w:highlight w:val="none"/>
          <w:lang w:val="zh-CN" w:eastAsia="zh-CN"/>
        </w:rPr>
        <w:t>、会议费、福利费、日常维修费、专用材料及一般设备购置费、办公用房水电费、办公用房取暖费、办公用房物业管理费、公务用车运行维护费以及其他费用。</w:t>
      </w:r>
    </w:p>
    <w:p w14:paraId="0028EAEB">
      <w:pPr>
        <w:spacing w:line="600" w:lineRule="exact"/>
        <w:jc w:val="center"/>
        <w:rPr>
          <w:rFonts w:hint="eastAsia" w:eastAsia="仿宋_GB2312" w:cs="仿宋_GB2312"/>
          <w:sz w:val="32"/>
          <w:szCs w:val="32"/>
        </w:rPr>
      </w:pPr>
      <w:r>
        <w:rPr>
          <w:rFonts w:hint="eastAsia" w:eastAsia="仿宋_GB2312" w:cs="仿宋_GB2312"/>
          <w:sz w:val="32"/>
          <w:szCs w:val="32"/>
        </w:rPr>
        <w:br w:type="page"/>
      </w:r>
      <w:bookmarkStart w:id="66" w:name="_Toc15396614"/>
    </w:p>
    <w:p w14:paraId="0DE80C1D">
      <w:pPr>
        <w:spacing w:line="600" w:lineRule="exact"/>
        <w:jc w:val="center"/>
        <w:rPr>
          <w:rFonts w:hint="eastAsia" w:eastAsia="仿宋_GB2312" w:cs="仿宋_GB2312"/>
          <w:sz w:val="32"/>
          <w:szCs w:val="32"/>
        </w:rPr>
      </w:pPr>
    </w:p>
    <w:p w14:paraId="47FB2C4E">
      <w:pPr>
        <w:pStyle w:val="3"/>
        <w:bidi w:val="0"/>
        <w:jc w:val="center"/>
      </w:pPr>
      <w:bookmarkStart w:id="67" w:name="_Toc20686"/>
      <w:r>
        <w:rPr>
          <w:rFonts w:hint="eastAsia"/>
        </w:rPr>
        <w:t>第四部分 附件</w:t>
      </w:r>
      <w:bookmarkEnd w:id="66"/>
      <w:bookmarkEnd w:id="67"/>
    </w:p>
    <w:p w14:paraId="7476BA52">
      <w:pPr>
        <w:spacing w:line="572" w:lineRule="exact"/>
        <w:jc w:val="left"/>
        <w:outlineLvl w:val="0"/>
        <w:rPr>
          <w:rFonts w:eastAsia="黑体" w:cs="黑体"/>
          <w:color w:val="FF0000"/>
          <w:sz w:val="32"/>
          <w:szCs w:val="32"/>
        </w:rPr>
      </w:pPr>
    </w:p>
    <w:p w14:paraId="58E907FA">
      <w:pPr>
        <w:spacing w:line="572" w:lineRule="exact"/>
        <w:jc w:val="left"/>
        <w:outlineLvl w:val="0"/>
        <w:rPr>
          <w:rFonts w:hint="eastAsia" w:ascii="宋体" w:hAnsi="宋体" w:eastAsia="方正小标宋简体" w:cs="Times New Roman"/>
          <w:b w:val="0"/>
          <w:bCs w:val="0"/>
          <w:color w:val="auto"/>
          <w:sz w:val="44"/>
          <w:szCs w:val="44"/>
          <w:highlight w:val="none"/>
          <w:shd w:val="clear" w:color="auto" w:fill="FFFFFF"/>
          <w:lang w:eastAsia="zh-CN"/>
        </w:rPr>
      </w:pPr>
      <w:bookmarkStart w:id="68" w:name="_Toc24615"/>
      <w:r>
        <w:rPr>
          <w:rFonts w:hint="eastAsia" w:eastAsia="黑体" w:cs="黑体"/>
          <w:sz w:val="32"/>
          <w:szCs w:val="32"/>
        </w:rPr>
        <w:t>附件1</w:t>
      </w:r>
      <w:bookmarkEnd w:id="68"/>
    </w:p>
    <w:p w14:paraId="4BD96160">
      <w:pPr>
        <w:keepNext w:val="0"/>
        <w:keepLines w:val="0"/>
        <w:pageBreakBefore w:val="0"/>
        <w:widowControl w:val="0"/>
        <w:kinsoku/>
        <w:wordWrap/>
        <w:overflowPunct/>
        <w:topLinePunct w:val="0"/>
        <w:autoSpaceDE/>
        <w:autoSpaceDN/>
        <w:bidi w:val="0"/>
        <w:spacing w:line="564" w:lineRule="exact"/>
        <w:contextualSpacing/>
        <w:jc w:val="center"/>
        <w:textAlignment w:val="auto"/>
        <w:outlineLvl w:val="9"/>
        <w:rPr>
          <w:rFonts w:hint="eastAsia" w:ascii="宋体" w:hAnsi="宋体" w:eastAsia="方正小标宋简体" w:cs="Times New Roman"/>
          <w:b w:val="0"/>
          <w:bCs w:val="0"/>
          <w:color w:val="auto"/>
          <w:sz w:val="44"/>
          <w:szCs w:val="44"/>
          <w:highlight w:val="none"/>
          <w:shd w:val="clear" w:color="auto" w:fill="FFFFFF"/>
          <w:lang w:eastAsia="zh-CN"/>
        </w:rPr>
      </w:pPr>
      <w:r>
        <w:rPr>
          <w:rFonts w:hint="eastAsia" w:ascii="宋体" w:hAnsi="宋体" w:eastAsia="方正小标宋简体" w:cs="Times New Roman"/>
          <w:b w:val="0"/>
          <w:bCs w:val="0"/>
          <w:color w:val="auto"/>
          <w:sz w:val="44"/>
          <w:szCs w:val="44"/>
          <w:highlight w:val="none"/>
          <w:shd w:val="clear" w:color="auto" w:fill="FFFFFF"/>
          <w:lang w:eastAsia="zh-CN"/>
        </w:rPr>
        <w:t>广元市经济合作和外事局</w:t>
      </w:r>
    </w:p>
    <w:p w14:paraId="086BDFF5">
      <w:pPr>
        <w:keepNext w:val="0"/>
        <w:keepLines w:val="0"/>
        <w:pageBreakBefore w:val="0"/>
        <w:widowControl w:val="0"/>
        <w:kinsoku/>
        <w:wordWrap/>
        <w:overflowPunct/>
        <w:topLinePunct w:val="0"/>
        <w:autoSpaceDE/>
        <w:autoSpaceDN/>
        <w:bidi w:val="0"/>
        <w:spacing w:line="564" w:lineRule="exact"/>
        <w:contextualSpacing/>
        <w:jc w:val="center"/>
        <w:textAlignment w:val="auto"/>
        <w:outlineLvl w:val="9"/>
        <w:rPr>
          <w:rFonts w:hint="default" w:ascii="宋体" w:hAnsi="宋体" w:eastAsia="方正小标宋简体" w:cs="Times New Roman"/>
          <w:b w:val="0"/>
          <w:bCs w:val="0"/>
          <w:color w:val="auto"/>
          <w:sz w:val="44"/>
          <w:szCs w:val="44"/>
          <w:highlight w:val="none"/>
          <w:shd w:val="clear" w:color="auto" w:fill="FFFFFF"/>
        </w:rPr>
      </w:pPr>
      <w:r>
        <w:rPr>
          <w:rFonts w:hint="eastAsia" w:ascii="宋体" w:hAnsi="宋体" w:eastAsia="方正小标宋简体" w:cs="Times New Roman"/>
          <w:b w:val="0"/>
          <w:bCs w:val="0"/>
          <w:color w:val="auto"/>
          <w:sz w:val="44"/>
          <w:szCs w:val="44"/>
          <w:highlight w:val="none"/>
          <w:shd w:val="clear" w:color="auto" w:fill="FFFFFF"/>
          <w:lang w:eastAsia="zh-CN"/>
        </w:rPr>
        <w:t>关于</w:t>
      </w:r>
      <w:r>
        <w:rPr>
          <w:rFonts w:hint="default" w:ascii="宋体" w:hAnsi="宋体" w:eastAsia="方正小标宋简体" w:cs="Times New Roman"/>
          <w:b w:val="0"/>
          <w:bCs w:val="0"/>
          <w:color w:val="auto"/>
          <w:sz w:val="44"/>
          <w:szCs w:val="44"/>
          <w:highlight w:val="none"/>
          <w:shd w:val="clear" w:color="auto" w:fill="FFFFFF"/>
        </w:rPr>
        <w:t>部门</w:t>
      </w:r>
      <w:r>
        <w:rPr>
          <w:rFonts w:hint="default" w:ascii="宋体" w:hAnsi="宋体" w:eastAsia="方正小标宋简体" w:cs="Times New Roman"/>
          <w:b w:val="0"/>
          <w:bCs w:val="0"/>
          <w:color w:val="auto"/>
          <w:sz w:val="44"/>
          <w:szCs w:val="44"/>
          <w:highlight w:val="none"/>
          <w:shd w:val="clear" w:color="auto" w:fill="FFFFFF"/>
          <w:lang w:eastAsia="zh-CN"/>
        </w:rPr>
        <w:t>预算</w:t>
      </w:r>
      <w:r>
        <w:rPr>
          <w:rFonts w:hint="default" w:ascii="宋体" w:hAnsi="宋体" w:eastAsia="方正小标宋简体" w:cs="Times New Roman"/>
          <w:b w:val="0"/>
          <w:bCs w:val="0"/>
          <w:color w:val="auto"/>
          <w:sz w:val="44"/>
          <w:szCs w:val="44"/>
          <w:highlight w:val="none"/>
          <w:shd w:val="clear" w:color="auto" w:fill="FFFFFF"/>
        </w:rPr>
        <w:t>绩效</w:t>
      </w:r>
      <w:r>
        <w:rPr>
          <w:rFonts w:hint="eastAsia" w:ascii="宋体" w:hAnsi="宋体" w:eastAsia="方正小标宋简体" w:cs="Times New Roman"/>
          <w:b w:val="0"/>
          <w:bCs w:val="0"/>
          <w:color w:val="auto"/>
          <w:sz w:val="44"/>
          <w:szCs w:val="44"/>
          <w:highlight w:val="none"/>
          <w:shd w:val="clear" w:color="auto" w:fill="FFFFFF"/>
          <w:lang w:eastAsia="zh-CN"/>
        </w:rPr>
        <w:t>自评的</w:t>
      </w:r>
      <w:r>
        <w:rPr>
          <w:rFonts w:hint="default" w:ascii="宋体" w:hAnsi="宋体" w:eastAsia="方正小标宋简体" w:cs="Times New Roman"/>
          <w:b w:val="0"/>
          <w:bCs w:val="0"/>
          <w:color w:val="auto"/>
          <w:sz w:val="44"/>
          <w:szCs w:val="44"/>
          <w:highlight w:val="none"/>
          <w:shd w:val="clear" w:color="auto" w:fill="FFFFFF"/>
        </w:rPr>
        <w:t>报告</w:t>
      </w:r>
    </w:p>
    <w:p w14:paraId="0F83AA3B">
      <w:pPr>
        <w:keepNext w:val="0"/>
        <w:keepLines w:val="0"/>
        <w:pageBreakBefore w:val="0"/>
        <w:widowControl w:val="0"/>
        <w:numPr>
          <w:ilvl w:val="0"/>
          <w:numId w:val="0"/>
        </w:numPr>
        <w:kinsoku/>
        <w:wordWrap/>
        <w:overflowPunct/>
        <w:topLinePunct w:val="0"/>
        <w:autoSpaceDE/>
        <w:autoSpaceDN/>
        <w:bidi w:val="0"/>
        <w:adjustRightInd w:val="0"/>
        <w:snapToGrid w:val="0"/>
        <w:spacing w:line="556" w:lineRule="exact"/>
        <w:contextualSpacing/>
        <w:jc w:val="left"/>
        <w:textAlignment w:val="auto"/>
        <w:outlineLvl w:val="9"/>
        <w:rPr>
          <w:rFonts w:hint="eastAsia" w:ascii="宋体" w:hAnsi="宋体" w:eastAsia="仿宋_GB2312" w:cs="仿宋_GB2312"/>
          <w:b w:val="0"/>
          <w:bCs w:val="0"/>
          <w:color w:val="auto"/>
          <w:kern w:val="0"/>
          <w:position w:val="0"/>
          <w:sz w:val="32"/>
          <w:szCs w:val="32"/>
          <w:highlight w:val="none"/>
          <w:lang w:val="zh-CN" w:eastAsia="zh-CN" w:bidi="ar-SA"/>
        </w:rPr>
      </w:pPr>
    </w:p>
    <w:p w14:paraId="2215400A">
      <w:pPr>
        <w:keepNext w:val="0"/>
        <w:keepLines w:val="0"/>
        <w:pageBreakBefore w:val="0"/>
        <w:widowControl w:val="0"/>
        <w:numPr>
          <w:ilvl w:val="0"/>
          <w:numId w:val="0"/>
        </w:numPr>
        <w:kinsoku/>
        <w:wordWrap/>
        <w:overflowPunct/>
        <w:topLinePunct w:val="0"/>
        <w:autoSpaceDE/>
        <w:autoSpaceDN/>
        <w:bidi w:val="0"/>
        <w:adjustRightInd w:val="0"/>
        <w:snapToGrid w:val="0"/>
        <w:spacing w:line="556" w:lineRule="exact"/>
        <w:ind w:firstLine="628" w:firstLineChars="200"/>
        <w:contextualSpacing/>
        <w:jc w:val="both"/>
        <w:textAlignment w:val="auto"/>
        <w:outlineLvl w:val="9"/>
        <w:rPr>
          <w:rFonts w:hint="default" w:ascii="宋体" w:hAnsi="宋体" w:eastAsia="楷体_GB2312" w:cs="Times New Roman"/>
          <w:b w:val="0"/>
          <w:bCs w:val="0"/>
          <w:color w:val="auto"/>
          <w:kern w:val="0"/>
          <w:sz w:val="32"/>
          <w:szCs w:val="32"/>
          <w:highlight w:val="none"/>
          <w:shd w:val="clear" w:color="auto" w:fill="FFFFFF"/>
          <w:lang w:val="zh-CN"/>
        </w:rPr>
      </w:pPr>
      <w:r>
        <w:rPr>
          <w:rFonts w:hint="default" w:ascii="宋体" w:hAnsi="宋体" w:eastAsia="楷体_GB2312" w:cs="Times New Roman"/>
          <w:b w:val="0"/>
          <w:bCs w:val="0"/>
          <w:color w:val="auto"/>
          <w:kern w:val="0"/>
          <w:sz w:val="32"/>
          <w:szCs w:val="32"/>
          <w:highlight w:val="none"/>
          <w:shd w:val="clear" w:color="auto" w:fill="FFFFFF"/>
          <w:lang w:val="zh-CN"/>
        </w:rPr>
        <w:t>（一）机构组成</w:t>
      </w:r>
    </w:p>
    <w:p w14:paraId="50675C81">
      <w:pPr>
        <w:pStyle w:val="2"/>
        <w:keepNext w:val="0"/>
        <w:keepLines w:val="0"/>
        <w:pageBreakBefore w:val="0"/>
        <w:widowControl w:val="0"/>
        <w:numPr>
          <w:ilvl w:val="0"/>
          <w:numId w:val="0"/>
        </w:numPr>
        <w:pBdr>
          <w:top w:val="none" w:color="auto" w:sz="0" w:space="1"/>
          <w:left w:val="none" w:color="auto" w:sz="0" w:space="4"/>
          <w:bottom w:val="none" w:color="FF0000" w:sz="0" w:space="1"/>
          <w:right w:val="none" w:color="auto" w:sz="0" w:space="4"/>
          <w:between w:val="none" w:color="auto" w:sz="0" w:space="0"/>
        </w:pBdr>
        <w:kinsoku/>
        <w:wordWrap/>
        <w:overflowPunct/>
        <w:topLinePunct w:val="0"/>
        <w:autoSpaceDE/>
        <w:autoSpaceDN/>
        <w:bidi w:val="0"/>
        <w:adjustRightInd w:val="0"/>
        <w:snapToGrid w:val="0"/>
        <w:spacing w:before="0" w:after="0" w:line="556" w:lineRule="exact"/>
        <w:ind w:left="0" w:leftChars="0" w:right="0" w:rightChars="0" w:firstLine="628" w:firstLineChars="200"/>
        <w:jc w:val="both"/>
        <w:textAlignment w:val="auto"/>
        <w:outlineLvl w:val="9"/>
        <w:rPr>
          <w:rFonts w:hint="default" w:ascii="宋体" w:hAnsi="宋体" w:eastAsia="仿宋_GB2312" w:cs="仿宋_GB2312"/>
          <w:b w:val="0"/>
          <w:bCs w:val="0"/>
          <w:color w:val="auto"/>
          <w:kern w:val="0"/>
          <w:position w:val="0"/>
          <w:sz w:val="32"/>
          <w:szCs w:val="32"/>
          <w:highlight w:val="none"/>
          <w:lang w:val="zh-CN" w:eastAsia="zh-CN" w:bidi="ar-SA"/>
        </w:rPr>
      </w:pPr>
      <w:r>
        <w:rPr>
          <w:rFonts w:hint="default" w:ascii="宋体" w:hAnsi="宋体" w:eastAsia="仿宋_GB2312" w:cs="仿宋_GB2312"/>
          <w:b w:val="0"/>
          <w:bCs w:val="0"/>
          <w:color w:val="auto"/>
          <w:kern w:val="0"/>
          <w:position w:val="0"/>
          <w:sz w:val="32"/>
          <w:szCs w:val="32"/>
          <w:highlight w:val="none"/>
          <w:lang w:val="zh-CN" w:eastAsia="zh-CN" w:bidi="ar-SA"/>
        </w:rPr>
        <w:t>我单位为市政府组成部门，挂市港澳事务办公室牌子，代管市人民对外友好协会机关。市委外事工作委员会办公室、市投资促进</w:t>
      </w:r>
      <w:r>
        <w:rPr>
          <w:rFonts w:hint="eastAsia" w:ascii="宋体" w:hAnsi="宋体" w:eastAsia="仿宋_GB2312" w:cs="仿宋_GB2312"/>
          <w:b w:val="0"/>
          <w:bCs w:val="0"/>
          <w:color w:val="auto"/>
          <w:kern w:val="0"/>
          <w:position w:val="0"/>
          <w:sz w:val="32"/>
          <w:szCs w:val="32"/>
          <w:highlight w:val="none"/>
          <w:lang w:val="zh-CN" w:eastAsia="zh-CN" w:bidi="ar-SA"/>
        </w:rPr>
        <w:t>领导小组</w:t>
      </w:r>
      <w:r>
        <w:rPr>
          <w:rFonts w:hint="default" w:ascii="宋体" w:hAnsi="宋体" w:eastAsia="仿宋_GB2312" w:cs="仿宋_GB2312"/>
          <w:b w:val="0"/>
          <w:bCs w:val="0"/>
          <w:color w:val="auto"/>
          <w:kern w:val="0"/>
          <w:position w:val="0"/>
          <w:sz w:val="32"/>
          <w:szCs w:val="32"/>
          <w:highlight w:val="none"/>
          <w:lang w:val="zh-CN" w:eastAsia="zh-CN" w:bidi="ar-SA"/>
        </w:rPr>
        <w:t>办公室（无编制）设在我局。局机关设办公室、投资促进一科、投资促进二科、投资促进三科、区域合作科、国际合作科（外资管理科）、项目管理科、外事和港澳科、人事科9个科室；下设其他事业单位9个：市经济合作服务中心、市招商中心、市外事和港澳服务中心、市人民对外友好协会机关、市驻广东经合中心、市驻浙江经合中心、市驻福建经合中心、市驻山东经合中心、市驻重庆经合中心。</w:t>
      </w:r>
    </w:p>
    <w:p w14:paraId="7E66D80E">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76" w:lineRule="exact"/>
        <w:ind w:right="0" w:rightChars="0" w:firstLine="628" w:firstLineChars="200"/>
        <w:jc w:val="both"/>
        <w:textAlignment w:val="auto"/>
        <w:outlineLvl w:val="9"/>
        <w:rPr>
          <w:rFonts w:hint="default" w:ascii="宋体" w:hAnsi="宋体" w:eastAsia="楷体_GB2312" w:cs="Times New Roman"/>
          <w:b w:val="0"/>
          <w:bCs w:val="0"/>
          <w:color w:val="auto"/>
          <w:kern w:val="0"/>
          <w:sz w:val="32"/>
          <w:szCs w:val="32"/>
          <w:highlight w:val="none"/>
          <w:shd w:val="clear" w:color="auto" w:fill="FFFFFF"/>
          <w:lang w:val="zh-CN"/>
        </w:rPr>
        <w:sectPr>
          <w:footerReference r:id="rId10" w:type="default"/>
          <w:pgSz w:w="11907" w:h="16840"/>
          <w:pgMar w:top="2098" w:right="1474" w:bottom="1247" w:left="1587" w:header="851" w:footer="1247" w:gutter="0"/>
          <w:pgBorders>
            <w:top w:val="none" w:sz="0" w:space="0"/>
            <w:left w:val="none" w:sz="0" w:space="0"/>
            <w:bottom w:val="none" w:sz="0" w:space="0"/>
            <w:right w:val="none" w:sz="0" w:space="0"/>
          </w:pgBorders>
          <w:pgNumType w:fmt="decimal"/>
          <w:cols w:space="720" w:num="1"/>
          <w:rtlGutter w:val="0"/>
          <w:docGrid w:type="linesAndChars" w:linePitch="577" w:charSpace="-1259"/>
        </w:sectPr>
      </w:pPr>
    </w:p>
    <w:p w14:paraId="353A79C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line="590" w:lineRule="exact"/>
        <w:ind w:right="0" w:rightChars="0" w:firstLine="628" w:firstLineChars="200"/>
        <w:jc w:val="both"/>
        <w:textAlignment w:val="auto"/>
        <w:outlineLvl w:val="9"/>
        <w:rPr>
          <w:rFonts w:hint="default" w:ascii="宋体" w:hAnsi="宋体" w:eastAsia="楷体_GB2312" w:cs="Times New Roman"/>
          <w:b w:val="0"/>
          <w:bCs w:val="0"/>
          <w:color w:val="auto"/>
          <w:kern w:val="0"/>
          <w:sz w:val="32"/>
          <w:szCs w:val="32"/>
          <w:highlight w:val="none"/>
          <w:shd w:val="clear" w:color="auto" w:fill="FFFFFF"/>
          <w:lang w:val="zh-CN"/>
        </w:rPr>
      </w:pPr>
      <w:r>
        <w:rPr>
          <w:rFonts w:hint="default" w:ascii="宋体" w:hAnsi="宋体" w:eastAsia="楷体_GB2312" w:cs="Times New Roman"/>
          <w:b w:val="0"/>
          <w:bCs w:val="0"/>
          <w:color w:val="auto"/>
          <w:kern w:val="0"/>
          <w:sz w:val="32"/>
          <w:szCs w:val="32"/>
          <w:highlight w:val="none"/>
          <w:shd w:val="clear" w:color="auto" w:fill="FFFFFF"/>
          <w:lang w:val="zh-CN"/>
        </w:rPr>
        <w:t>（二）机构职能</w:t>
      </w:r>
    </w:p>
    <w:p w14:paraId="4DDC54AB">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仿宋_GB2312" w:cs="Times New Roman"/>
          <w:bCs/>
          <w:color w:val="000000"/>
          <w:sz w:val="32"/>
          <w:szCs w:val="32"/>
        </w:rPr>
      </w:pPr>
      <w:r>
        <w:rPr>
          <w:rFonts w:hint="eastAsia" w:ascii="宋体" w:hAnsi="宋体" w:cs="Times New Roman"/>
          <w:bCs/>
          <w:color w:val="000000"/>
          <w:sz w:val="32"/>
          <w:szCs w:val="32"/>
          <w:lang w:val="en-US" w:eastAsia="zh-CN"/>
        </w:rPr>
        <w:t>1.</w:t>
      </w:r>
      <w:r>
        <w:rPr>
          <w:rFonts w:hint="default" w:ascii="宋体" w:hAnsi="宋体" w:eastAsia="仿宋_GB2312" w:cs="Times New Roman"/>
          <w:bCs/>
          <w:color w:val="000000"/>
          <w:sz w:val="32"/>
          <w:szCs w:val="32"/>
        </w:rPr>
        <w:t>负责推进投资促进等有关领域的经济合作（以下简称经济合作）。参与起草有关经济合作的地方性法规和规章草案。参与拟订全市经济合作的中长期规划和年度计划并组织实施。</w:t>
      </w:r>
    </w:p>
    <w:p w14:paraId="4F6F6E45">
      <w:pPr>
        <w:pStyle w:val="2"/>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firstLine="628" w:firstLineChars="200"/>
        <w:jc w:val="both"/>
        <w:textAlignment w:val="auto"/>
        <w:outlineLvl w:val="9"/>
        <w:rPr>
          <w:rFonts w:hint="default" w:ascii="宋体" w:hAnsi="宋体" w:eastAsia="仿宋_GB2312" w:cs="Times New Roman"/>
          <w:bCs/>
          <w:color w:val="000000"/>
          <w:sz w:val="32"/>
          <w:szCs w:val="32"/>
        </w:rPr>
      </w:pPr>
      <w:r>
        <w:rPr>
          <w:rFonts w:hint="eastAsia" w:ascii="宋体" w:hAnsi="宋体" w:cs="Times New Roman"/>
          <w:bCs/>
          <w:color w:val="000000"/>
          <w:sz w:val="32"/>
          <w:szCs w:val="32"/>
          <w:lang w:val="en-US" w:eastAsia="zh-CN"/>
        </w:rPr>
        <w:t>2.</w:t>
      </w:r>
      <w:r>
        <w:rPr>
          <w:rFonts w:hint="default" w:ascii="宋体" w:hAnsi="宋体" w:eastAsia="仿宋_GB2312" w:cs="Times New Roman"/>
          <w:bCs/>
          <w:color w:val="000000"/>
          <w:sz w:val="32"/>
          <w:szCs w:val="32"/>
        </w:rPr>
        <w:t>统筹指导全市投资促进工作。拟订全市投资促进政策、投资促进中长期规划和年度计划并组织实施。负责全市投资环境推介工作。统筹组织市级重大投资促进活动。牵头全市重大招商引资项目的促进和落实。推进投资促进和管理服务网络体系建设。</w:t>
      </w:r>
    </w:p>
    <w:p w14:paraId="45F578CE">
      <w:pPr>
        <w:pStyle w:val="2"/>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firstLine="628" w:firstLineChars="200"/>
        <w:jc w:val="both"/>
        <w:textAlignment w:val="auto"/>
        <w:outlineLvl w:val="9"/>
        <w:rPr>
          <w:rFonts w:hint="default" w:ascii="宋体" w:hAnsi="宋体" w:eastAsia="仿宋_GB2312" w:cs="Times New Roman"/>
          <w:bCs/>
          <w:color w:val="000000"/>
          <w:sz w:val="32"/>
          <w:szCs w:val="32"/>
        </w:rPr>
      </w:pPr>
      <w:r>
        <w:rPr>
          <w:rFonts w:hint="eastAsia" w:ascii="宋体" w:hAnsi="宋体" w:cs="Times New Roman"/>
          <w:bCs/>
          <w:color w:val="000000"/>
          <w:sz w:val="32"/>
          <w:szCs w:val="32"/>
          <w:lang w:val="en-US" w:eastAsia="zh-CN"/>
        </w:rPr>
        <w:t>3.</w:t>
      </w:r>
      <w:r>
        <w:rPr>
          <w:rFonts w:hint="default" w:ascii="宋体" w:hAnsi="宋体" w:eastAsia="仿宋_GB2312" w:cs="Times New Roman"/>
          <w:bCs/>
          <w:color w:val="000000"/>
          <w:sz w:val="32"/>
          <w:szCs w:val="32"/>
        </w:rPr>
        <w:t>指导外商投资促进和管理工作。参与拟订外商投资政策和改革方案并组织实施。统计分析全市外商投资情况。依法监督检查外商投资企业执行有关法律法规规章、合同章程的情况并协调解决有关问题。</w:t>
      </w:r>
    </w:p>
    <w:p w14:paraId="2BE5462D">
      <w:pPr>
        <w:pStyle w:val="2"/>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firstLine="628" w:firstLineChars="200"/>
        <w:jc w:val="both"/>
        <w:textAlignment w:val="auto"/>
        <w:outlineLvl w:val="9"/>
        <w:rPr>
          <w:rFonts w:hint="default" w:ascii="宋体" w:hAnsi="宋体" w:eastAsia="仿宋_GB2312" w:cs="Times New Roman"/>
          <w:bCs/>
          <w:color w:val="000000"/>
          <w:sz w:val="32"/>
          <w:szCs w:val="32"/>
        </w:rPr>
      </w:pPr>
      <w:r>
        <w:rPr>
          <w:rFonts w:hint="eastAsia" w:ascii="宋体" w:hAnsi="宋体" w:cs="Times New Roman"/>
          <w:bCs/>
          <w:color w:val="000000"/>
          <w:sz w:val="32"/>
          <w:szCs w:val="32"/>
          <w:lang w:val="en-US" w:eastAsia="zh-CN"/>
        </w:rPr>
        <w:t>4.</w:t>
      </w:r>
      <w:r>
        <w:rPr>
          <w:rFonts w:hint="default" w:ascii="宋体" w:hAnsi="宋体" w:eastAsia="仿宋_GB2312" w:cs="Times New Roman"/>
          <w:bCs/>
          <w:color w:val="000000"/>
          <w:sz w:val="32"/>
          <w:szCs w:val="32"/>
        </w:rPr>
        <w:t>参与推进我市与国（境）内外相关区域合作。承担我市与国（境）内外相关区域经济合作活动的有关具体工作。</w:t>
      </w:r>
    </w:p>
    <w:p w14:paraId="41D28C1C">
      <w:pPr>
        <w:pStyle w:val="2"/>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firstLine="628" w:firstLineChars="200"/>
        <w:jc w:val="both"/>
        <w:textAlignment w:val="auto"/>
        <w:outlineLvl w:val="9"/>
        <w:rPr>
          <w:rFonts w:hint="default" w:ascii="宋体" w:hAnsi="宋体" w:eastAsia="仿宋_GB2312" w:cs="Times New Roman"/>
          <w:bCs/>
          <w:color w:val="000000"/>
          <w:sz w:val="32"/>
          <w:szCs w:val="32"/>
        </w:rPr>
      </w:pPr>
      <w:r>
        <w:rPr>
          <w:rFonts w:hint="eastAsia" w:ascii="宋体" w:hAnsi="宋体" w:cs="Times New Roman"/>
          <w:bCs/>
          <w:color w:val="000000"/>
          <w:sz w:val="32"/>
          <w:szCs w:val="32"/>
          <w:lang w:val="en-US" w:eastAsia="zh-CN"/>
        </w:rPr>
        <w:t>5.</w:t>
      </w:r>
      <w:r>
        <w:rPr>
          <w:rFonts w:hint="default" w:ascii="宋体" w:hAnsi="宋体" w:eastAsia="仿宋_GB2312" w:cs="Times New Roman"/>
          <w:bCs/>
          <w:color w:val="000000"/>
          <w:sz w:val="32"/>
          <w:szCs w:val="32"/>
        </w:rPr>
        <w:t>承担推动我市与港澳台地区经贸合作有关工作。</w:t>
      </w:r>
    </w:p>
    <w:p w14:paraId="0755D90E">
      <w:pPr>
        <w:pStyle w:val="2"/>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firstLine="628" w:firstLineChars="200"/>
        <w:jc w:val="both"/>
        <w:textAlignment w:val="auto"/>
        <w:outlineLvl w:val="9"/>
        <w:rPr>
          <w:rFonts w:hint="default" w:ascii="宋体" w:hAnsi="宋体" w:eastAsia="仿宋_GB2312" w:cs="Times New Roman"/>
          <w:bCs/>
          <w:color w:val="000000"/>
          <w:sz w:val="32"/>
          <w:szCs w:val="32"/>
        </w:rPr>
      </w:pPr>
      <w:r>
        <w:rPr>
          <w:rFonts w:hint="eastAsia" w:ascii="宋体" w:hAnsi="宋体" w:cs="Times New Roman"/>
          <w:bCs/>
          <w:color w:val="000000"/>
          <w:sz w:val="32"/>
          <w:szCs w:val="32"/>
          <w:lang w:val="en-US" w:eastAsia="zh-CN"/>
        </w:rPr>
        <w:t>6.</w:t>
      </w:r>
      <w:r>
        <w:rPr>
          <w:rFonts w:hint="default" w:ascii="宋体" w:hAnsi="宋体" w:eastAsia="仿宋_GB2312" w:cs="Times New Roman"/>
          <w:bCs/>
          <w:color w:val="000000"/>
          <w:sz w:val="32"/>
          <w:szCs w:val="32"/>
        </w:rPr>
        <w:t>受市政府委托，负责管理市政府各驻外机构（不含市政府驻北京联络处、驻成都办事处，下同）。推动全市博览发展促进工作，参与拟订全市会展业发展规划和相关政策。</w:t>
      </w:r>
    </w:p>
    <w:p w14:paraId="7DA6704D">
      <w:pPr>
        <w:pStyle w:val="2"/>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firstLine="628" w:firstLineChars="200"/>
        <w:jc w:val="both"/>
        <w:textAlignment w:val="auto"/>
        <w:outlineLvl w:val="9"/>
        <w:rPr>
          <w:rFonts w:hint="default" w:ascii="宋体" w:hAnsi="宋体" w:eastAsia="仿宋_GB2312" w:cs="Times New Roman"/>
          <w:bCs/>
          <w:color w:val="000000"/>
          <w:sz w:val="32"/>
          <w:szCs w:val="32"/>
        </w:rPr>
      </w:pPr>
      <w:r>
        <w:rPr>
          <w:rFonts w:hint="eastAsia" w:ascii="宋体" w:hAnsi="宋体" w:cs="Times New Roman"/>
          <w:bCs/>
          <w:color w:val="000000"/>
          <w:sz w:val="32"/>
          <w:szCs w:val="32"/>
          <w:lang w:val="en-US" w:eastAsia="zh-CN"/>
        </w:rPr>
        <w:t>7.</w:t>
      </w:r>
      <w:r>
        <w:rPr>
          <w:rFonts w:hint="default" w:ascii="宋体" w:hAnsi="宋体" w:eastAsia="仿宋_GB2312" w:cs="Times New Roman"/>
          <w:bCs/>
          <w:color w:val="000000"/>
          <w:sz w:val="32"/>
          <w:szCs w:val="32"/>
        </w:rPr>
        <w:t>负责职责范围内的安全生产和职业健康、生态环境保护、审批服务便民化等工作。</w:t>
      </w:r>
    </w:p>
    <w:p w14:paraId="40785315">
      <w:pPr>
        <w:pStyle w:val="2"/>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firstLine="628" w:firstLineChars="200"/>
        <w:jc w:val="both"/>
        <w:textAlignment w:val="auto"/>
        <w:outlineLvl w:val="9"/>
        <w:rPr>
          <w:rFonts w:hint="default" w:ascii="宋体" w:hAnsi="宋体" w:eastAsia="仿宋_GB2312" w:cs="Times New Roman"/>
          <w:bCs/>
          <w:color w:val="000000"/>
          <w:sz w:val="32"/>
          <w:szCs w:val="32"/>
        </w:rPr>
      </w:pPr>
      <w:r>
        <w:rPr>
          <w:rFonts w:hint="eastAsia" w:ascii="宋体" w:hAnsi="宋体" w:cs="Times New Roman"/>
          <w:bCs/>
          <w:color w:val="000000"/>
          <w:sz w:val="32"/>
          <w:szCs w:val="32"/>
          <w:lang w:val="en-US" w:eastAsia="zh-CN"/>
        </w:rPr>
        <w:t>8.</w:t>
      </w:r>
      <w:r>
        <w:rPr>
          <w:rFonts w:hint="default" w:ascii="宋体" w:hAnsi="宋体" w:eastAsia="仿宋_GB2312" w:cs="Times New Roman"/>
          <w:bCs/>
          <w:color w:val="000000"/>
          <w:sz w:val="32"/>
          <w:szCs w:val="32"/>
        </w:rPr>
        <w:t>完成市委、市政府交办的其他工作。</w:t>
      </w:r>
    </w:p>
    <w:p w14:paraId="092E0D7F">
      <w:pPr>
        <w:pStyle w:val="2"/>
        <w:keepNext w:val="0"/>
        <w:keepLines w:val="0"/>
        <w:pageBreakBefore w:val="0"/>
        <w:widowControl w:val="0"/>
        <w:kinsoku/>
        <w:wordWrap/>
        <w:overflowPunct/>
        <w:topLinePunct w:val="0"/>
        <w:autoSpaceDE/>
        <w:autoSpaceDN/>
        <w:bidi w:val="0"/>
        <w:adjustRightInd w:val="0"/>
        <w:snapToGrid w:val="0"/>
        <w:spacing w:beforeLines="0" w:after="0" w:line="590" w:lineRule="exact"/>
        <w:ind w:left="0" w:leftChars="0" w:right="0" w:firstLine="628" w:firstLineChars="200"/>
        <w:jc w:val="both"/>
        <w:textAlignment w:val="auto"/>
        <w:outlineLvl w:val="9"/>
        <w:rPr>
          <w:rFonts w:hint="default" w:ascii="宋体" w:hAnsi="宋体" w:eastAsia="楷体_GB2312" w:cs="Times New Roman"/>
          <w:b w:val="0"/>
          <w:bCs w:val="0"/>
          <w:color w:val="auto"/>
          <w:kern w:val="0"/>
          <w:sz w:val="32"/>
          <w:szCs w:val="32"/>
          <w:highlight w:val="none"/>
          <w:shd w:val="clear" w:color="auto" w:fill="FFFFFF"/>
          <w:lang w:val="zh-CN"/>
        </w:rPr>
      </w:pPr>
      <w:r>
        <w:rPr>
          <w:rFonts w:hint="eastAsia" w:ascii="宋体" w:hAnsi="宋体" w:cs="Times New Roman"/>
          <w:bCs/>
          <w:color w:val="000000"/>
          <w:sz w:val="32"/>
          <w:szCs w:val="32"/>
          <w:lang w:val="en-US" w:eastAsia="zh-CN"/>
        </w:rPr>
        <w:t>9.</w:t>
      </w:r>
      <w:r>
        <w:rPr>
          <w:rFonts w:hint="default" w:ascii="宋体" w:hAnsi="宋体" w:eastAsia="仿宋_GB2312" w:cs="Times New Roman"/>
          <w:bCs/>
          <w:color w:val="000000"/>
          <w:sz w:val="32"/>
          <w:szCs w:val="32"/>
        </w:rPr>
        <w:t>职能转变。建立健全体制机制，加强对全市经济合作的统筹，推进内资和外资、招商与博览有机融合发展。优化精准招商、精品招商、集群招商路径和方式，提升开放合作平台影响力，提高招商引资质量，发展壮大重点产业。深入实施外商投资管理体制改革，进一步改进外商投资企业投资管理，提高投资便利化水平。提升与发达地区经济合作层次，推进全市投资促进分工协作、错位发展。加强对重大引进项目的跟踪服务，完善市级重大引进项目激励机制。促进全市博览事业快速发展。</w:t>
      </w:r>
    </w:p>
    <w:p w14:paraId="3F06346C">
      <w:pPr>
        <w:keepNext w:val="0"/>
        <w:keepLines w:val="0"/>
        <w:pageBreakBefore w:val="0"/>
        <w:widowControl w:val="0"/>
        <w:kinsoku/>
        <w:wordWrap/>
        <w:overflowPunct/>
        <w:topLinePunct w:val="0"/>
        <w:autoSpaceDE/>
        <w:autoSpaceDN/>
        <w:bidi w:val="0"/>
        <w:adjustRightInd/>
        <w:snapToGrid/>
        <w:spacing w:line="590" w:lineRule="exact"/>
        <w:ind w:firstLine="628" w:firstLineChars="200"/>
        <w:jc w:val="both"/>
        <w:textAlignment w:val="auto"/>
        <w:rPr>
          <w:rFonts w:hint="default" w:ascii="宋体" w:hAnsi="宋体" w:eastAsia="楷体_GB2312" w:cs="Times New Roman"/>
          <w:b w:val="0"/>
          <w:bCs w:val="0"/>
          <w:color w:val="auto"/>
          <w:kern w:val="0"/>
          <w:sz w:val="32"/>
          <w:szCs w:val="32"/>
          <w:highlight w:val="none"/>
          <w:shd w:val="clear" w:color="auto" w:fill="FFFFFF"/>
          <w:lang w:val="zh-CN"/>
        </w:rPr>
      </w:pPr>
      <w:r>
        <w:rPr>
          <w:rFonts w:hint="default" w:ascii="宋体" w:hAnsi="宋体" w:eastAsia="楷体_GB2312" w:cs="Times New Roman"/>
          <w:b w:val="0"/>
          <w:bCs w:val="0"/>
          <w:color w:val="auto"/>
          <w:kern w:val="0"/>
          <w:sz w:val="32"/>
          <w:szCs w:val="32"/>
          <w:highlight w:val="none"/>
          <w:shd w:val="clear" w:color="auto" w:fill="FFFFFF"/>
          <w:lang w:val="zh-CN"/>
        </w:rPr>
        <w:t>（三）人员概况</w:t>
      </w:r>
    </w:p>
    <w:p w14:paraId="5BD5966F">
      <w:pPr>
        <w:keepNext w:val="0"/>
        <w:keepLines w:val="0"/>
        <w:pageBreakBefore w:val="0"/>
        <w:widowControl w:val="0"/>
        <w:kinsoku/>
        <w:wordWrap/>
        <w:overflowPunct/>
        <w:topLinePunct w:val="0"/>
        <w:autoSpaceDE/>
        <w:autoSpaceDN/>
        <w:bidi w:val="0"/>
        <w:adjustRightInd/>
        <w:snapToGrid/>
        <w:spacing w:line="590" w:lineRule="exact"/>
        <w:ind w:firstLine="628" w:firstLineChars="200"/>
        <w:jc w:val="both"/>
        <w:textAlignment w:val="auto"/>
        <w:rPr>
          <w:rFonts w:hint="default" w:ascii="宋体" w:hAnsi="宋体" w:eastAsia="仿宋_GB2312" w:cs="仿宋_GB2312"/>
          <w:b w:val="0"/>
          <w:bCs w:val="0"/>
          <w:color w:val="auto"/>
          <w:kern w:val="0"/>
          <w:position w:val="0"/>
          <w:sz w:val="32"/>
          <w:szCs w:val="32"/>
          <w:highlight w:val="none"/>
          <w:lang w:val="en-US" w:eastAsia="zh-CN" w:bidi="ar-SA"/>
        </w:rPr>
      </w:pPr>
      <w:r>
        <w:rPr>
          <w:rFonts w:hint="default" w:ascii="宋体" w:hAnsi="宋体" w:eastAsia="仿宋_GB2312" w:cs="仿宋_GB2312"/>
          <w:b w:val="0"/>
          <w:bCs w:val="0"/>
          <w:color w:val="auto"/>
          <w:kern w:val="0"/>
          <w:sz w:val="32"/>
          <w:szCs w:val="32"/>
          <w:highlight w:val="none"/>
          <w:shd w:val="clear" w:color="auto" w:fill="FFFFFF"/>
          <w:lang w:val="zh-CN" w:eastAsia="zh-CN"/>
        </w:rPr>
        <w:t>截至202</w:t>
      </w:r>
      <w:r>
        <w:rPr>
          <w:rFonts w:hint="eastAsia" w:ascii="宋体" w:hAnsi="宋体" w:eastAsia="仿宋_GB2312" w:cs="仿宋_GB2312"/>
          <w:b w:val="0"/>
          <w:bCs w:val="0"/>
          <w:color w:val="auto"/>
          <w:kern w:val="0"/>
          <w:sz w:val="32"/>
          <w:szCs w:val="32"/>
          <w:highlight w:val="none"/>
          <w:shd w:val="clear" w:color="auto" w:fill="FFFFFF"/>
          <w:lang w:val="en-US" w:eastAsia="zh-CN"/>
        </w:rPr>
        <w:t>4</w:t>
      </w:r>
      <w:r>
        <w:rPr>
          <w:rFonts w:hint="default" w:ascii="宋体" w:hAnsi="宋体" w:eastAsia="仿宋_GB2312" w:cs="仿宋_GB2312"/>
          <w:b w:val="0"/>
          <w:bCs w:val="0"/>
          <w:color w:val="auto"/>
          <w:kern w:val="0"/>
          <w:sz w:val="32"/>
          <w:szCs w:val="32"/>
          <w:highlight w:val="none"/>
          <w:shd w:val="clear" w:color="auto" w:fill="FFFFFF"/>
          <w:lang w:val="zh-CN" w:eastAsia="zh-CN"/>
        </w:rPr>
        <w:t>年末，我局核定编制70名，其中行政编制26名（含机关工勤3名），事业编制44名，在职在编</w:t>
      </w:r>
      <w:r>
        <w:rPr>
          <w:rFonts w:hint="eastAsia" w:ascii="宋体" w:hAnsi="宋体" w:eastAsia="仿宋_GB2312" w:cs="仿宋_GB2312"/>
          <w:b w:val="0"/>
          <w:bCs w:val="0"/>
          <w:color w:val="auto"/>
          <w:kern w:val="0"/>
          <w:sz w:val="32"/>
          <w:szCs w:val="32"/>
          <w:highlight w:val="none"/>
          <w:shd w:val="clear" w:color="auto" w:fill="FFFFFF"/>
          <w:lang w:val="en-US" w:eastAsia="zh-CN"/>
        </w:rPr>
        <w:t>55</w:t>
      </w:r>
      <w:r>
        <w:rPr>
          <w:rFonts w:hint="default" w:ascii="宋体" w:hAnsi="宋体" w:eastAsia="仿宋_GB2312" w:cs="仿宋_GB2312"/>
          <w:b w:val="0"/>
          <w:bCs w:val="0"/>
          <w:color w:val="auto"/>
          <w:kern w:val="0"/>
          <w:sz w:val="32"/>
          <w:szCs w:val="32"/>
          <w:highlight w:val="none"/>
          <w:shd w:val="clear" w:color="auto" w:fill="FFFFFF"/>
          <w:lang w:val="zh-CN" w:eastAsia="zh-CN"/>
        </w:rPr>
        <w:t>人，其中行政编制2</w:t>
      </w:r>
      <w:r>
        <w:rPr>
          <w:rFonts w:hint="eastAsia" w:ascii="宋体" w:hAnsi="宋体" w:eastAsia="仿宋_GB2312" w:cs="仿宋_GB2312"/>
          <w:b w:val="0"/>
          <w:bCs w:val="0"/>
          <w:color w:val="auto"/>
          <w:kern w:val="0"/>
          <w:sz w:val="32"/>
          <w:szCs w:val="32"/>
          <w:highlight w:val="none"/>
          <w:shd w:val="clear" w:color="auto" w:fill="FFFFFF"/>
          <w:lang w:val="en-US" w:eastAsia="zh-CN"/>
        </w:rPr>
        <w:t>4</w:t>
      </w:r>
      <w:r>
        <w:rPr>
          <w:rFonts w:hint="default" w:ascii="宋体" w:hAnsi="宋体" w:eastAsia="仿宋_GB2312" w:cs="仿宋_GB2312"/>
          <w:b w:val="0"/>
          <w:bCs w:val="0"/>
          <w:color w:val="auto"/>
          <w:kern w:val="0"/>
          <w:sz w:val="32"/>
          <w:szCs w:val="32"/>
          <w:highlight w:val="none"/>
          <w:shd w:val="clear" w:color="auto" w:fill="FFFFFF"/>
          <w:lang w:val="zh-CN" w:eastAsia="zh-CN"/>
        </w:rPr>
        <w:t>人（含机关工勤1名），事业编制</w:t>
      </w:r>
      <w:r>
        <w:rPr>
          <w:rFonts w:hint="eastAsia" w:ascii="宋体" w:hAnsi="宋体" w:eastAsia="仿宋_GB2312" w:cs="仿宋_GB2312"/>
          <w:b w:val="0"/>
          <w:bCs w:val="0"/>
          <w:color w:val="auto"/>
          <w:kern w:val="0"/>
          <w:sz w:val="32"/>
          <w:szCs w:val="32"/>
          <w:highlight w:val="none"/>
          <w:shd w:val="clear" w:color="auto" w:fill="FFFFFF"/>
          <w:lang w:val="en-US" w:eastAsia="zh-CN"/>
        </w:rPr>
        <w:t>31</w:t>
      </w:r>
      <w:r>
        <w:rPr>
          <w:rFonts w:hint="default" w:ascii="宋体" w:hAnsi="宋体" w:eastAsia="仿宋_GB2312" w:cs="仿宋_GB2312"/>
          <w:b w:val="0"/>
          <w:bCs w:val="0"/>
          <w:color w:val="auto"/>
          <w:kern w:val="0"/>
          <w:sz w:val="32"/>
          <w:szCs w:val="32"/>
          <w:highlight w:val="none"/>
          <w:shd w:val="clear" w:color="auto" w:fill="FFFFFF"/>
          <w:lang w:val="zh-CN" w:eastAsia="zh-CN"/>
        </w:rPr>
        <w:t>人。</w:t>
      </w:r>
    </w:p>
    <w:p w14:paraId="66518AF2">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黑体" w:cs="Times New Roman"/>
          <w:b w:val="0"/>
          <w:bCs w:val="0"/>
          <w:color w:val="auto"/>
          <w:kern w:val="0"/>
          <w:sz w:val="32"/>
          <w:szCs w:val="32"/>
          <w:highlight w:val="none"/>
          <w:shd w:val="clear" w:color="auto" w:fill="FFFFFF"/>
        </w:rPr>
      </w:pPr>
      <w:r>
        <w:rPr>
          <w:rFonts w:hint="default" w:ascii="宋体" w:hAnsi="宋体" w:eastAsia="黑体" w:cs="Times New Roman"/>
          <w:b w:val="0"/>
          <w:bCs w:val="0"/>
          <w:color w:val="auto"/>
          <w:kern w:val="0"/>
          <w:sz w:val="32"/>
          <w:szCs w:val="32"/>
          <w:highlight w:val="none"/>
          <w:shd w:val="clear" w:color="auto" w:fill="FFFFFF"/>
        </w:rPr>
        <w:t>二、</w:t>
      </w:r>
      <w:r>
        <w:rPr>
          <w:rFonts w:hint="default" w:ascii="宋体" w:hAnsi="宋体" w:eastAsia="黑体" w:cs="Times New Roman"/>
          <w:b w:val="0"/>
          <w:bCs w:val="0"/>
          <w:color w:val="auto"/>
          <w:kern w:val="0"/>
          <w:sz w:val="32"/>
          <w:szCs w:val="32"/>
          <w:highlight w:val="none"/>
          <w:shd w:val="clear" w:color="auto" w:fill="FFFFFF"/>
          <w:lang w:eastAsia="zh-CN"/>
        </w:rPr>
        <w:t>部门</w:t>
      </w:r>
      <w:r>
        <w:rPr>
          <w:rFonts w:hint="default" w:ascii="宋体" w:hAnsi="宋体" w:eastAsia="黑体" w:cs="Times New Roman"/>
          <w:b w:val="0"/>
          <w:bCs w:val="0"/>
          <w:color w:val="auto"/>
          <w:kern w:val="0"/>
          <w:sz w:val="32"/>
          <w:szCs w:val="32"/>
          <w:highlight w:val="none"/>
          <w:shd w:val="clear" w:color="auto" w:fill="FFFFFF"/>
        </w:rPr>
        <w:t>资金收支情况</w:t>
      </w:r>
    </w:p>
    <w:p w14:paraId="4685702F">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楷体_GB2312" w:cs="Times New Roman"/>
          <w:b w:val="0"/>
          <w:bCs w:val="0"/>
          <w:color w:val="auto"/>
          <w:kern w:val="0"/>
          <w:sz w:val="32"/>
          <w:szCs w:val="32"/>
          <w:highlight w:val="none"/>
          <w:shd w:val="clear" w:color="auto" w:fill="FFFFFF"/>
          <w:lang w:val="zh-CN"/>
        </w:rPr>
      </w:pPr>
      <w:r>
        <w:rPr>
          <w:rFonts w:hint="default" w:ascii="宋体" w:hAnsi="宋体" w:eastAsia="楷体_GB2312" w:cs="Times New Roman"/>
          <w:b w:val="0"/>
          <w:bCs w:val="0"/>
          <w:color w:val="auto"/>
          <w:kern w:val="0"/>
          <w:sz w:val="32"/>
          <w:szCs w:val="32"/>
          <w:highlight w:val="none"/>
          <w:shd w:val="clear" w:color="auto" w:fill="FFFFFF"/>
          <w:lang w:val="zh-CN"/>
        </w:rPr>
        <w:t>（一）收入情况</w:t>
      </w:r>
    </w:p>
    <w:p w14:paraId="010C5D46">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仿宋_GB2312" w:cs="仿宋_GB2312"/>
          <w:b w:val="0"/>
          <w:bCs w:val="0"/>
          <w:color w:val="auto"/>
          <w:kern w:val="0"/>
          <w:sz w:val="32"/>
          <w:szCs w:val="32"/>
          <w:highlight w:val="none"/>
          <w:shd w:val="clear" w:color="auto" w:fill="FFFFFF"/>
          <w:lang w:val="en-US"/>
        </w:rPr>
      </w:pPr>
      <w:r>
        <w:rPr>
          <w:rFonts w:hint="eastAsia" w:ascii="宋体" w:hAnsi="宋体" w:eastAsia="仿宋_GB2312" w:cs="仿宋_GB2312"/>
          <w:b w:val="0"/>
          <w:bCs w:val="0"/>
          <w:color w:val="auto"/>
          <w:kern w:val="0"/>
          <w:sz w:val="32"/>
          <w:szCs w:val="32"/>
          <w:highlight w:val="none"/>
          <w:shd w:val="clear" w:color="auto" w:fill="FFFFFF"/>
          <w:lang w:val="en-US" w:eastAsia="zh-CN"/>
        </w:rPr>
        <w:t>市经合外事局</w:t>
      </w:r>
      <w:r>
        <w:rPr>
          <w:rFonts w:hint="default" w:ascii="宋体" w:hAnsi="宋体" w:eastAsia="仿宋_GB2312" w:cs="仿宋_GB2312"/>
          <w:b w:val="0"/>
          <w:bCs w:val="0"/>
          <w:color w:val="auto"/>
          <w:kern w:val="0"/>
          <w:sz w:val="32"/>
          <w:szCs w:val="32"/>
          <w:highlight w:val="none"/>
          <w:shd w:val="clear" w:color="auto" w:fill="FFFFFF"/>
          <w:lang w:val="en-US" w:eastAsia="zh-CN"/>
        </w:rPr>
        <w:t>202</w:t>
      </w:r>
      <w:r>
        <w:rPr>
          <w:rFonts w:hint="eastAsia" w:ascii="宋体" w:hAnsi="宋体" w:eastAsia="仿宋_GB2312" w:cs="仿宋_GB2312"/>
          <w:b w:val="0"/>
          <w:bCs w:val="0"/>
          <w:color w:val="auto"/>
          <w:kern w:val="0"/>
          <w:sz w:val="32"/>
          <w:szCs w:val="32"/>
          <w:highlight w:val="none"/>
          <w:shd w:val="clear" w:color="auto" w:fill="FFFFFF"/>
          <w:lang w:val="en-US" w:eastAsia="zh-CN"/>
        </w:rPr>
        <w:t>4</w:t>
      </w:r>
      <w:r>
        <w:rPr>
          <w:rFonts w:hint="default" w:ascii="宋体" w:hAnsi="宋体" w:eastAsia="仿宋_GB2312" w:cs="仿宋_GB2312"/>
          <w:b w:val="0"/>
          <w:bCs w:val="0"/>
          <w:color w:val="auto"/>
          <w:kern w:val="0"/>
          <w:sz w:val="32"/>
          <w:szCs w:val="32"/>
          <w:highlight w:val="none"/>
          <w:shd w:val="clear" w:color="auto" w:fill="FFFFFF"/>
          <w:lang w:val="en-US" w:eastAsia="zh-CN"/>
        </w:rPr>
        <w:t>年年初预算收入</w:t>
      </w:r>
      <w:r>
        <w:rPr>
          <w:rFonts w:hint="eastAsia" w:ascii="宋体" w:hAnsi="宋体" w:eastAsia="仿宋_GB2312" w:cs="仿宋_GB2312"/>
          <w:b w:val="0"/>
          <w:bCs w:val="0"/>
          <w:color w:val="auto"/>
          <w:kern w:val="0"/>
          <w:sz w:val="32"/>
          <w:szCs w:val="32"/>
          <w:highlight w:val="none"/>
          <w:shd w:val="clear" w:color="auto" w:fill="FFFFFF"/>
          <w:lang w:val="en-US" w:eastAsia="zh-CN"/>
        </w:rPr>
        <w:t>1275.78万元</w:t>
      </w:r>
      <w:r>
        <w:rPr>
          <w:rFonts w:hint="default" w:ascii="宋体" w:hAnsi="宋体" w:eastAsia="仿宋_GB2312" w:cs="仿宋_GB2312"/>
          <w:b w:val="0"/>
          <w:bCs w:val="0"/>
          <w:color w:val="auto"/>
          <w:kern w:val="0"/>
          <w:sz w:val="32"/>
          <w:szCs w:val="32"/>
          <w:highlight w:val="none"/>
          <w:shd w:val="clear" w:color="auto" w:fill="FFFFFF"/>
          <w:lang w:val="en-US" w:eastAsia="zh-CN"/>
        </w:rPr>
        <w:t>、决算</w:t>
      </w:r>
      <w:r>
        <w:rPr>
          <w:rFonts w:hint="eastAsia" w:ascii="宋体" w:hAnsi="宋体" w:eastAsia="仿宋_GB2312" w:cs="仿宋_GB2312"/>
          <w:b w:val="0"/>
          <w:bCs w:val="0"/>
          <w:color w:val="auto"/>
          <w:kern w:val="0"/>
          <w:sz w:val="32"/>
          <w:szCs w:val="32"/>
          <w:highlight w:val="none"/>
          <w:shd w:val="clear" w:color="auto" w:fill="FFFFFF"/>
          <w:lang w:val="en-US" w:eastAsia="zh-CN"/>
        </w:rPr>
        <w:t>收入1704.18万元。</w:t>
      </w:r>
    </w:p>
    <w:p w14:paraId="429D0A50">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楷体_GB2312" w:cs="Times New Roman"/>
          <w:b w:val="0"/>
          <w:bCs w:val="0"/>
          <w:color w:val="auto"/>
          <w:kern w:val="0"/>
          <w:sz w:val="32"/>
          <w:szCs w:val="32"/>
          <w:highlight w:val="none"/>
          <w:shd w:val="clear" w:color="auto" w:fill="FFFFFF"/>
          <w:lang w:val="zh-CN"/>
        </w:rPr>
      </w:pPr>
      <w:r>
        <w:rPr>
          <w:rFonts w:hint="default" w:ascii="宋体" w:hAnsi="宋体" w:eastAsia="楷体_GB2312" w:cs="Times New Roman"/>
          <w:b w:val="0"/>
          <w:bCs w:val="0"/>
          <w:color w:val="auto"/>
          <w:kern w:val="0"/>
          <w:sz w:val="32"/>
          <w:szCs w:val="32"/>
          <w:highlight w:val="none"/>
          <w:shd w:val="clear" w:color="auto" w:fill="FFFFFF"/>
          <w:lang w:val="zh-CN"/>
        </w:rPr>
        <w:t>（二）支出情况</w:t>
      </w:r>
    </w:p>
    <w:p w14:paraId="3D381509">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sz w:val="32"/>
          <w:szCs w:val="32"/>
          <w:highlight w:val="none"/>
          <w:shd w:val="clear" w:color="auto" w:fill="FFFFFF"/>
          <w:lang w:val="en-US" w:eastAsia="zh-CN"/>
        </w:rPr>
      </w:pPr>
      <w:r>
        <w:rPr>
          <w:rFonts w:hint="eastAsia" w:ascii="宋体" w:hAnsi="宋体" w:eastAsia="仿宋_GB2312" w:cs="仿宋_GB2312"/>
          <w:b w:val="0"/>
          <w:bCs w:val="0"/>
          <w:color w:val="auto"/>
          <w:kern w:val="0"/>
          <w:sz w:val="32"/>
          <w:szCs w:val="32"/>
          <w:highlight w:val="none"/>
          <w:shd w:val="clear" w:color="auto" w:fill="FFFFFF"/>
          <w:lang w:val="en-US" w:eastAsia="zh-CN"/>
        </w:rPr>
        <w:t>市经合外事局</w:t>
      </w:r>
      <w:r>
        <w:rPr>
          <w:rFonts w:hint="default" w:ascii="宋体" w:hAnsi="宋体" w:eastAsia="仿宋_GB2312" w:cs="仿宋_GB2312"/>
          <w:b w:val="0"/>
          <w:bCs w:val="0"/>
          <w:color w:val="auto"/>
          <w:kern w:val="0"/>
          <w:sz w:val="32"/>
          <w:szCs w:val="32"/>
          <w:highlight w:val="none"/>
          <w:shd w:val="clear" w:color="auto" w:fill="FFFFFF"/>
          <w:lang w:val="en-US" w:eastAsia="zh-CN"/>
        </w:rPr>
        <w:t>202</w:t>
      </w:r>
      <w:r>
        <w:rPr>
          <w:rFonts w:hint="eastAsia" w:ascii="宋体" w:hAnsi="宋体" w:eastAsia="仿宋_GB2312" w:cs="仿宋_GB2312"/>
          <w:b w:val="0"/>
          <w:bCs w:val="0"/>
          <w:color w:val="auto"/>
          <w:kern w:val="0"/>
          <w:sz w:val="32"/>
          <w:szCs w:val="32"/>
          <w:highlight w:val="none"/>
          <w:shd w:val="clear" w:color="auto" w:fill="FFFFFF"/>
          <w:lang w:val="en-US" w:eastAsia="zh-CN"/>
        </w:rPr>
        <w:t>4</w:t>
      </w:r>
      <w:r>
        <w:rPr>
          <w:rFonts w:hint="default" w:ascii="宋体" w:hAnsi="宋体" w:eastAsia="仿宋_GB2312" w:cs="仿宋_GB2312"/>
          <w:b w:val="0"/>
          <w:bCs w:val="0"/>
          <w:color w:val="auto"/>
          <w:kern w:val="0"/>
          <w:sz w:val="32"/>
          <w:szCs w:val="32"/>
          <w:highlight w:val="none"/>
          <w:shd w:val="clear" w:color="auto" w:fill="FFFFFF"/>
          <w:lang w:val="en-US" w:eastAsia="zh-CN"/>
        </w:rPr>
        <w:t>年年初预算支出</w:t>
      </w:r>
      <w:r>
        <w:rPr>
          <w:rFonts w:hint="eastAsia" w:ascii="宋体" w:hAnsi="宋体" w:eastAsia="仿宋_GB2312" w:cs="仿宋_GB2312"/>
          <w:b w:val="0"/>
          <w:bCs w:val="0"/>
          <w:color w:val="auto"/>
          <w:kern w:val="0"/>
          <w:sz w:val="32"/>
          <w:szCs w:val="32"/>
          <w:highlight w:val="none"/>
          <w:shd w:val="clear" w:color="auto" w:fill="FFFFFF"/>
          <w:lang w:val="en-US" w:eastAsia="zh-CN"/>
        </w:rPr>
        <w:t>1275.78万元</w:t>
      </w:r>
      <w:r>
        <w:rPr>
          <w:rFonts w:hint="default" w:ascii="宋体" w:hAnsi="宋体" w:eastAsia="仿宋_GB2312" w:cs="仿宋_GB2312"/>
          <w:b w:val="0"/>
          <w:bCs w:val="0"/>
          <w:color w:val="auto"/>
          <w:kern w:val="0"/>
          <w:sz w:val="32"/>
          <w:szCs w:val="32"/>
          <w:highlight w:val="none"/>
          <w:shd w:val="clear" w:color="auto" w:fill="FFFFFF"/>
          <w:lang w:val="en-US" w:eastAsia="zh-CN"/>
        </w:rPr>
        <w:t>、决算支出</w:t>
      </w:r>
      <w:r>
        <w:rPr>
          <w:rFonts w:hint="eastAsia" w:ascii="宋体" w:hAnsi="宋体" w:eastAsia="仿宋_GB2312" w:cs="仿宋_GB2312"/>
          <w:b w:val="0"/>
          <w:bCs w:val="0"/>
          <w:color w:val="auto"/>
          <w:kern w:val="0"/>
          <w:sz w:val="32"/>
          <w:szCs w:val="32"/>
          <w:highlight w:val="none"/>
          <w:shd w:val="clear" w:color="auto" w:fill="FFFFFF"/>
          <w:lang w:val="en-US" w:eastAsia="zh-CN"/>
        </w:rPr>
        <w:t>1798.57万元。</w:t>
      </w:r>
    </w:p>
    <w:p w14:paraId="700F8E92">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Times New Roman"/>
          <w:color w:val="auto"/>
          <w:sz w:val="32"/>
          <w:szCs w:val="32"/>
          <w:highlight w:val="none"/>
          <w:lang w:val="en-US" w:eastAsia="zh-CN" w:bidi="ar-SA"/>
        </w:rPr>
      </w:pPr>
      <w:r>
        <w:rPr>
          <w:rFonts w:hint="eastAsia" w:ascii="宋体" w:hAnsi="宋体" w:eastAsia="仿宋_GB2312" w:cs="仿宋_GB2312"/>
          <w:b w:val="0"/>
          <w:bCs w:val="0"/>
          <w:color w:val="auto"/>
          <w:kern w:val="0"/>
          <w:sz w:val="32"/>
          <w:szCs w:val="32"/>
          <w:highlight w:val="none"/>
          <w:shd w:val="clear" w:color="auto" w:fill="FFFFFF"/>
          <w:lang w:val="en-US" w:eastAsia="zh-CN"/>
        </w:rPr>
        <w:t>2024年全年我单位高质量完成了省、市下达目标任务，</w:t>
      </w:r>
      <w:r>
        <w:rPr>
          <w:rFonts w:hint="default" w:ascii="宋体" w:hAnsi="宋体" w:eastAsia="仿宋_GB2312" w:cs="Times New Roman"/>
          <w:color w:val="auto"/>
          <w:sz w:val="32"/>
          <w:szCs w:val="32"/>
          <w:highlight w:val="none"/>
          <w:lang w:val="en-US" w:eastAsia="zh-CN" w:bidi="ar-SA"/>
        </w:rPr>
        <w:t>实现外商直接投资（FDI）到位2113万美元</w:t>
      </w:r>
      <w:r>
        <w:rPr>
          <w:rFonts w:hint="eastAsia" w:ascii="宋体" w:hAnsi="宋体" w:eastAsia="仿宋_GB2312" w:cs="Times New Roman"/>
          <w:color w:val="auto"/>
          <w:sz w:val="32"/>
          <w:szCs w:val="32"/>
          <w:highlight w:val="none"/>
          <w:lang w:val="en-US" w:eastAsia="zh-CN" w:bidi="ar-SA"/>
        </w:rPr>
        <w:t>，完成省下目标105.6%；高质量举办了中国西部（广元）食品饮料产业发展大会、中国（广元）绿色铝产业发展大会、中国（广元）物流产业发展大会等全国性投资促进会议活动8次，集中签约项目378个，签约资金近1700亿元；全年签约招商项目776个，签约资金2123.56亿元。同时，保障了全局各项工作正常运转，保证职工正常工资福利待遇发放，各项工作稳步高效推进。</w:t>
      </w:r>
    </w:p>
    <w:p w14:paraId="19A45BFD">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楷体_GB2312" w:cs="Times New Roman"/>
          <w:b w:val="0"/>
          <w:bCs w:val="0"/>
          <w:color w:val="auto"/>
          <w:sz w:val="32"/>
          <w:szCs w:val="32"/>
        </w:rPr>
      </w:pPr>
      <w:r>
        <w:rPr>
          <w:rFonts w:hint="default" w:ascii="宋体" w:hAnsi="宋体" w:eastAsia="楷体_GB2312" w:cs="Times New Roman"/>
          <w:b w:val="0"/>
          <w:bCs w:val="0"/>
          <w:color w:val="auto"/>
          <w:kern w:val="0"/>
          <w:sz w:val="32"/>
          <w:szCs w:val="32"/>
          <w:highlight w:val="none"/>
          <w:shd w:val="clear" w:color="auto" w:fill="FFFFFF"/>
          <w:lang w:val="zh-CN"/>
        </w:rPr>
        <w:t>（三）</w:t>
      </w:r>
      <w:r>
        <w:rPr>
          <w:rFonts w:hint="default" w:ascii="宋体" w:hAnsi="宋体" w:eastAsia="楷体_GB2312" w:cs="Times New Roman"/>
          <w:b w:val="0"/>
          <w:bCs w:val="0"/>
          <w:color w:val="auto"/>
          <w:sz w:val="32"/>
          <w:szCs w:val="32"/>
        </w:rPr>
        <w:t>结余分配和结转结余情况</w:t>
      </w:r>
    </w:p>
    <w:p w14:paraId="2562AF3E">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仿宋_GB2312" w:cs="仿宋_GB2312"/>
          <w:b w:val="0"/>
          <w:bCs w:val="0"/>
          <w:color w:val="auto"/>
          <w:kern w:val="0"/>
          <w:sz w:val="32"/>
          <w:szCs w:val="32"/>
          <w:highlight w:val="none"/>
          <w:shd w:val="clear" w:color="auto" w:fill="FFFFFF"/>
          <w:lang w:val="zh-CN" w:eastAsia="zh-CN"/>
        </w:rPr>
      </w:pPr>
      <w:r>
        <w:rPr>
          <w:rFonts w:hint="eastAsia" w:ascii="宋体" w:hAnsi="宋体" w:eastAsia="仿宋_GB2312" w:cs="仿宋_GB2312"/>
          <w:b w:val="0"/>
          <w:bCs w:val="0"/>
          <w:color w:val="auto"/>
          <w:kern w:val="0"/>
          <w:sz w:val="32"/>
          <w:szCs w:val="32"/>
          <w:highlight w:val="none"/>
          <w:shd w:val="clear" w:color="auto" w:fill="FFFFFF"/>
          <w:lang w:val="en-US" w:eastAsia="zh-CN"/>
        </w:rPr>
        <w:t>市经合外事局</w:t>
      </w:r>
      <w:r>
        <w:rPr>
          <w:rFonts w:hint="default" w:ascii="宋体" w:hAnsi="宋体" w:eastAsia="仿宋_GB2312" w:cs="仿宋_GB2312"/>
          <w:b w:val="0"/>
          <w:bCs w:val="0"/>
          <w:color w:val="auto"/>
          <w:kern w:val="0"/>
          <w:position w:val="0"/>
          <w:sz w:val="32"/>
          <w:szCs w:val="32"/>
          <w:highlight w:val="none"/>
          <w:lang w:val="en-US" w:eastAsia="zh-CN" w:bidi="ar-SA"/>
        </w:rPr>
        <w:t>202</w:t>
      </w:r>
      <w:r>
        <w:rPr>
          <w:rFonts w:hint="eastAsia" w:ascii="宋体" w:hAnsi="宋体" w:eastAsia="仿宋_GB2312" w:cs="仿宋_GB2312"/>
          <w:b w:val="0"/>
          <w:bCs w:val="0"/>
          <w:color w:val="auto"/>
          <w:kern w:val="0"/>
          <w:position w:val="0"/>
          <w:sz w:val="32"/>
          <w:szCs w:val="32"/>
          <w:highlight w:val="none"/>
          <w:lang w:val="en-US" w:eastAsia="zh-CN" w:bidi="ar-SA"/>
        </w:rPr>
        <w:t>4</w:t>
      </w:r>
      <w:r>
        <w:rPr>
          <w:rFonts w:hint="default" w:ascii="宋体" w:hAnsi="宋体" w:eastAsia="仿宋_GB2312" w:cs="仿宋_GB2312"/>
          <w:b w:val="0"/>
          <w:bCs w:val="0"/>
          <w:color w:val="auto"/>
          <w:kern w:val="0"/>
          <w:position w:val="0"/>
          <w:sz w:val="32"/>
          <w:szCs w:val="32"/>
          <w:highlight w:val="none"/>
          <w:lang w:val="en-US" w:eastAsia="zh-CN" w:bidi="ar-SA"/>
        </w:rPr>
        <w:t>年决算报表结转结余</w:t>
      </w:r>
      <w:r>
        <w:rPr>
          <w:rFonts w:hint="eastAsia" w:ascii="宋体" w:hAnsi="宋体" w:eastAsia="仿宋_GB2312" w:cs="仿宋_GB2312"/>
          <w:b w:val="0"/>
          <w:bCs w:val="0"/>
          <w:color w:val="auto"/>
          <w:kern w:val="0"/>
          <w:position w:val="0"/>
          <w:sz w:val="32"/>
          <w:szCs w:val="32"/>
          <w:highlight w:val="none"/>
          <w:lang w:val="en-US" w:eastAsia="zh-CN" w:bidi="ar-SA"/>
        </w:rPr>
        <w:t>48.09万元</w:t>
      </w:r>
      <w:r>
        <w:rPr>
          <w:rFonts w:hint="default" w:ascii="宋体" w:hAnsi="宋体" w:eastAsia="仿宋_GB2312" w:cs="仿宋_GB2312"/>
          <w:b w:val="0"/>
          <w:bCs w:val="0"/>
          <w:color w:val="auto"/>
          <w:kern w:val="0"/>
          <w:position w:val="0"/>
          <w:sz w:val="32"/>
          <w:szCs w:val="32"/>
          <w:highlight w:val="none"/>
          <w:lang w:val="en-US" w:eastAsia="zh-CN" w:bidi="ar-SA"/>
        </w:rPr>
        <w:t>。</w:t>
      </w:r>
    </w:p>
    <w:p w14:paraId="168F1D94">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黑体" w:cs="Times New Roman"/>
          <w:b w:val="0"/>
          <w:bCs w:val="0"/>
          <w:color w:val="auto"/>
          <w:kern w:val="0"/>
          <w:sz w:val="32"/>
          <w:szCs w:val="32"/>
          <w:highlight w:val="none"/>
          <w:shd w:val="clear" w:color="auto" w:fill="FFFFFF"/>
        </w:rPr>
      </w:pPr>
      <w:r>
        <w:rPr>
          <w:rFonts w:hint="default" w:ascii="宋体" w:hAnsi="宋体" w:eastAsia="黑体" w:cs="Times New Roman"/>
          <w:b w:val="0"/>
          <w:bCs w:val="0"/>
          <w:color w:val="auto"/>
          <w:kern w:val="0"/>
          <w:sz w:val="32"/>
          <w:szCs w:val="32"/>
          <w:highlight w:val="none"/>
          <w:shd w:val="clear" w:color="auto" w:fill="FFFFFF"/>
        </w:rPr>
        <w:t>三、</w:t>
      </w:r>
      <w:r>
        <w:rPr>
          <w:rFonts w:hint="default" w:ascii="宋体" w:hAnsi="宋体" w:eastAsia="黑体" w:cs="Times New Roman"/>
          <w:b w:val="0"/>
          <w:bCs w:val="0"/>
          <w:color w:val="auto"/>
          <w:kern w:val="0"/>
          <w:sz w:val="32"/>
          <w:szCs w:val="32"/>
          <w:highlight w:val="none"/>
          <w:u w:val="none"/>
          <w:shd w:val="clear" w:color="auto" w:fill="FFFFFF"/>
        </w:rPr>
        <w:t>部门</w:t>
      </w:r>
      <w:r>
        <w:rPr>
          <w:rFonts w:hint="default" w:ascii="宋体" w:hAnsi="宋体" w:eastAsia="黑体" w:cs="Times New Roman"/>
          <w:b w:val="0"/>
          <w:bCs w:val="0"/>
          <w:color w:val="auto"/>
          <w:kern w:val="0"/>
          <w:sz w:val="32"/>
          <w:szCs w:val="32"/>
          <w:highlight w:val="none"/>
          <w:u w:val="none"/>
          <w:shd w:val="clear" w:color="auto" w:fill="FFFFFF"/>
          <w:lang w:eastAsia="zh-CN"/>
        </w:rPr>
        <w:t>预算</w:t>
      </w:r>
      <w:r>
        <w:rPr>
          <w:rFonts w:hint="default" w:ascii="宋体" w:hAnsi="宋体" w:eastAsia="黑体" w:cs="Times New Roman"/>
          <w:b w:val="0"/>
          <w:bCs w:val="0"/>
          <w:color w:val="auto"/>
          <w:kern w:val="0"/>
          <w:sz w:val="32"/>
          <w:szCs w:val="32"/>
          <w:highlight w:val="none"/>
          <w:u w:val="none"/>
          <w:shd w:val="clear" w:color="auto" w:fill="FFFFFF"/>
        </w:rPr>
        <w:t>绩效</w:t>
      </w:r>
      <w:r>
        <w:rPr>
          <w:rFonts w:hint="default" w:ascii="宋体" w:hAnsi="宋体" w:eastAsia="黑体" w:cs="Times New Roman"/>
          <w:b w:val="0"/>
          <w:bCs w:val="0"/>
          <w:color w:val="auto"/>
          <w:kern w:val="0"/>
          <w:sz w:val="32"/>
          <w:szCs w:val="32"/>
          <w:highlight w:val="none"/>
          <w:u w:val="none"/>
          <w:shd w:val="clear" w:color="auto" w:fill="FFFFFF"/>
          <w:lang w:eastAsia="zh-CN"/>
        </w:rPr>
        <w:t>分析</w:t>
      </w:r>
    </w:p>
    <w:p w14:paraId="69B7F7FD">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sz w:val="32"/>
          <w:szCs w:val="32"/>
          <w:highlight w:val="none"/>
          <w:shd w:val="clear" w:color="auto" w:fill="FFFFFF"/>
          <w:lang w:val="zh-CN"/>
        </w:rPr>
      </w:pPr>
      <w:r>
        <w:rPr>
          <w:rFonts w:hint="default" w:ascii="宋体" w:hAnsi="宋体" w:eastAsia="楷体_GB2312" w:cs="Times New Roman"/>
          <w:b w:val="0"/>
          <w:bCs w:val="0"/>
          <w:color w:val="auto"/>
          <w:kern w:val="0"/>
          <w:sz w:val="32"/>
          <w:szCs w:val="32"/>
          <w:highlight w:val="none"/>
          <w:shd w:val="clear" w:color="auto" w:fill="FFFFFF"/>
          <w:lang w:val="zh-CN"/>
        </w:rPr>
        <w:t>（一）部门预算总体绩效分析</w:t>
      </w:r>
    </w:p>
    <w:p w14:paraId="36482E31">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cs="Times New Roman"/>
          <w:color w:val="000000"/>
          <w:kern w:val="0"/>
          <w:szCs w:val="32"/>
          <w:highlight w:val="none"/>
          <w:shd w:val="clear" w:color="auto" w:fill="FFFFFF"/>
          <w:lang w:val="zh-CN"/>
        </w:rPr>
      </w:pPr>
      <w:r>
        <w:rPr>
          <w:rFonts w:hint="eastAsia" w:ascii="宋体" w:hAnsi="宋体" w:eastAsia="仿宋_GB2312" w:cs="仿宋_GB2312"/>
          <w:b w:val="0"/>
          <w:bCs w:val="0"/>
          <w:color w:val="auto"/>
          <w:kern w:val="0"/>
          <w:position w:val="0"/>
          <w:sz w:val="32"/>
          <w:szCs w:val="32"/>
          <w:highlight w:val="none"/>
          <w:lang w:val="en-US" w:eastAsia="zh-CN" w:bidi="ar-SA"/>
        </w:rPr>
        <w:t>1.</w:t>
      </w:r>
      <w:r>
        <w:rPr>
          <w:rFonts w:hint="eastAsia" w:ascii="宋体" w:hAnsi="宋体" w:eastAsia="仿宋_GB2312" w:cs="仿宋_GB2312"/>
          <w:b w:val="0"/>
          <w:bCs w:val="0"/>
          <w:color w:val="auto"/>
          <w:kern w:val="0"/>
          <w:position w:val="0"/>
          <w:sz w:val="32"/>
          <w:szCs w:val="32"/>
          <w:highlight w:val="none"/>
          <w:lang w:val="zh-CN" w:eastAsia="zh-CN" w:bidi="ar-SA"/>
        </w:rPr>
        <w:t>履职效能。</w:t>
      </w:r>
      <w:r>
        <w:rPr>
          <w:rFonts w:hint="eastAsia" w:ascii="宋体" w:hAnsi="宋体" w:eastAsia="仿宋_GB2312" w:cs="Times New Roman"/>
          <w:color w:val="auto"/>
          <w:kern w:val="2"/>
          <w:sz w:val="32"/>
          <w:szCs w:val="32"/>
          <w:vertAlign w:val="baseline"/>
          <w:lang w:val="zh-CN" w:eastAsia="zh-CN" w:bidi="ar-SA"/>
        </w:rPr>
        <w:t>202</w:t>
      </w:r>
      <w:r>
        <w:rPr>
          <w:rFonts w:hint="eastAsia" w:ascii="宋体" w:hAnsi="宋体" w:eastAsia="仿宋_GB2312" w:cs="Times New Roman"/>
          <w:color w:val="auto"/>
          <w:kern w:val="2"/>
          <w:sz w:val="32"/>
          <w:szCs w:val="32"/>
          <w:vertAlign w:val="baseline"/>
          <w:lang w:val="en-US" w:eastAsia="zh-CN" w:bidi="ar-SA"/>
        </w:rPr>
        <w:t>4</w:t>
      </w:r>
      <w:r>
        <w:rPr>
          <w:rFonts w:hint="eastAsia" w:ascii="宋体" w:hAnsi="宋体" w:eastAsia="仿宋_GB2312" w:cs="Times New Roman"/>
          <w:color w:val="auto"/>
          <w:kern w:val="2"/>
          <w:sz w:val="32"/>
          <w:szCs w:val="32"/>
          <w:vertAlign w:val="baseline"/>
          <w:lang w:val="zh-CN" w:eastAsia="zh-CN" w:bidi="ar-SA"/>
        </w:rPr>
        <w:t>年度</w:t>
      </w:r>
      <w:r>
        <w:rPr>
          <w:rFonts w:hint="eastAsia" w:ascii="宋体" w:hAnsi="宋体" w:cs="Times New Roman"/>
          <w:color w:val="auto"/>
          <w:kern w:val="2"/>
          <w:sz w:val="32"/>
          <w:szCs w:val="32"/>
          <w:vertAlign w:val="baseline"/>
          <w:lang w:val="zh-CN" w:eastAsia="zh-CN" w:bidi="ar-SA"/>
        </w:rPr>
        <w:t>，</w:t>
      </w:r>
      <w:r>
        <w:rPr>
          <w:rFonts w:hint="eastAsia" w:ascii="宋体" w:hAnsi="宋体" w:eastAsia="仿宋_GB2312" w:cs="Times New Roman"/>
          <w:color w:val="auto"/>
          <w:kern w:val="2"/>
          <w:sz w:val="32"/>
          <w:szCs w:val="32"/>
          <w:vertAlign w:val="baseline"/>
          <w:lang w:val="zh-CN" w:eastAsia="zh-CN" w:bidi="ar-SA"/>
        </w:rPr>
        <w:t>全局</w:t>
      </w:r>
      <w:r>
        <w:rPr>
          <w:rFonts w:hint="eastAsia" w:ascii="宋体" w:hAnsi="宋体" w:eastAsia="仿宋_GB2312" w:cs="Times New Roman"/>
          <w:color w:val="auto"/>
          <w:kern w:val="2"/>
          <w:sz w:val="32"/>
          <w:szCs w:val="32"/>
          <w:vertAlign w:val="baseline"/>
          <w:lang w:val="en-US" w:eastAsia="zh-CN" w:bidi="ar-SA"/>
        </w:rPr>
        <w:t>55人</w:t>
      </w:r>
      <w:r>
        <w:rPr>
          <w:rFonts w:hint="eastAsia" w:ascii="宋体" w:hAnsi="宋体" w:eastAsia="仿宋_GB2312" w:cs="Times New Roman"/>
          <w:color w:val="auto"/>
          <w:kern w:val="2"/>
          <w:sz w:val="32"/>
          <w:szCs w:val="32"/>
          <w:vertAlign w:val="baseline"/>
          <w:lang w:val="zh-CN" w:eastAsia="zh-CN" w:bidi="ar-SA"/>
        </w:rPr>
        <w:t>职工工资及时发放、保险及时缴纳，保障了全局职工基本利益；</w:t>
      </w:r>
      <w:r>
        <w:rPr>
          <w:rFonts w:hint="eastAsia" w:ascii="宋体" w:hAnsi="宋体" w:eastAsia="仿宋_GB2312" w:cs="仿宋_GB2312"/>
          <w:b w:val="0"/>
          <w:bCs w:val="0"/>
          <w:color w:val="auto"/>
          <w:kern w:val="0"/>
          <w:sz w:val="32"/>
          <w:szCs w:val="32"/>
          <w:highlight w:val="none"/>
          <w:shd w:val="clear" w:color="auto" w:fill="FFFFFF"/>
          <w:lang w:val="en-US" w:eastAsia="zh-CN"/>
        </w:rPr>
        <w:t>2024年全年我单位高质量完成了省、市下达目标任务，</w:t>
      </w:r>
      <w:r>
        <w:rPr>
          <w:rFonts w:hint="default" w:ascii="宋体" w:hAnsi="宋体" w:eastAsia="仿宋_GB2312" w:cs="Times New Roman"/>
          <w:color w:val="auto"/>
          <w:sz w:val="32"/>
          <w:szCs w:val="32"/>
          <w:highlight w:val="none"/>
          <w:lang w:val="en-US" w:eastAsia="zh-CN" w:bidi="ar-SA"/>
        </w:rPr>
        <w:t>实现外商直接投资（FDI）到位2113万美元</w:t>
      </w:r>
      <w:r>
        <w:rPr>
          <w:rFonts w:hint="eastAsia" w:ascii="宋体" w:hAnsi="宋体" w:eastAsia="仿宋_GB2312" w:cs="Times New Roman"/>
          <w:color w:val="auto"/>
          <w:sz w:val="32"/>
          <w:szCs w:val="32"/>
          <w:highlight w:val="none"/>
          <w:lang w:val="en-US" w:eastAsia="zh-CN" w:bidi="ar-SA"/>
        </w:rPr>
        <w:t>，完成省下目标105.6%；高质量举办了中国西部（广元）食品饮料产业发展大会、中国（广元）绿色铝产业发展大会、中国（广元）物流产业发展大会等全国性投资促进会议活动8次，集中签约项目378个，签约资金近1700亿元；全年签约招商项目776个，签约资金2123.56亿元。</w:t>
      </w:r>
    </w:p>
    <w:p w14:paraId="1812D73A">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lang w:val="zh-CN" w:eastAsia="zh-CN" w:bidi="ar-SA"/>
        </w:rPr>
      </w:pPr>
      <w:r>
        <w:rPr>
          <w:rFonts w:hint="eastAsia" w:ascii="宋体" w:hAnsi="宋体" w:eastAsia="仿宋_GB2312" w:cs="仿宋_GB2312"/>
          <w:b w:val="0"/>
          <w:bCs w:val="0"/>
          <w:color w:val="auto"/>
          <w:kern w:val="0"/>
          <w:position w:val="0"/>
          <w:sz w:val="32"/>
          <w:szCs w:val="32"/>
          <w:highlight w:val="none"/>
          <w:lang w:val="en-US" w:eastAsia="zh-CN" w:bidi="ar-SA"/>
        </w:rPr>
        <w:t>2.</w:t>
      </w:r>
      <w:r>
        <w:rPr>
          <w:rFonts w:hint="eastAsia" w:ascii="宋体" w:hAnsi="宋体" w:eastAsia="仿宋_GB2312" w:cs="仿宋_GB2312"/>
          <w:b w:val="0"/>
          <w:bCs w:val="0"/>
          <w:color w:val="auto"/>
          <w:kern w:val="0"/>
          <w:position w:val="0"/>
          <w:sz w:val="32"/>
          <w:szCs w:val="32"/>
          <w:highlight w:val="none"/>
          <w:lang w:val="zh-CN" w:eastAsia="zh-CN" w:bidi="ar-SA"/>
        </w:rPr>
        <w:t>预算管理。我局严格按照《中华人民共和国预算法》等财政预算管理办法编制部门预算，各项收入应编尽编，全口径纳入预算管理，编制完整无漏项。基本支出严格按照实际人员编制编报，无虚报、冒领人员经费、公用经费现象；项目支出按照上级和市委、市政府下达的工作目标任务，并结合我单位职能职责进行编制，做到资料完整、依据充分。部门预算编列预算科目合理，但预算支出明细科目编制不够精准，预算实际使用过程中容易产生偏差，无法准确预计全年经济活动。202</w:t>
      </w:r>
      <w:r>
        <w:rPr>
          <w:rFonts w:hint="eastAsia" w:ascii="宋体" w:hAnsi="宋体" w:eastAsia="仿宋_GB2312" w:cs="仿宋_GB2312"/>
          <w:b w:val="0"/>
          <w:bCs w:val="0"/>
          <w:color w:val="auto"/>
          <w:kern w:val="0"/>
          <w:position w:val="0"/>
          <w:sz w:val="32"/>
          <w:szCs w:val="32"/>
          <w:highlight w:val="none"/>
          <w:lang w:val="en-US" w:eastAsia="zh-CN" w:bidi="ar-SA"/>
        </w:rPr>
        <w:t>4</w:t>
      </w:r>
      <w:r>
        <w:rPr>
          <w:rFonts w:hint="eastAsia" w:ascii="宋体" w:hAnsi="宋体" w:eastAsia="仿宋_GB2312" w:cs="仿宋_GB2312"/>
          <w:b w:val="0"/>
          <w:bCs w:val="0"/>
          <w:color w:val="auto"/>
          <w:kern w:val="0"/>
          <w:position w:val="0"/>
          <w:sz w:val="32"/>
          <w:szCs w:val="32"/>
          <w:highlight w:val="none"/>
          <w:lang w:val="zh-CN" w:eastAsia="zh-CN" w:bidi="ar-SA"/>
        </w:rPr>
        <w:t>年年初预算</w:t>
      </w:r>
      <w:r>
        <w:rPr>
          <w:rFonts w:hint="eastAsia" w:ascii="宋体" w:hAnsi="宋体" w:eastAsia="仿宋_GB2312" w:cs="仿宋_GB2312"/>
          <w:b w:val="0"/>
          <w:bCs w:val="0"/>
          <w:color w:val="auto"/>
          <w:kern w:val="0"/>
          <w:sz w:val="32"/>
          <w:szCs w:val="32"/>
          <w:highlight w:val="none"/>
          <w:shd w:val="clear" w:color="auto" w:fill="FFFFFF"/>
          <w:lang w:val="en-US" w:eastAsia="zh-CN"/>
        </w:rPr>
        <w:t>1275.78</w:t>
      </w:r>
      <w:r>
        <w:rPr>
          <w:rFonts w:hint="eastAsia" w:ascii="宋体" w:hAnsi="宋体" w:eastAsia="仿宋_GB2312" w:cs="仿宋_GB2312"/>
          <w:b w:val="0"/>
          <w:bCs w:val="0"/>
          <w:color w:val="auto"/>
          <w:kern w:val="0"/>
          <w:position w:val="0"/>
          <w:sz w:val="32"/>
          <w:szCs w:val="32"/>
          <w:highlight w:val="none"/>
          <w:lang w:val="zh-CN" w:eastAsia="zh-CN" w:bidi="ar-SA"/>
        </w:rPr>
        <w:t>万元，年中追加预算</w:t>
      </w:r>
      <w:r>
        <w:rPr>
          <w:rFonts w:hint="eastAsia" w:ascii="宋体" w:hAnsi="宋体" w:eastAsia="仿宋_GB2312" w:cs="仿宋_GB2312"/>
          <w:b w:val="0"/>
          <w:bCs w:val="0"/>
          <w:color w:val="auto"/>
          <w:kern w:val="0"/>
          <w:position w:val="0"/>
          <w:sz w:val="32"/>
          <w:szCs w:val="32"/>
          <w:highlight w:val="none"/>
          <w:lang w:val="en-US" w:eastAsia="zh-CN" w:bidi="ar-SA"/>
        </w:rPr>
        <w:t>656.06</w:t>
      </w:r>
      <w:r>
        <w:rPr>
          <w:rFonts w:hint="eastAsia" w:ascii="宋体" w:hAnsi="宋体" w:eastAsia="仿宋_GB2312" w:cs="仿宋_GB2312"/>
          <w:b w:val="0"/>
          <w:bCs w:val="0"/>
          <w:color w:val="auto"/>
          <w:kern w:val="0"/>
          <w:position w:val="0"/>
          <w:sz w:val="32"/>
          <w:szCs w:val="32"/>
          <w:highlight w:val="none"/>
          <w:lang w:val="zh-CN" w:eastAsia="zh-CN" w:bidi="ar-SA"/>
        </w:rPr>
        <w:t>万元，全年预算共计</w:t>
      </w:r>
      <w:r>
        <w:rPr>
          <w:rFonts w:hint="eastAsia" w:ascii="宋体" w:hAnsi="宋体" w:eastAsia="仿宋_GB2312" w:cs="仿宋_GB2312"/>
          <w:b w:val="0"/>
          <w:bCs w:val="0"/>
          <w:color w:val="auto"/>
          <w:kern w:val="0"/>
          <w:position w:val="0"/>
          <w:sz w:val="32"/>
          <w:szCs w:val="32"/>
          <w:highlight w:val="none"/>
          <w:lang w:val="en-US" w:eastAsia="zh-CN" w:bidi="ar-SA"/>
        </w:rPr>
        <w:t>1931.84</w:t>
      </w:r>
      <w:r>
        <w:rPr>
          <w:rFonts w:hint="eastAsia" w:ascii="宋体" w:hAnsi="宋体" w:eastAsia="仿宋_GB2312" w:cs="仿宋_GB2312"/>
          <w:b w:val="0"/>
          <w:bCs w:val="0"/>
          <w:color w:val="auto"/>
          <w:kern w:val="0"/>
          <w:position w:val="0"/>
          <w:sz w:val="32"/>
          <w:szCs w:val="32"/>
          <w:highlight w:val="none"/>
          <w:lang w:val="zh-CN" w:eastAsia="zh-CN" w:bidi="ar-SA"/>
        </w:rPr>
        <w:t>万元，全年实际执行金额</w:t>
      </w:r>
      <w:r>
        <w:rPr>
          <w:rFonts w:hint="eastAsia" w:ascii="宋体" w:hAnsi="宋体" w:eastAsia="仿宋_GB2312" w:cs="仿宋_GB2312"/>
          <w:b w:val="0"/>
          <w:bCs w:val="0"/>
          <w:color w:val="auto"/>
          <w:kern w:val="0"/>
          <w:position w:val="0"/>
          <w:sz w:val="32"/>
          <w:szCs w:val="32"/>
          <w:highlight w:val="none"/>
          <w:lang w:val="en-US" w:eastAsia="zh-CN" w:bidi="ar-SA"/>
        </w:rPr>
        <w:t>1704.18</w:t>
      </w:r>
      <w:r>
        <w:rPr>
          <w:rFonts w:hint="eastAsia" w:ascii="宋体" w:hAnsi="宋体" w:eastAsia="仿宋_GB2312" w:cs="仿宋_GB2312"/>
          <w:b w:val="0"/>
          <w:bCs w:val="0"/>
          <w:color w:val="auto"/>
          <w:kern w:val="0"/>
          <w:position w:val="0"/>
          <w:sz w:val="32"/>
          <w:szCs w:val="32"/>
          <w:highlight w:val="none"/>
          <w:lang w:val="zh-CN" w:eastAsia="zh-CN" w:bidi="ar-SA"/>
        </w:rPr>
        <w:t>万元，全年预算执行率</w:t>
      </w:r>
      <w:r>
        <w:rPr>
          <w:rFonts w:hint="eastAsia" w:ascii="宋体" w:hAnsi="宋体" w:eastAsia="仿宋_GB2312" w:cs="仿宋_GB2312"/>
          <w:b w:val="0"/>
          <w:bCs w:val="0"/>
          <w:color w:val="auto"/>
          <w:kern w:val="0"/>
          <w:position w:val="0"/>
          <w:sz w:val="32"/>
          <w:szCs w:val="32"/>
          <w:highlight w:val="none"/>
          <w:lang w:val="en-US" w:eastAsia="zh-CN" w:bidi="ar-SA"/>
        </w:rPr>
        <w:t>88.22</w:t>
      </w:r>
      <w:r>
        <w:rPr>
          <w:rFonts w:hint="eastAsia" w:ascii="宋体" w:hAnsi="宋体" w:eastAsia="仿宋_GB2312" w:cs="仿宋_GB2312"/>
          <w:b w:val="0"/>
          <w:bCs w:val="0"/>
          <w:color w:val="auto"/>
          <w:kern w:val="0"/>
          <w:position w:val="0"/>
          <w:sz w:val="32"/>
          <w:szCs w:val="32"/>
          <w:highlight w:val="none"/>
          <w:lang w:val="zh-CN" w:eastAsia="zh-CN" w:bidi="ar-SA"/>
        </w:rPr>
        <w:t>%。</w:t>
      </w:r>
    </w:p>
    <w:p w14:paraId="4DD539D1">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lang w:val="zh-CN" w:eastAsia="zh-CN" w:bidi="ar-SA"/>
        </w:rPr>
      </w:pPr>
      <w:r>
        <w:rPr>
          <w:rFonts w:hint="eastAsia" w:ascii="宋体" w:hAnsi="宋体" w:eastAsia="仿宋_GB2312" w:cs="仿宋_GB2312"/>
          <w:b w:val="0"/>
          <w:bCs w:val="0"/>
          <w:color w:val="auto"/>
          <w:kern w:val="0"/>
          <w:position w:val="0"/>
          <w:sz w:val="32"/>
          <w:szCs w:val="32"/>
          <w:highlight w:val="none"/>
          <w:lang w:val="en-US" w:eastAsia="zh-CN" w:bidi="ar-SA"/>
        </w:rPr>
        <w:t>3.</w:t>
      </w:r>
      <w:r>
        <w:rPr>
          <w:rFonts w:hint="eastAsia" w:ascii="宋体" w:hAnsi="宋体" w:eastAsia="仿宋_GB2312" w:cs="仿宋_GB2312"/>
          <w:b w:val="0"/>
          <w:bCs w:val="0"/>
          <w:color w:val="auto"/>
          <w:kern w:val="0"/>
          <w:position w:val="0"/>
          <w:sz w:val="32"/>
          <w:szCs w:val="32"/>
          <w:highlight w:val="none"/>
          <w:lang w:val="zh-CN" w:eastAsia="zh-CN" w:bidi="ar-SA"/>
        </w:rPr>
        <w:t>财务管理。围绕财务管理制度、财务岗位设置、资金使用规范进行绩效分析。我局202</w:t>
      </w:r>
      <w:r>
        <w:rPr>
          <w:rFonts w:hint="eastAsia" w:ascii="宋体" w:hAnsi="宋体" w:eastAsia="仿宋_GB2312" w:cs="仿宋_GB2312"/>
          <w:b w:val="0"/>
          <w:bCs w:val="0"/>
          <w:color w:val="auto"/>
          <w:kern w:val="0"/>
          <w:position w:val="0"/>
          <w:sz w:val="32"/>
          <w:szCs w:val="32"/>
          <w:highlight w:val="none"/>
          <w:lang w:val="en-US" w:eastAsia="zh-CN" w:bidi="ar-SA"/>
        </w:rPr>
        <w:t>4</w:t>
      </w:r>
      <w:r>
        <w:rPr>
          <w:rFonts w:hint="eastAsia" w:ascii="宋体" w:hAnsi="宋体" w:eastAsia="仿宋_GB2312" w:cs="仿宋_GB2312"/>
          <w:b w:val="0"/>
          <w:bCs w:val="0"/>
          <w:color w:val="auto"/>
          <w:kern w:val="0"/>
          <w:position w:val="0"/>
          <w:sz w:val="32"/>
          <w:szCs w:val="32"/>
          <w:highlight w:val="none"/>
          <w:lang w:val="zh-CN" w:eastAsia="zh-CN" w:bidi="ar-SA"/>
        </w:rPr>
        <w:t>年末实有在职人员</w:t>
      </w:r>
      <w:r>
        <w:rPr>
          <w:rFonts w:hint="eastAsia" w:ascii="宋体" w:hAnsi="宋体" w:eastAsia="仿宋_GB2312" w:cs="仿宋_GB2312"/>
          <w:b w:val="0"/>
          <w:bCs w:val="0"/>
          <w:color w:val="auto"/>
          <w:kern w:val="0"/>
          <w:position w:val="0"/>
          <w:sz w:val="32"/>
          <w:szCs w:val="32"/>
          <w:highlight w:val="none"/>
          <w:lang w:val="en-US" w:eastAsia="zh-CN" w:bidi="ar-SA"/>
        </w:rPr>
        <w:t>55</w:t>
      </w:r>
      <w:r>
        <w:rPr>
          <w:rFonts w:hint="eastAsia" w:ascii="宋体" w:hAnsi="宋体" w:eastAsia="仿宋_GB2312" w:cs="仿宋_GB2312"/>
          <w:b w:val="0"/>
          <w:bCs w:val="0"/>
          <w:color w:val="auto"/>
          <w:kern w:val="0"/>
          <w:position w:val="0"/>
          <w:sz w:val="32"/>
          <w:szCs w:val="32"/>
          <w:highlight w:val="none"/>
          <w:lang w:val="zh-CN" w:eastAsia="zh-CN" w:bidi="ar-SA"/>
        </w:rPr>
        <w:t>人，退休人员28人，单位编制人数70人，在职人员控制率</w:t>
      </w:r>
      <w:r>
        <w:rPr>
          <w:rFonts w:hint="eastAsia" w:ascii="宋体" w:hAnsi="宋体" w:eastAsia="仿宋_GB2312" w:cs="仿宋_GB2312"/>
          <w:b w:val="0"/>
          <w:bCs w:val="0"/>
          <w:color w:val="auto"/>
          <w:kern w:val="0"/>
          <w:position w:val="0"/>
          <w:sz w:val="32"/>
          <w:szCs w:val="32"/>
          <w:highlight w:val="none"/>
          <w:lang w:val="en-US" w:eastAsia="zh-CN" w:bidi="ar-SA"/>
        </w:rPr>
        <w:t>79</w:t>
      </w:r>
      <w:r>
        <w:rPr>
          <w:rFonts w:hint="eastAsia" w:ascii="宋体" w:hAnsi="宋体" w:eastAsia="仿宋_GB2312" w:cs="仿宋_GB2312"/>
          <w:b w:val="0"/>
          <w:bCs w:val="0"/>
          <w:color w:val="auto"/>
          <w:kern w:val="0"/>
          <w:position w:val="0"/>
          <w:sz w:val="32"/>
          <w:szCs w:val="32"/>
          <w:highlight w:val="none"/>
          <w:lang w:val="zh-CN" w:eastAsia="zh-CN" w:bidi="ar-SA"/>
        </w:rPr>
        <w:t>%，未超编制。我局严格执行预算资金管理办法、内部财务管理、会计核算等管理制度。资金使用符合国家财经法规和财务管理制度规定以及有关专项资金管理办法的规定，拨付有完整的审批程序和手续。</w:t>
      </w:r>
    </w:p>
    <w:p w14:paraId="56528C07">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仿宋_GB2312" w:cs="仿宋_GB2312"/>
          <w:b w:val="0"/>
          <w:bCs w:val="0"/>
          <w:color w:val="auto"/>
          <w:kern w:val="0"/>
          <w:position w:val="0"/>
          <w:sz w:val="32"/>
          <w:szCs w:val="32"/>
          <w:highlight w:val="none"/>
          <w:lang w:val="en-US" w:eastAsia="zh-CN" w:bidi="ar-SA"/>
        </w:rPr>
      </w:pPr>
      <w:r>
        <w:rPr>
          <w:rFonts w:hint="eastAsia" w:ascii="宋体" w:hAnsi="宋体" w:eastAsia="仿宋_GB2312" w:cs="仿宋_GB2312"/>
          <w:b w:val="0"/>
          <w:bCs w:val="0"/>
          <w:color w:val="auto"/>
          <w:kern w:val="0"/>
          <w:position w:val="0"/>
          <w:sz w:val="32"/>
          <w:szCs w:val="32"/>
          <w:highlight w:val="none"/>
          <w:lang w:val="en-US" w:eastAsia="zh-CN" w:bidi="ar-SA"/>
        </w:rPr>
        <w:t>5.</w:t>
      </w:r>
      <w:r>
        <w:rPr>
          <w:rFonts w:hint="eastAsia" w:ascii="宋体" w:hAnsi="宋体" w:eastAsia="仿宋_GB2312" w:cs="仿宋_GB2312"/>
          <w:b w:val="0"/>
          <w:bCs w:val="0"/>
          <w:color w:val="auto"/>
          <w:kern w:val="0"/>
          <w:position w:val="0"/>
          <w:sz w:val="32"/>
          <w:szCs w:val="32"/>
          <w:highlight w:val="none"/>
          <w:lang w:val="zh-CN" w:eastAsia="zh-CN" w:bidi="ar-SA"/>
        </w:rPr>
        <w:t>采购管理。我单位年初共编制采购预算</w:t>
      </w:r>
      <w:r>
        <w:rPr>
          <w:rFonts w:hint="eastAsia" w:ascii="宋体" w:hAnsi="宋体" w:eastAsia="仿宋_GB2312" w:cs="仿宋_GB2312"/>
          <w:b w:val="0"/>
          <w:bCs w:val="0"/>
          <w:color w:val="auto"/>
          <w:kern w:val="0"/>
          <w:position w:val="0"/>
          <w:sz w:val="32"/>
          <w:szCs w:val="32"/>
          <w:highlight w:val="none"/>
          <w:lang w:val="en-US" w:eastAsia="zh-CN" w:bidi="ar-SA"/>
        </w:rPr>
        <w:t>3.34万元，实际执行3.13万元，采购预算执行率93.71%。</w:t>
      </w:r>
      <w:r>
        <w:rPr>
          <w:rFonts w:hint="eastAsia" w:ascii="宋体" w:hAnsi="宋体" w:eastAsia="仿宋_GB2312" w:cs="仿宋_GB2312"/>
          <w:b w:val="0"/>
          <w:bCs w:val="0"/>
          <w:color w:val="auto"/>
          <w:kern w:val="0"/>
          <w:position w:val="0"/>
          <w:sz w:val="32"/>
          <w:szCs w:val="32"/>
          <w:highlight w:val="none"/>
          <w:lang w:val="zh-CN" w:eastAsia="zh-CN" w:bidi="ar-SA"/>
        </w:rPr>
        <w:t>在采购过程中严格按照四川省财政厅关于印发《四川省政府集中采购目录及标准（202</w:t>
      </w:r>
      <w:r>
        <w:rPr>
          <w:rFonts w:hint="eastAsia" w:ascii="宋体" w:hAnsi="宋体" w:eastAsia="仿宋_GB2312" w:cs="仿宋_GB2312"/>
          <w:b w:val="0"/>
          <w:bCs w:val="0"/>
          <w:color w:val="auto"/>
          <w:kern w:val="0"/>
          <w:position w:val="0"/>
          <w:sz w:val="32"/>
          <w:szCs w:val="32"/>
          <w:highlight w:val="none"/>
          <w:lang w:val="en-US" w:eastAsia="zh-CN" w:bidi="ar-SA"/>
        </w:rPr>
        <w:t>4</w:t>
      </w:r>
      <w:r>
        <w:rPr>
          <w:rFonts w:hint="eastAsia" w:ascii="宋体" w:hAnsi="宋体" w:eastAsia="仿宋_GB2312" w:cs="仿宋_GB2312"/>
          <w:b w:val="0"/>
          <w:bCs w:val="0"/>
          <w:color w:val="auto"/>
          <w:kern w:val="0"/>
          <w:position w:val="0"/>
          <w:sz w:val="32"/>
          <w:szCs w:val="32"/>
          <w:highlight w:val="none"/>
          <w:lang w:val="zh-CN" w:eastAsia="zh-CN" w:bidi="ar-SA"/>
        </w:rPr>
        <w:t>年版）的通知》（川财规〔202</w:t>
      </w:r>
      <w:r>
        <w:rPr>
          <w:rFonts w:hint="eastAsia" w:ascii="宋体" w:hAnsi="宋体" w:eastAsia="仿宋_GB2312" w:cs="仿宋_GB2312"/>
          <w:b w:val="0"/>
          <w:bCs w:val="0"/>
          <w:color w:val="auto"/>
          <w:kern w:val="0"/>
          <w:position w:val="0"/>
          <w:sz w:val="32"/>
          <w:szCs w:val="32"/>
          <w:highlight w:val="none"/>
          <w:lang w:val="en-US" w:eastAsia="zh-CN" w:bidi="ar-SA"/>
        </w:rPr>
        <w:t>3</w:t>
      </w:r>
      <w:r>
        <w:rPr>
          <w:rFonts w:hint="eastAsia" w:ascii="宋体" w:hAnsi="宋体" w:eastAsia="仿宋_GB2312" w:cs="仿宋_GB2312"/>
          <w:b w:val="0"/>
          <w:bCs w:val="0"/>
          <w:color w:val="auto"/>
          <w:kern w:val="0"/>
          <w:position w:val="0"/>
          <w:sz w:val="32"/>
          <w:szCs w:val="32"/>
          <w:highlight w:val="none"/>
          <w:lang w:val="zh-CN" w:eastAsia="zh-CN" w:bidi="ar-SA"/>
        </w:rPr>
        <w:t>〕</w:t>
      </w:r>
      <w:r>
        <w:rPr>
          <w:rFonts w:hint="eastAsia" w:ascii="宋体" w:hAnsi="宋体" w:eastAsia="仿宋_GB2312" w:cs="仿宋_GB2312"/>
          <w:b w:val="0"/>
          <w:bCs w:val="0"/>
          <w:color w:val="auto"/>
          <w:kern w:val="0"/>
          <w:position w:val="0"/>
          <w:sz w:val="32"/>
          <w:szCs w:val="32"/>
          <w:highlight w:val="none"/>
          <w:lang w:val="en-US" w:eastAsia="zh-CN" w:bidi="ar-SA"/>
        </w:rPr>
        <w:t>9</w:t>
      </w:r>
      <w:r>
        <w:rPr>
          <w:rFonts w:hint="eastAsia" w:ascii="宋体" w:hAnsi="宋体" w:eastAsia="仿宋_GB2312" w:cs="仿宋_GB2312"/>
          <w:b w:val="0"/>
          <w:bCs w:val="0"/>
          <w:color w:val="auto"/>
          <w:kern w:val="0"/>
          <w:position w:val="0"/>
          <w:sz w:val="32"/>
          <w:szCs w:val="32"/>
          <w:highlight w:val="none"/>
          <w:lang w:val="zh-CN" w:eastAsia="zh-CN" w:bidi="ar-SA"/>
        </w:rPr>
        <w:t>号）要求，全年发生</w:t>
      </w:r>
      <w:r>
        <w:rPr>
          <w:rFonts w:hint="eastAsia" w:ascii="宋体" w:hAnsi="宋体" w:eastAsia="仿宋_GB2312" w:cs="仿宋_GB2312"/>
          <w:b w:val="0"/>
          <w:bCs w:val="0"/>
          <w:color w:val="auto"/>
          <w:kern w:val="0"/>
          <w:position w:val="0"/>
          <w:sz w:val="32"/>
          <w:szCs w:val="32"/>
          <w:highlight w:val="none"/>
          <w:lang w:val="en-US" w:eastAsia="zh-CN" w:bidi="ar-SA"/>
        </w:rPr>
        <w:t>6次采购业务均纳入政府集中采购范畴</w:t>
      </w:r>
      <w:r>
        <w:rPr>
          <w:rFonts w:hint="eastAsia" w:ascii="宋体" w:hAnsi="宋体" w:eastAsia="仿宋_GB2312" w:cs="仿宋_GB2312"/>
          <w:b w:val="0"/>
          <w:bCs w:val="0"/>
          <w:color w:val="auto"/>
          <w:kern w:val="0"/>
          <w:position w:val="0"/>
          <w:sz w:val="32"/>
          <w:szCs w:val="32"/>
          <w:highlight w:val="none"/>
          <w:lang w:val="zh-CN" w:eastAsia="zh-CN" w:bidi="ar-SA"/>
        </w:rPr>
        <w:t>，涉及金额</w:t>
      </w:r>
      <w:r>
        <w:rPr>
          <w:rFonts w:hint="eastAsia" w:ascii="宋体" w:hAnsi="宋体" w:eastAsia="仿宋_GB2312" w:cs="仿宋_GB2312"/>
          <w:b w:val="0"/>
          <w:bCs w:val="0"/>
          <w:color w:val="auto"/>
          <w:kern w:val="0"/>
          <w:position w:val="0"/>
          <w:sz w:val="32"/>
          <w:szCs w:val="32"/>
          <w:highlight w:val="none"/>
          <w:lang w:val="en-US" w:eastAsia="zh-CN" w:bidi="ar-SA"/>
        </w:rPr>
        <w:t>3.13</w:t>
      </w:r>
      <w:r>
        <w:rPr>
          <w:rFonts w:hint="eastAsia" w:ascii="宋体" w:hAnsi="宋体" w:eastAsia="仿宋_GB2312" w:cs="仿宋_GB2312"/>
          <w:b w:val="0"/>
          <w:bCs w:val="0"/>
          <w:color w:val="auto"/>
          <w:kern w:val="0"/>
          <w:position w:val="0"/>
          <w:sz w:val="32"/>
          <w:szCs w:val="32"/>
          <w:highlight w:val="none"/>
          <w:lang w:val="zh-CN" w:eastAsia="zh-CN" w:bidi="ar-SA"/>
        </w:rPr>
        <w:t>万元，我单位严格按照相关制度和要求进行审批及采购实施，并在采购过程中围绕支持中小企业发展的原则，向中小型企业倾斜采购计划，我单位202</w:t>
      </w:r>
      <w:r>
        <w:rPr>
          <w:rFonts w:hint="eastAsia" w:ascii="宋体" w:hAnsi="宋体" w:eastAsia="仿宋_GB2312" w:cs="仿宋_GB2312"/>
          <w:b w:val="0"/>
          <w:bCs w:val="0"/>
          <w:color w:val="auto"/>
          <w:kern w:val="0"/>
          <w:position w:val="0"/>
          <w:sz w:val="32"/>
          <w:szCs w:val="32"/>
          <w:highlight w:val="none"/>
          <w:lang w:val="en-US" w:eastAsia="zh-CN" w:bidi="ar-SA"/>
        </w:rPr>
        <w:t>4</w:t>
      </w:r>
      <w:r>
        <w:rPr>
          <w:rFonts w:hint="eastAsia" w:ascii="宋体" w:hAnsi="宋体" w:eastAsia="仿宋_GB2312" w:cs="仿宋_GB2312"/>
          <w:b w:val="0"/>
          <w:bCs w:val="0"/>
          <w:color w:val="auto"/>
          <w:kern w:val="0"/>
          <w:position w:val="0"/>
          <w:sz w:val="32"/>
          <w:szCs w:val="32"/>
          <w:highlight w:val="none"/>
          <w:lang w:val="zh-CN" w:eastAsia="zh-CN" w:bidi="ar-SA"/>
        </w:rPr>
        <w:t>年全年发生采购业务供应商除公务用车加油业务以外其余均为中小型企业。</w:t>
      </w:r>
    </w:p>
    <w:p w14:paraId="74550F4D">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lang w:val="en-US" w:eastAsia="zh-CN" w:bidi="ar-SA"/>
        </w:rPr>
      </w:pPr>
      <w:r>
        <w:rPr>
          <w:rFonts w:hint="default" w:ascii="宋体" w:hAnsi="宋体" w:eastAsia="楷体_GB2312" w:cs="Times New Roman"/>
          <w:b w:val="0"/>
          <w:bCs w:val="0"/>
          <w:color w:val="auto"/>
          <w:kern w:val="0"/>
          <w:sz w:val="32"/>
          <w:szCs w:val="32"/>
          <w:highlight w:val="none"/>
          <w:shd w:val="clear" w:color="auto" w:fill="FFFFFF"/>
          <w:lang w:val="zh-CN"/>
        </w:rPr>
        <w:t>（二）部门预算项目绩效分析</w:t>
      </w:r>
    </w:p>
    <w:p w14:paraId="5088C934">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lang w:val="zh-CN" w:eastAsia="zh-CN" w:bidi="ar-SA"/>
        </w:rPr>
      </w:pPr>
      <w:r>
        <w:rPr>
          <w:rFonts w:hint="eastAsia" w:ascii="宋体" w:hAnsi="宋体" w:eastAsia="仿宋_GB2312" w:cs="仿宋_GB2312"/>
          <w:b w:val="0"/>
          <w:bCs w:val="0"/>
          <w:color w:val="auto"/>
          <w:kern w:val="0"/>
          <w:position w:val="0"/>
          <w:sz w:val="32"/>
          <w:szCs w:val="32"/>
          <w:highlight w:val="none"/>
          <w:lang w:val="en-US" w:eastAsia="zh-CN" w:bidi="ar-SA"/>
        </w:rPr>
        <w:t>常年项目绩效分析。</w:t>
      </w:r>
      <w:r>
        <w:rPr>
          <w:rFonts w:hint="eastAsia" w:ascii="宋体" w:hAnsi="宋体" w:eastAsia="仿宋_GB2312" w:cs="仿宋_GB2312"/>
          <w:b w:val="0"/>
          <w:bCs w:val="0"/>
          <w:color w:val="auto"/>
          <w:kern w:val="0"/>
          <w:position w:val="0"/>
          <w:sz w:val="32"/>
          <w:szCs w:val="32"/>
          <w:highlight w:val="none"/>
          <w:lang w:val="zh-CN" w:eastAsia="zh-CN" w:bidi="ar-SA"/>
        </w:rPr>
        <w:t>该类项目总数</w:t>
      </w:r>
      <w:r>
        <w:rPr>
          <w:rFonts w:hint="eastAsia" w:ascii="宋体" w:hAnsi="宋体" w:eastAsia="仿宋_GB2312" w:cs="仿宋_GB2312"/>
          <w:b w:val="0"/>
          <w:bCs w:val="0"/>
          <w:color w:val="auto"/>
          <w:kern w:val="0"/>
          <w:position w:val="0"/>
          <w:sz w:val="32"/>
          <w:szCs w:val="32"/>
          <w:highlight w:val="none"/>
          <w:lang w:val="en-US" w:eastAsia="zh-CN" w:bidi="ar-SA"/>
        </w:rPr>
        <w:t>2</w:t>
      </w:r>
      <w:r>
        <w:rPr>
          <w:rFonts w:hint="eastAsia" w:ascii="宋体" w:hAnsi="宋体" w:eastAsia="仿宋_GB2312" w:cs="仿宋_GB2312"/>
          <w:b w:val="0"/>
          <w:bCs w:val="0"/>
          <w:color w:val="auto"/>
          <w:kern w:val="0"/>
          <w:position w:val="0"/>
          <w:sz w:val="32"/>
          <w:szCs w:val="32"/>
          <w:highlight w:val="none"/>
          <w:lang w:val="zh-CN" w:eastAsia="zh-CN" w:bidi="ar-SA"/>
        </w:rPr>
        <w:t>个，涉及预算总金额</w:t>
      </w:r>
      <w:r>
        <w:rPr>
          <w:rFonts w:hint="eastAsia" w:ascii="宋体" w:hAnsi="宋体" w:eastAsia="仿宋_GB2312" w:cs="仿宋_GB2312"/>
          <w:b w:val="0"/>
          <w:bCs w:val="0"/>
          <w:color w:val="auto"/>
          <w:kern w:val="0"/>
          <w:position w:val="0"/>
          <w:sz w:val="32"/>
          <w:szCs w:val="32"/>
          <w:highlight w:val="none"/>
          <w:lang w:val="en-US" w:eastAsia="zh-CN" w:bidi="ar-SA"/>
        </w:rPr>
        <w:t>353.64</w:t>
      </w:r>
      <w:r>
        <w:rPr>
          <w:rFonts w:hint="eastAsia" w:ascii="宋体" w:hAnsi="宋体" w:eastAsia="仿宋_GB2312" w:cs="仿宋_GB2312"/>
          <w:b w:val="0"/>
          <w:bCs w:val="0"/>
          <w:color w:val="auto"/>
          <w:kern w:val="0"/>
          <w:position w:val="0"/>
          <w:sz w:val="32"/>
          <w:szCs w:val="32"/>
          <w:highlight w:val="none"/>
          <w:lang w:val="zh-CN" w:eastAsia="zh-CN" w:bidi="ar-SA"/>
        </w:rPr>
        <w:t>万元，1—1</w:t>
      </w:r>
      <w:r>
        <w:rPr>
          <w:rFonts w:hint="eastAsia" w:ascii="宋体" w:hAnsi="宋体" w:eastAsia="仿宋_GB2312" w:cs="仿宋_GB2312"/>
          <w:b w:val="0"/>
          <w:bCs w:val="0"/>
          <w:color w:val="auto"/>
          <w:kern w:val="0"/>
          <w:position w:val="0"/>
          <w:sz w:val="32"/>
          <w:szCs w:val="32"/>
          <w:highlight w:val="none"/>
          <w:lang w:val="en-US" w:eastAsia="zh-CN" w:bidi="ar-SA"/>
        </w:rPr>
        <w:t>2</w:t>
      </w:r>
      <w:r>
        <w:rPr>
          <w:rFonts w:hint="eastAsia" w:ascii="宋体" w:hAnsi="宋体" w:eastAsia="仿宋_GB2312" w:cs="仿宋_GB2312"/>
          <w:b w:val="0"/>
          <w:bCs w:val="0"/>
          <w:color w:val="auto"/>
          <w:kern w:val="0"/>
          <w:position w:val="0"/>
          <w:sz w:val="32"/>
          <w:szCs w:val="32"/>
          <w:highlight w:val="none"/>
          <w:lang w:val="zh-CN" w:eastAsia="zh-CN" w:bidi="ar-SA"/>
        </w:rPr>
        <w:t>月预算执行总体进度为</w:t>
      </w:r>
      <w:r>
        <w:rPr>
          <w:rFonts w:hint="eastAsia" w:ascii="宋体" w:hAnsi="宋体" w:eastAsia="仿宋_GB2312" w:cs="仿宋_GB2312"/>
          <w:b w:val="0"/>
          <w:bCs w:val="0"/>
          <w:color w:val="auto"/>
          <w:kern w:val="0"/>
          <w:position w:val="0"/>
          <w:sz w:val="32"/>
          <w:szCs w:val="32"/>
          <w:highlight w:val="none"/>
          <w:lang w:val="en-US" w:eastAsia="zh-CN" w:bidi="ar-SA"/>
        </w:rPr>
        <w:t>59.55</w:t>
      </w:r>
      <w:r>
        <w:rPr>
          <w:rFonts w:hint="eastAsia" w:ascii="宋体" w:hAnsi="宋体" w:eastAsia="仿宋_GB2312" w:cs="仿宋_GB2312"/>
          <w:b w:val="0"/>
          <w:bCs w:val="0"/>
          <w:color w:val="auto"/>
          <w:kern w:val="0"/>
          <w:position w:val="0"/>
          <w:sz w:val="32"/>
          <w:szCs w:val="32"/>
          <w:highlight w:val="none"/>
          <w:lang w:val="zh-CN" w:eastAsia="zh-CN" w:bidi="ar-SA"/>
        </w:rPr>
        <w:t>%，其中：预算结余率大于</w:t>
      </w:r>
      <w:r>
        <w:rPr>
          <w:rFonts w:hint="eastAsia" w:ascii="宋体" w:hAnsi="宋体" w:eastAsia="仿宋_GB2312" w:cs="仿宋_GB2312"/>
          <w:b w:val="0"/>
          <w:bCs w:val="0"/>
          <w:color w:val="auto"/>
          <w:kern w:val="0"/>
          <w:position w:val="0"/>
          <w:sz w:val="32"/>
          <w:szCs w:val="32"/>
          <w:highlight w:val="none"/>
          <w:lang w:val="en-US" w:eastAsia="zh-CN" w:bidi="ar-SA"/>
        </w:rPr>
        <w:t>10%</w:t>
      </w:r>
      <w:r>
        <w:rPr>
          <w:rFonts w:hint="eastAsia" w:ascii="宋体" w:hAnsi="宋体" w:eastAsia="仿宋_GB2312" w:cs="仿宋_GB2312"/>
          <w:b w:val="0"/>
          <w:bCs w:val="0"/>
          <w:color w:val="auto"/>
          <w:kern w:val="0"/>
          <w:position w:val="0"/>
          <w:sz w:val="32"/>
          <w:szCs w:val="32"/>
          <w:highlight w:val="none"/>
          <w:lang w:val="zh-CN" w:eastAsia="zh-CN" w:bidi="ar-SA"/>
        </w:rPr>
        <w:t>的项目共计</w:t>
      </w:r>
      <w:r>
        <w:rPr>
          <w:rFonts w:hint="eastAsia" w:ascii="宋体" w:hAnsi="宋体" w:eastAsia="仿宋_GB2312" w:cs="仿宋_GB2312"/>
          <w:b w:val="0"/>
          <w:bCs w:val="0"/>
          <w:color w:val="auto"/>
          <w:kern w:val="0"/>
          <w:position w:val="0"/>
          <w:sz w:val="32"/>
          <w:szCs w:val="32"/>
          <w:highlight w:val="none"/>
          <w:lang w:val="en-US" w:eastAsia="zh-CN" w:bidi="ar-SA"/>
        </w:rPr>
        <w:t>1</w:t>
      </w:r>
      <w:r>
        <w:rPr>
          <w:rFonts w:hint="eastAsia" w:ascii="宋体" w:hAnsi="宋体" w:eastAsia="仿宋_GB2312" w:cs="仿宋_GB2312"/>
          <w:b w:val="0"/>
          <w:bCs w:val="0"/>
          <w:color w:val="auto"/>
          <w:kern w:val="0"/>
          <w:position w:val="0"/>
          <w:sz w:val="32"/>
          <w:szCs w:val="32"/>
          <w:highlight w:val="none"/>
          <w:lang w:val="zh-CN" w:eastAsia="zh-CN" w:bidi="ar-SA"/>
        </w:rPr>
        <w:t>个。</w:t>
      </w:r>
    </w:p>
    <w:p w14:paraId="1B34F02D">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lang w:val="zh-CN" w:eastAsia="zh-CN" w:bidi="ar-SA"/>
        </w:rPr>
      </w:pPr>
      <w:r>
        <w:rPr>
          <w:rFonts w:hint="eastAsia" w:ascii="宋体" w:hAnsi="宋体" w:eastAsia="仿宋_GB2312" w:cs="仿宋_GB2312"/>
          <w:b w:val="0"/>
          <w:bCs w:val="0"/>
          <w:color w:val="auto"/>
          <w:kern w:val="0"/>
          <w:position w:val="0"/>
          <w:sz w:val="32"/>
          <w:szCs w:val="32"/>
          <w:highlight w:val="none"/>
          <w:lang w:val="en-US" w:eastAsia="zh-CN" w:bidi="ar-SA"/>
        </w:rPr>
        <w:t>阶段（含一次性）项目绩效分析。</w:t>
      </w:r>
      <w:r>
        <w:rPr>
          <w:rFonts w:hint="eastAsia" w:ascii="宋体" w:hAnsi="宋体" w:eastAsia="仿宋_GB2312" w:cs="仿宋_GB2312"/>
          <w:b w:val="0"/>
          <w:bCs w:val="0"/>
          <w:color w:val="auto"/>
          <w:kern w:val="0"/>
          <w:position w:val="0"/>
          <w:sz w:val="32"/>
          <w:szCs w:val="32"/>
          <w:highlight w:val="none"/>
          <w:lang w:val="zh-CN" w:eastAsia="zh-CN" w:bidi="ar-SA"/>
        </w:rPr>
        <w:t>该类项目总数</w:t>
      </w:r>
      <w:r>
        <w:rPr>
          <w:rFonts w:hint="eastAsia" w:ascii="宋体" w:hAnsi="宋体" w:eastAsia="仿宋_GB2312" w:cs="仿宋_GB2312"/>
          <w:b w:val="0"/>
          <w:bCs w:val="0"/>
          <w:color w:val="auto"/>
          <w:kern w:val="0"/>
          <w:position w:val="0"/>
          <w:sz w:val="32"/>
          <w:szCs w:val="32"/>
          <w:highlight w:val="none"/>
          <w:lang w:val="en-US" w:eastAsia="zh-CN" w:bidi="ar-SA"/>
        </w:rPr>
        <w:t>4</w:t>
      </w:r>
      <w:r>
        <w:rPr>
          <w:rFonts w:hint="eastAsia" w:ascii="宋体" w:hAnsi="宋体" w:eastAsia="仿宋_GB2312" w:cs="仿宋_GB2312"/>
          <w:b w:val="0"/>
          <w:bCs w:val="0"/>
          <w:color w:val="auto"/>
          <w:kern w:val="0"/>
          <w:position w:val="0"/>
          <w:sz w:val="32"/>
          <w:szCs w:val="32"/>
          <w:highlight w:val="none"/>
          <w:lang w:val="zh-CN" w:eastAsia="zh-CN" w:bidi="ar-SA"/>
        </w:rPr>
        <w:t>个，涉及预算总金额</w:t>
      </w:r>
      <w:r>
        <w:rPr>
          <w:rFonts w:hint="eastAsia" w:ascii="宋体" w:hAnsi="宋体" w:eastAsia="仿宋_GB2312" w:cs="仿宋_GB2312"/>
          <w:b w:val="0"/>
          <w:bCs w:val="0"/>
          <w:color w:val="auto"/>
          <w:kern w:val="0"/>
          <w:position w:val="0"/>
          <w:sz w:val="32"/>
          <w:szCs w:val="32"/>
          <w:highlight w:val="none"/>
          <w:lang w:val="en-US" w:eastAsia="zh-CN" w:bidi="ar-SA"/>
        </w:rPr>
        <w:t>535.22</w:t>
      </w:r>
      <w:r>
        <w:rPr>
          <w:rFonts w:hint="eastAsia" w:ascii="宋体" w:hAnsi="宋体" w:eastAsia="仿宋_GB2312" w:cs="仿宋_GB2312"/>
          <w:b w:val="0"/>
          <w:bCs w:val="0"/>
          <w:color w:val="auto"/>
          <w:kern w:val="0"/>
          <w:position w:val="0"/>
          <w:sz w:val="32"/>
          <w:szCs w:val="32"/>
          <w:highlight w:val="none"/>
          <w:lang w:val="zh-CN" w:eastAsia="zh-CN" w:bidi="ar-SA"/>
        </w:rPr>
        <w:t>万元，1—1</w:t>
      </w:r>
      <w:r>
        <w:rPr>
          <w:rFonts w:hint="eastAsia" w:ascii="宋体" w:hAnsi="宋体" w:eastAsia="仿宋_GB2312" w:cs="仿宋_GB2312"/>
          <w:b w:val="0"/>
          <w:bCs w:val="0"/>
          <w:color w:val="auto"/>
          <w:kern w:val="0"/>
          <w:position w:val="0"/>
          <w:sz w:val="32"/>
          <w:szCs w:val="32"/>
          <w:highlight w:val="none"/>
          <w:lang w:val="en-US" w:eastAsia="zh-CN" w:bidi="ar-SA"/>
        </w:rPr>
        <w:t>2</w:t>
      </w:r>
      <w:r>
        <w:rPr>
          <w:rFonts w:hint="eastAsia" w:ascii="宋体" w:hAnsi="宋体" w:eastAsia="仿宋_GB2312" w:cs="仿宋_GB2312"/>
          <w:b w:val="0"/>
          <w:bCs w:val="0"/>
          <w:color w:val="auto"/>
          <w:kern w:val="0"/>
          <w:position w:val="0"/>
          <w:sz w:val="32"/>
          <w:szCs w:val="32"/>
          <w:highlight w:val="none"/>
          <w:lang w:val="zh-CN" w:eastAsia="zh-CN" w:bidi="ar-SA"/>
        </w:rPr>
        <w:t>月预算执行总体进度为</w:t>
      </w:r>
      <w:r>
        <w:rPr>
          <w:rFonts w:hint="eastAsia" w:ascii="宋体" w:hAnsi="宋体" w:eastAsia="仿宋_GB2312" w:cs="仿宋_GB2312"/>
          <w:b w:val="0"/>
          <w:bCs w:val="0"/>
          <w:color w:val="auto"/>
          <w:kern w:val="0"/>
          <w:position w:val="0"/>
          <w:sz w:val="32"/>
          <w:szCs w:val="32"/>
          <w:highlight w:val="none"/>
          <w:lang w:val="en-US" w:eastAsia="zh-CN" w:bidi="ar-SA"/>
        </w:rPr>
        <w:t>85.62</w:t>
      </w:r>
      <w:r>
        <w:rPr>
          <w:rFonts w:hint="eastAsia" w:ascii="宋体" w:hAnsi="宋体" w:eastAsia="仿宋_GB2312" w:cs="仿宋_GB2312"/>
          <w:b w:val="0"/>
          <w:bCs w:val="0"/>
          <w:color w:val="auto"/>
          <w:kern w:val="0"/>
          <w:position w:val="0"/>
          <w:sz w:val="32"/>
          <w:szCs w:val="32"/>
          <w:highlight w:val="none"/>
          <w:lang w:val="zh-CN" w:eastAsia="zh-CN" w:bidi="ar-SA"/>
        </w:rPr>
        <w:t>%，其中：预算结余率大于</w:t>
      </w:r>
      <w:r>
        <w:rPr>
          <w:rFonts w:hint="eastAsia" w:ascii="宋体" w:hAnsi="宋体" w:eastAsia="仿宋_GB2312" w:cs="仿宋_GB2312"/>
          <w:b w:val="0"/>
          <w:bCs w:val="0"/>
          <w:color w:val="auto"/>
          <w:kern w:val="0"/>
          <w:position w:val="0"/>
          <w:sz w:val="32"/>
          <w:szCs w:val="32"/>
          <w:highlight w:val="none"/>
          <w:lang w:val="en-US" w:eastAsia="zh-CN" w:bidi="ar-SA"/>
        </w:rPr>
        <w:t>10%</w:t>
      </w:r>
      <w:r>
        <w:rPr>
          <w:rFonts w:hint="eastAsia" w:ascii="宋体" w:hAnsi="宋体" w:eastAsia="仿宋_GB2312" w:cs="仿宋_GB2312"/>
          <w:b w:val="0"/>
          <w:bCs w:val="0"/>
          <w:color w:val="auto"/>
          <w:kern w:val="0"/>
          <w:position w:val="0"/>
          <w:sz w:val="32"/>
          <w:szCs w:val="32"/>
          <w:highlight w:val="none"/>
          <w:lang w:val="zh-CN" w:eastAsia="zh-CN" w:bidi="ar-SA"/>
        </w:rPr>
        <w:t>的项目共计</w:t>
      </w:r>
      <w:r>
        <w:rPr>
          <w:rFonts w:hint="eastAsia" w:ascii="宋体" w:hAnsi="宋体" w:eastAsia="仿宋_GB2312" w:cs="仿宋_GB2312"/>
          <w:b w:val="0"/>
          <w:bCs w:val="0"/>
          <w:color w:val="auto"/>
          <w:kern w:val="0"/>
          <w:position w:val="0"/>
          <w:sz w:val="32"/>
          <w:szCs w:val="32"/>
          <w:highlight w:val="none"/>
          <w:lang w:val="en-US" w:eastAsia="zh-CN" w:bidi="ar-SA"/>
        </w:rPr>
        <w:t>1</w:t>
      </w:r>
      <w:r>
        <w:rPr>
          <w:rFonts w:hint="eastAsia" w:ascii="宋体" w:hAnsi="宋体" w:eastAsia="仿宋_GB2312" w:cs="仿宋_GB2312"/>
          <w:b w:val="0"/>
          <w:bCs w:val="0"/>
          <w:color w:val="auto"/>
          <w:kern w:val="0"/>
          <w:position w:val="0"/>
          <w:sz w:val="32"/>
          <w:szCs w:val="32"/>
          <w:highlight w:val="none"/>
          <w:lang w:val="zh-CN" w:eastAsia="zh-CN" w:bidi="ar-SA"/>
        </w:rPr>
        <w:t>个。</w:t>
      </w:r>
    </w:p>
    <w:p w14:paraId="22A9F190">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lang w:val="zh-CN" w:eastAsia="zh-CN" w:bidi="ar-SA"/>
        </w:rPr>
      </w:pPr>
      <w:r>
        <w:rPr>
          <w:rFonts w:hint="eastAsia" w:ascii="宋体" w:hAnsi="宋体" w:eastAsia="仿宋_GB2312" w:cs="仿宋_GB2312"/>
          <w:b w:val="0"/>
          <w:bCs w:val="0"/>
          <w:color w:val="auto"/>
          <w:kern w:val="0"/>
          <w:position w:val="0"/>
          <w:sz w:val="32"/>
          <w:szCs w:val="32"/>
          <w:highlight w:val="none"/>
          <w:lang w:val="en-US" w:eastAsia="zh-CN" w:bidi="ar-SA"/>
        </w:rPr>
        <w:t>1.</w:t>
      </w:r>
      <w:r>
        <w:rPr>
          <w:rFonts w:hint="eastAsia" w:ascii="宋体" w:hAnsi="宋体" w:eastAsia="仿宋_GB2312" w:cs="仿宋_GB2312"/>
          <w:b w:val="0"/>
          <w:bCs w:val="0"/>
          <w:color w:val="auto"/>
          <w:kern w:val="0"/>
          <w:position w:val="0"/>
          <w:sz w:val="32"/>
          <w:szCs w:val="32"/>
          <w:highlight w:val="none"/>
          <w:lang w:val="zh-CN" w:eastAsia="zh-CN" w:bidi="ar-SA"/>
        </w:rPr>
        <w:t>项目决策。我局</w:t>
      </w:r>
      <w:r>
        <w:rPr>
          <w:rFonts w:hint="eastAsia" w:ascii="宋体" w:hAnsi="宋体" w:eastAsia="仿宋_GB2312" w:cs="仿宋_GB2312"/>
          <w:b w:val="0"/>
          <w:bCs w:val="0"/>
          <w:color w:val="auto"/>
          <w:kern w:val="0"/>
          <w:position w:val="0"/>
          <w:sz w:val="32"/>
          <w:szCs w:val="32"/>
          <w:highlight w:val="none"/>
          <w:lang w:val="en-US" w:eastAsia="zh-CN" w:bidi="ar-SA"/>
        </w:rPr>
        <w:t>6</w:t>
      </w:r>
      <w:r>
        <w:rPr>
          <w:rFonts w:hint="eastAsia" w:ascii="宋体" w:hAnsi="宋体" w:eastAsia="仿宋_GB2312" w:cs="仿宋_GB2312"/>
          <w:b w:val="0"/>
          <w:bCs w:val="0"/>
          <w:color w:val="auto"/>
          <w:kern w:val="0"/>
          <w:position w:val="0"/>
          <w:sz w:val="32"/>
          <w:szCs w:val="32"/>
          <w:highlight w:val="none"/>
          <w:lang w:val="zh-CN" w:eastAsia="zh-CN" w:bidi="ar-SA"/>
        </w:rPr>
        <w:t>个项目均围绕单位内控制度决策程序、目标设置、项目入库规范，目标绩效各项指标为优。</w:t>
      </w:r>
    </w:p>
    <w:p w14:paraId="6B5D7E25">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lang w:val="zh-CN" w:eastAsia="zh-CN" w:bidi="ar-SA"/>
        </w:rPr>
      </w:pPr>
      <w:r>
        <w:rPr>
          <w:rFonts w:hint="eastAsia" w:ascii="宋体" w:hAnsi="宋体" w:eastAsia="仿宋_GB2312" w:cs="仿宋_GB2312"/>
          <w:b w:val="0"/>
          <w:bCs w:val="0"/>
          <w:color w:val="auto"/>
          <w:kern w:val="0"/>
          <w:position w:val="0"/>
          <w:sz w:val="32"/>
          <w:szCs w:val="32"/>
          <w:highlight w:val="none"/>
          <w:lang w:val="en-US" w:eastAsia="zh-CN" w:bidi="ar-SA"/>
        </w:rPr>
        <w:t>2.项目执行</w:t>
      </w:r>
      <w:r>
        <w:rPr>
          <w:rFonts w:hint="eastAsia" w:ascii="宋体" w:hAnsi="宋体" w:eastAsia="仿宋_GB2312" w:cs="仿宋_GB2312"/>
          <w:b w:val="0"/>
          <w:bCs w:val="0"/>
          <w:color w:val="auto"/>
          <w:kern w:val="0"/>
          <w:position w:val="0"/>
          <w:sz w:val="32"/>
          <w:szCs w:val="32"/>
          <w:highlight w:val="none"/>
          <w:lang w:val="zh-CN" w:eastAsia="zh-CN" w:bidi="ar-SA"/>
        </w:rPr>
        <w:t>。我局严格依照资金管理办法，成立项目管理领导小组，提出项目和编制建议书、编制可行性研究报告、进行初步设计或编制实施方案、预算和绩效评价等阶段，并进一步建立岗位之间相互监督制约的机制。我局项目在执行过程中严格按照相关资金管理制度和要求控制资金支出方向，严把资金支付关，确保资金支出方向不偏离；严格围绕年初制定目标进行控制，202</w:t>
      </w:r>
      <w:r>
        <w:rPr>
          <w:rFonts w:hint="eastAsia" w:ascii="宋体" w:hAnsi="宋体" w:eastAsia="仿宋_GB2312" w:cs="仿宋_GB2312"/>
          <w:b w:val="0"/>
          <w:bCs w:val="0"/>
          <w:color w:val="auto"/>
          <w:kern w:val="0"/>
          <w:position w:val="0"/>
          <w:sz w:val="32"/>
          <w:szCs w:val="32"/>
          <w:highlight w:val="none"/>
          <w:lang w:val="en-US" w:eastAsia="zh-CN" w:bidi="ar-SA"/>
        </w:rPr>
        <w:t>4</w:t>
      </w:r>
      <w:r>
        <w:rPr>
          <w:rFonts w:hint="eastAsia" w:ascii="宋体" w:hAnsi="宋体" w:eastAsia="仿宋_GB2312" w:cs="仿宋_GB2312"/>
          <w:b w:val="0"/>
          <w:bCs w:val="0"/>
          <w:color w:val="auto"/>
          <w:kern w:val="0"/>
          <w:position w:val="0"/>
          <w:sz w:val="32"/>
          <w:szCs w:val="32"/>
          <w:highlight w:val="none"/>
          <w:lang w:val="zh-CN" w:eastAsia="zh-CN" w:bidi="ar-SA"/>
        </w:rPr>
        <w:t>年度，我局涉及</w:t>
      </w:r>
      <w:r>
        <w:rPr>
          <w:rFonts w:hint="eastAsia" w:ascii="宋体" w:hAnsi="宋体" w:eastAsia="仿宋_GB2312" w:cs="仿宋_GB2312"/>
          <w:b w:val="0"/>
          <w:bCs w:val="0"/>
          <w:color w:val="auto"/>
          <w:kern w:val="0"/>
          <w:position w:val="0"/>
          <w:sz w:val="32"/>
          <w:szCs w:val="32"/>
          <w:highlight w:val="none"/>
          <w:lang w:val="en-US" w:eastAsia="zh-CN" w:bidi="ar-SA"/>
        </w:rPr>
        <w:t>6</w:t>
      </w:r>
      <w:r>
        <w:rPr>
          <w:rFonts w:hint="eastAsia" w:ascii="宋体" w:hAnsi="宋体" w:eastAsia="仿宋_GB2312" w:cs="仿宋_GB2312"/>
          <w:b w:val="0"/>
          <w:bCs w:val="0"/>
          <w:color w:val="auto"/>
          <w:kern w:val="0"/>
          <w:position w:val="0"/>
          <w:sz w:val="32"/>
          <w:szCs w:val="32"/>
          <w:highlight w:val="none"/>
          <w:lang w:val="zh-CN" w:eastAsia="zh-CN" w:bidi="ar-SA"/>
        </w:rPr>
        <w:t>个项目均按照年初设定目标高标准完成，无资金支付偏离、目标绩效实现偏离等情况；因</w:t>
      </w:r>
      <w:r>
        <w:rPr>
          <w:rFonts w:hint="eastAsia" w:ascii="宋体" w:hAnsi="宋体" w:eastAsia="仿宋_GB2312" w:cs="仿宋_GB2312"/>
          <w:b w:val="0"/>
          <w:bCs w:val="0"/>
          <w:color w:val="auto"/>
          <w:kern w:val="0"/>
          <w:position w:val="0"/>
          <w:sz w:val="32"/>
          <w:szCs w:val="32"/>
          <w:highlight w:val="none"/>
          <w:lang w:val="en-US" w:eastAsia="zh-CN" w:bidi="ar-SA"/>
        </w:rPr>
        <w:t>2024年招商引资平台活动开展较少、驻外机构人员未配备齐全等原因，导致我单位招商引资相关专项费用预算执行进度预年初预算偏差较大，截至2024年12月底，我单位“各驻点招商分局工作经费及房租项目”“招商引资项目”预算结余率均大于10%。</w:t>
      </w:r>
    </w:p>
    <w:p w14:paraId="5613DC1B">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lang w:val="zh-CN" w:eastAsia="zh-CN" w:bidi="ar-SA"/>
        </w:rPr>
      </w:pPr>
      <w:r>
        <w:rPr>
          <w:rFonts w:hint="eastAsia" w:ascii="宋体" w:hAnsi="宋体" w:eastAsia="仿宋_GB2312" w:cs="仿宋_GB2312"/>
          <w:b w:val="0"/>
          <w:bCs w:val="0"/>
          <w:color w:val="auto"/>
          <w:kern w:val="0"/>
          <w:position w:val="0"/>
          <w:sz w:val="32"/>
          <w:szCs w:val="32"/>
          <w:highlight w:val="none"/>
          <w:lang w:val="en-US" w:eastAsia="zh-CN" w:bidi="ar-SA"/>
        </w:rPr>
        <w:t>3.</w:t>
      </w:r>
      <w:r>
        <w:rPr>
          <w:rFonts w:hint="eastAsia" w:ascii="宋体" w:hAnsi="宋体" w:eastAsia="仿宋_GB2312" w:cs="仿宋_GB2312"/>
          <w:b w:val="0"/>
          <w:bCs w:val="0"/>
          <w:color w:val="auto"/>
          <w:kern w:val="0"/>
          <w:position w:val="0"/>
          <w:sz w:val="32"/>
          <w:szCs w:val="32"/>
          <w:highlight w:val="none"/>
          <w:lang w:val="zh-CN" w:eastAsia="zh-CN" w:bidi="ar-SA"/>
        </w:rPr>
        <w:t>目标实现。围绕目标完成、目标偏离、实现效果进行绩效分析。</w:t>
      </w:r>
    </w:p>
    <w:p w14:paraId="5C8361DE">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lang w:val="zh-CN" w:eastAsia="zh-CN" w:bidi="ar-SA"/>
        </w:rPr>
      </w:pPr>
      <w:r>
        <w:rPr>
          <w:rFonts w:hint="eastAsia" w:ascii="宋体" w:hAnsi="宋体" w:eastAsia="仿宋_GB2312" w:cs="仿宋_GB2312"/>
          <w:b w:val="0"/>
          <w:bCs w:val="0"/>
          <w:color w:val="auto"/>
          <w:kern w:val="0"/>
          <w:position w:val="0"/>
          <w:sz w:val="32"/>
          <w:szCs w:val="32"/>
          <w:highlight w:val="none"/>
          <w:lang w:val="zh-CN" w:eastAsia="zh-CN" w:bidi="ar-SA"/>
        </w:rPr>
        <w:t>（1）人员类项目绩效分析。202</w:t>
      </w:r>
      <w:r>
        <w:rPr>
          <w:rFonts w:hint="eastAsia" w:ascii="宋体" w:hAnsi="宋体" w:eastAsia="仿宋_GB2312" w:cs="仿宋_GB2312"/>
          <w:b w:val="0"/>
          <w:bCs w:val="0"/>
          <w:color w:val="auto"/>
          <w:kern w:val="0"/>
          <w:position w:val="0"/>
          <w:sz w:val="32"/>
          <w:szCs w:val="32"/>
          <w:highlight w:val="none"/>
          <w:lang w:val="en-US" w:eastAsia="zh-CN" w:bidi="ar-SA"/>
        </w:rPr>
        <w:t>4</w:t>
      </w:r>
      <w:r>
        <w:rPr>
          <w:rFonts w:hint="eastAsia" w:ascii="宋体" w:hAnsi="宋体" w:eastAsia="仿宋_GB2312" w:cs="仿宋_GB2312"/>
          <w:b w:val="0"/>
          <w:bCs w:val="0"/>
          <w:color w:val="auto"/>
          <w:kern w:val="0"/>
          <w:position w:val="0"/>
          <w:sz w:val="32"/>
          <w:szCs w:val="32"/>
          <w:highlight w:val="none"/>
          <w:lang w:val="zh-CN" w:eastAsia="zh-CN" w:bidi="ar-SA"/>
        </w:rPr>
        <w:t>年我单位人员类拨款</w:t>
      </w:r>
      <w:r>
        <w:rPr>
          <w:rFonts w:hint="eastAsia" w:ascii="宋体" w:hAnsi="宋体" w:eastAsia="仿宋_GB2312" w:cs="仿宋_GB2312"/>
          <w:b w:val="0"/>
          <w:bCs w:val="0"/>
          <w:color w:val="auto"/>
          <w:kern w:val="0"/>
          <w:position w:val="0"/>
          <w:sz w:val="32"/>
          <w:szCs w:val="32"/>
          <w:highlight w:val="none"/>
          <w:lang w:val="en-US" w:eastAsia="zh-CN" w:bidi="ar-SA"/>
        </w:rPr>
        <w:t>903.13</w:t>
      </w:r>
      <w:r>
        <w:rPr>
          <w:rFonts w:hint="eastAsia" w:ascii="宋体" w:hAnsi="宋体" w:eastAsia="仿宋_GB2312" w:cs="仿宋_GB2312"/>
          <w:b w:val="0"/>
          <w:bCs w:val="0"/>
          <w:color w:val="auto"/>
          <w:kern w:val="0"/>
          <w:position w:val="0"/>
          <w:sz w:val="32"/>
          <w:szCs w:val="32"/>
          <w:highlight w:val="none"/>
          <w:lang w:val="zh-CN" w:eastAsia="zh-CN" w:bidi="ar-SA"/>
        </w:rPr>
        <w:t>万元，主要用于职工工资福利支出、社会保障缴费、社会福利与救助、离退休费支出。保障全局职工工资、离退休职工生活补助等及时发放，社会保险、公积金等应交尽交，严格按照财政及主管部门要求的时间节点完成工作任务，资金支付率100%。无违规使用资金的情况。</w:t>
      </w:r>
    </w:p>
    <w:p w14:paraId="14053D22">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lang w:val="zh-CN" w:eastAsia="zh-CN" w:bidi="ar-SA"/>
        </w:rPr>
      </w:pPr>
      <w:r>
        <w:rPr>
          <w:rFonts w:hint="eastAsia" w:ascii="宋体" w:hAnsi="宋体" w:eastAsia="仿宋_GB2312" w:cs="仿宋_GB2312"/>
          <w:b w:val="0"/>
          <w:bCs w:val="0"/>
          <w:color w:val="auto"/>
          <w:kern w:val="0"/>
          <w:position w:val="0"/>
          <w:sz w:val="32"/>
          <w:szCs w:val="32"/>
          <w:highlight w:val="none"/>
          <w:lang w:val="zh-CN" w:eastAsia="zh-CN" w:bidi="ar-SA"/>
        </w:rPr>
        <w:t>（2）运转类项目绩效分析。202</w:t>
      </w:r>
      <w:r>
        <w:rPr>
          <w:rFonts w:hint="eastAsia" w:ascii="宋体" w:hAnsi="宋体" w:eastAsia="仿宋_GB2312" w:cs="仿宋_GB2312"/>
          <w:b w:val="0"/>
          <w:bCs w:val="0"/>
          <w:color w:val="auto"/>
          <w:kern w:val="0"/>
          <w:position w:val="0"/>
          <w:sz w:val="32"/>
          <w:szCs w:val="32"/>
          <w:highlight w:val="none"/>
          <w:lang w:val="en-US" w:eastAsia="zh-CN" w:bidi="ar-SA"/>
        </w:rPr>
        <w:t>4</w:t>
      </w:r>
      <w:r>
        <w:rPr>
          <w:rFonts w:hint="eastAsia" w:ascii="宋体" w:hAnsi="宋体" w:eastAsia="仿宋_GB2312" w:cs="仿宋_GB2312"/>
          <w:b w:val="0"/>
          <w:bCs w:val="0"/>
          <w:color w:val="auto"/>
          <w:kern w:val="0"/>
          <w:position w:val="0"/>
          <w:sz w:val="32"/>
          <w:szCs w:val="32"/>
          <w:highlight w:val="none"/>
          <w:lang w:val="zh-CN" w:eastAsia="zh-CN" w:bidi="ar-SA"/>
        </w:rPr>
        <w:t>年运转类拨款</w:t>
      </w:r>
      <w:r>
        <w:rPr>
          <w:rFonts w:hint="eastAsia" w:ascii="宋体" w:hAnsi="宋体" w:eastAsia="仿宋_GB2312" w:cs="仿宋_GB2312"/>
          <w:b w:val="0"/>
          <w:bCs w:val="0"/>
          <w:color w:val="auto"/>
          <w:kern w:val="0"/>
          <w:position w:val="0"/>
          <w:sz w:val="32"/>
          <w:szCs w:val="32"/>
          <w:highlight w:val="none"/>
          <w:lang w:val="en-US" w:eastAsia="zh-CN" w:bidi="ar-SA"/>
        </w:rPr>
        <w:t>117.53</w:t>
      </w:r>
      <w:r>
        <w:rPr>
          <w:rFonts w:hint="eastAsia" w:ascii="宋体" w:hAnsi="宋体" w:eastAsia="仿宋_GB2312" w:cs="仿宋_GB2312"/>
          <w:b w:val="0"/>
          <w:bCs w:val="0"/>
          <w:color w:val="auto"/>
          <w:kern w:val="0"/>
          <w:position w:val="0"/>
          <w:sz w:val="32"/>
          <w:szCs w:val="32"/>
          <w:highlight w:val="none"/>
          <w:lang w:val="zh-CN" w:eastAsia="zh-CN" w:bidi="ar-SA"/>
        </w:rPr>
        <w:t>万元，主要用于办公费、水电费、物业管理费、退休人员活动经费、福利费、工会经费等商品服务支出。维持单位正常运转，为全局经济合作和外事工作提供坚实的保障。</w:t>
      </w:r>
    </w:p>
    <w:p w14:paraId="7FC07116">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lang w:val="zh-CN" w:eastAsia="zh-CN" w:bidi="ar-SA"/>
        </w:rPr>
      </w:pPr>
      <w:r>
        <w:rPr>
          <w:rFonts w:hint="eastAsia" w:ascii="宋体" w:hAnsi="宋体" w:eastAsia="仿宋_GB2312" w:cs="仿宋_GB2312"/>
          <w:b w:val="0"/>
          <w:bCs w:val="0"/>
          <w:color w:val="auto"/>
          <w:kern w:val="0"/>
          <w:position w:val="0"/>
          <w:sz w:val="32"/>
          <w:szCs w:val="32"/>
          <w:highlight w:val="none"/>
          <w:lang w:val="zh-CN" w:eastAsia="zh-CN" w:bidi="ar-SA"/>
        </w:rPr>
        <w:t>（3）特定目标类项目绩效分析</w:t>
      </w:r>
    </w:p>
    <w:p w14:paraId="6763A989">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lang w:val="zh-CN" w:eastAsia="zh-CN" w:bidi="ar-SA"/>
        </w:rPr>
      </w:pPr>
      <w:r>
        <w:rPr>
          <w:rFonts w:hint="eastAsia" w:ascii="宋体" w:hAnsi="宋体" w:eastAsia="仿宋_GB2312" w:cs="仿宋_GB2312"/>
          <w:b w:val="0"/>
          <w:bCs w:val="0"/>
          <w:color w:val="auto"/>
          <w:kern w:val="0"/>
          <w:position w:val="0"/>
          <w:sz w:val="32"/>
          <w:szCs w:val="32"/>
          <w:highlight w:val="none"/>
          <w:lang w:val="zh-CN" w:eastAsia="zh-CN" w:bidi="ar-SA"/>
        </w:rPr>
        <w:t>202</w:t>
      </w:r>
      <w:r>
        <w:rPr>
          <w:rFonts w:hint="eastAsia" w:ascii="宋体" w:hAnsi="宋体" w:eastAsia="仿宋_GB2312" w:cs="仿宋_GB2312"/>
          <w:b w:val="0"/>
          <w:bCs w:val="0"/>
          <w:color w:val="auto"/>
          <w:kern w:val="0"/>
          <w:position w:val="0"/>
          <w:sz w:val="32"/>
          <w:szCs w:val="32"/>
          <w:highlight w:val="none"/>
          <w:lang w:val="en-US" w:eastAsia="zh-CN" w:bidi="ar-SA"/>
        </w:rPr>
        <w:t>4</w:t>
      </w:r>
      <w:r>
        <w:rPr>
          <w:rFonts w:hint="eastAsia" w:ascii="宋体" w:hAnsi="宋体" w:eastAsia="仿宋_GB2312" w:cs="仿宋_GB2312"/>
          <w:b w:val="0"/>
          <w:bCs w:val="0"/>
          <w:color w:val="auto"/>
          <w:kern w:val="0"/>
          <w:position w:val="0"/>
          <w:sz w:val="32"/>
          <w:szCs w:val="32"/>
          <w:highlight w:val="none"/>
          <w:lang w:val="zh-CN" w:eastAsia="zh-CN" w:bidi="ar-SA"/>
        </w:rPr>
        <w:t>年市财政预算特定目标类项目</w:t>
      </w:r>
      <w:r>
        <w:rPr>
          <w:rFonts w:hint="eastAsia" w:ascii="宋体" w:hAnsi="宋体" w:eastAsia="仿宋_GB2312" w:cs="仿宋_GB2312"/>
          <w:b w:val="0"/>
          <w:bCs w:val="0"/>
          <w:color w:val="auto"/>
          <w:kern w:val="0"/>
          <w:position w:val="0"/>
          <w:sz w:val="32"/>
          <w:szCs w:val="32"/>
          <w:highlight w:val="none"/>
          <w:lang w:val="en-US" w:eastAsia="zh-CN" w:bidi="ar-SA"/>
        </w:rPr>
        <w:t>6</w:t>
      </w:r>
      <w:r>
        <w:rPr>
          <w:rFonts w:hint="eastAsia" w:ascii="宋体" w:hAnsi="宋体" w:eastAsia="仿宋_GB2312" w:cs="仿宋_GB2312"/>
          <w:b w:val="0"/>
          <w:bCs w:val="0"/>
          <w:color w:val="auto"/>
          <w:kern w:val="0"/>
          <w:position w:val="0"/>
          <w:sz w:val="32"/>
          <w:szCs w:val="32"/>
          <w:highlight w:val="none"/>
          <w:lang w:val="zh-CN" w:eastAsia="zh-CN" w:bidi="ar-SA"/>
        </w:rPr>
        <w:t>个，分别为各驻点招商分局工作经费及房租</w:t>
      </w:r>
      <w:r>
        <w:rPr>
          <w:rFonts w:hint="eastAsia" w:ascii="宋体" w:hAnsi="宋体" w:eastAsia="仿宋_GB2312" w:cs="仿宋_GB2312"/>
          <w:b w:val="0"/>
          <w:bCs w:val="0"/>
          <w:color w:val="auto"/>
          <w:kern w:val="0"/>
          <w:position w:val="0"/>
          <w:sz w:val="32"/>
          <w:szCs w:val="32"/>
          <w:highlight w:val="none"/>
          <w:lang w:val="en-US" w:eastAsia="zh-CN" w:bidi="ar-SA"/>
        </w:rPr>
        <w:t>350</w:t>
      </w:r>
      <w:r>
        <w:rPr>
          <w:rFonts w:hint="eastAsia" w:ascii="宋体" w:hAnsi="宋体" w:eastAsia="仿宋_GB2312" w:cs="仿宋_GB2312"/>
          <w:b w:val="0"/>
          <w:bCs w:val="0"/>
          <w:color w:val="auto"/>
          <w:kern w:val="0"/>
          <w:position w:val="0"/>
          <w:sz w:val="32"/>
          <w:szCs w:val="32"/>
          <w:highlight w:val="none"/>
          <w:lang w:val="zh-CN" w:eastAsia="zh-CN" w:bidi="ar-SA"/>
        </w:rPr>
        <w:t>万元，主要用于我局</w:t>
      </w:r>
      <w:r>
        <w:rPr>
          <w:rFonts w:hint="eastAsia" w:ascii="宋体" w:hAnsi="宋体" w:eastAsia="仿宋_GB2312" w:cs="仿宋_GB2312"/>
          <w:b w:val="0"/>
          <w:bCs w:val="0"/>
          <w:color w:val="auto"/>
          <w:kern w:val="0"/>
          <w:position w:val="0"/>
          <w:sz w:val="32"/>
          <w:szCs w:val="32"/>
          <w:highlight w:val="none"/>
          <w:lang w:val="en-US" w:eastAsia="zh-CN" w:bidi="ar-SA"/>
        </w:rPr>
        <w:t>5</w:t>
      </w:r>
      <w:r>
        <w:rPr>
          <w:rFonts w:hint="eastAsia" w:ascii="宋体" w:hAnsi="宋体" w:eastAsia="仿宋_GB2312" w:cs="仿宋_GB2312"/>
          <w:b w:val="0"/>
          <w:bCs w:val="0"/>
          <w:color w:val="auto"/>
          <w:kern w:val="0"/>
          <w:position w:val="0"/>
          <w:sz w:val="32"/>
          <w:szCs w:val="32"/>
          <w:highlight w:val="none"/>
          <w:lang w:val="zh-CN" w:eastAsia="zh-CN" w:bidi="ar-SA"/>
        </w:rPr>
        <w:t>个驻外招商机构招商引资工作经费和房租等相关费用支出；乡村振兴工作经费</w:t>
      </w:r>
      <w:r>
        <w:rPr>
          <w:rFonts w:hint="eastAsia" w:ascii="宋体" w:hAnsi="宋体" w:eastAsia="仿宋_GB2312" w:cs="仿宋_GB2312"/>
          <w:b w:val="0"/>
          <w:bCs w:val="0"/>
          <w:color w:val="auto"/>
          <w:kern w:val="0"/>
          <w:position w:val="0"/>
          <w:sz w:val="32"/>
          <w:szCs w:val="32"/>
          <w:highlight w:val="none"/>
          <w:lang w:val="en-US" w:eastAsia="zh-CN" w:bidi="ar-SA"/>
        </w:rPr>
        <w:t>3.64</w:t>
      </w:r>
      <w:r>
        <w:rPr>
          <w:rFonts w:hint="eastAsia" w:ascii="宋体" w:hAnsi="宋体" w:eastAsia="仿宋_GB2312" w:cs="仿宋_GB2312"/>
          <w:b w:val="0"/>
          <w:bCs w:val="0"/>
          <w:color w:val="auto"/>
          <w:kern w:val="0"/>
          <w:position w:val="0"/>
          <w:sz w:val="32"/>
          <w:szCs w:val="32"/>
          <w:highlight w:val="none"/>
          <w:lang w:val="zh-CN" w:eastAsia="zh-CN" w:bidi="ar-SA"/>
        </w:rPr>
        <w:t>万元，主要用于我局派驻旺苍县大两镇</w:t>
      </w:r>
      <w:r>
        <w:rPr>
          <w:rFonts w:hint="eastAsia" w:ascii="宋体" w:hAnsi="宋体" w:eastAsia="仿宋_GB2312" w:cs="仿宋_GB2312"/>
          <w:b w:val="0"/>
          <w:bCs w:val="0"/>
          <w:color w:val="auto"/>
          <w:kern w:val="0"/>
          <w:position w:val="0"/>
          <w:sz w:val="32"/>
          <w:szCs w:val="32"/>
          <w:highlight w:val="none"/>
          <w:lang w:val="en-US" w:eastAsia="zh-CN" w:bidi="ar-SA"/>
        </w:rPr>
        <w:t>2</w:t>
      </w:r>
      <w:r>
        <w:rPr>
          <w:rFonts w:hint="eastAsia" w:ascii="宋体" w:hAnsi="宋体" w:eastAsia="仿宋_GB2312" w:cs="仿宋_GB2312"/>
          <w:b w:val="0"/>
          <w:bCs w:val="0"/>
          <w:color w:val="auto"/>
          <w:kern w:val="0"/>
          <w:position w:val="0"/>
          <w:sz w:val="32"/>
          <w:szCs w:val="32"/>
          <w:highlight w:val="none"/>
          <w:lang w:val="zh-CN" w:eastAsia="zh-CN" w:bidi="ar-SA"/>
        </w:rPr>
        <w:t>名驻村干部的生活补助、交通补助等相关费用支出；招商引资经费400万元，主要用于市委、市政府在国内外开展的重点招商引资工作、重大招商平台活动费用支出等；因公临时出国境工作经费</w:t>
      </w:r>
      <w:r>
        <w:rPr>
          <w:rFonts w:hint="eastAsia" w:ascii="宋体" w:hAnsi="宋体" w:eastAsia="仿宋_GB2312" w:cs="仿宋_GB2312"/>
          <w:b w:val="0"/>
          <w:bCs w:val="0"/>
          <w:color w:val="auto"/>
          <w:kern w:val="0"/>
          <w:position w:val="0"/>
          <w:sz w:val="32"/>
          <w:szCs w:val="32"/>
          <w:highlight w:val="none"/>
          <w:lang w:val="en-US" w:eastAsia="zh-CN" w:bidi="ar-SA"/>
        </w:rPr>
        <w:t>113.22</w:t>
      </w:r>
      <w:r>
        <w:rPr>
          <w:rFonts w:hint="eastAsia" w:ascii="宋体" w:hAnsi="宋体" w:eastAsia="仿宋_GB2312" w:cs="仿宋_GB2312"/>
          <w:b w:val="0"/>
          <w:bCs w:val="0"/>
          <w:color w:val="auto"/>
          <w:kern w:val="0"/>
          <w:position w:val="0"/>
          <w:sz w:val="32"/>
          <w:szCs w:val="32"/>
          <w:highlight w:val="none"/>
          <w:lang w:val="zh-CN" w:eastAsia="zh-CN" w:bidi="ar-SA"/>
        </w:rPr>
        <w:t>万元，主要用于市委、市政府出国（境）访问、考察等相关费用支出；陕甘川宁毗邻地区经济联合会第</w:t>
      </w:r>
      <w:r>
        <w:rPr>
          <w:rFonts w:hint="eastAsia" w:ascii="宋体" w:hAnsi="宋体" w:eastAsia="仿宋_GB2312" w:cs="仿宋_GB2312"/>
          <w:b w:val="0"/>
          <w:bCs w:val="0"/>
          <w:color w:val="auto"/>
          <w:kern w:val="0"/>
          <w:position w:val="0"/>
          <w:sz w:val="32"/>
          <w:szCs w:val="32"/>
          <w:highlight w:val="none"/>
          <w:lang w:val="en-US" w:eastAsia="zh-CN" w:bidi="ar-SA"/>
        </w:rPr>
        <w:t>34届年会经费15万元，主要用于保障陕甘川宁毗邻地区经济联合会第34届年会在我市召开会议等相关费用支出；2024年中国西部（广元）食品饮料产业发展大会及广元市食品产业培育和对外推介活动费4万元，主要用于2024年中国西部（广元）食品饮料产业发展大会及广元市食品产业培育和对外推介活动推介PPT制作等相关支出。</w:t>
      </w:r>
      <w:r>
        <w:rPr>
          <w:rFonts w:hint="eastAsia" w:ascii="宋体" w:hAnsi="宋体" w:eastAsia="仿宋_GB2312" w:cs="仿宋_GB2312"/>
          <w:b w:val="0"/>
          <w:bCs w:val="0"/>
          <w:color w:val="auto"/>
          <w:kern w:val="0"/>
          <w:position w:val="0"/>
          <w:sz w:val="32"/>
          <w:szCs w:val="32"/>
          <w:highlight w:val="none"/>
          <w:lang w:val="zh-CN" w:eastAsia="zh-CN" w:bidi="ar-SA"/>
        </w:rPr>
        <w:t>202</w:t>
      </w:r>
      <w:r>
        <w:rPr>
          <w:rFonts w:hint="eastAsia" w:ascii="宋体" w:hAnsi="宋体" w:eastAsia="仿宋_GB2312" w:cs="仿宋_GB2312"/>
          <w:b w:val="0"/>
          <w:bCs w:val="0"/>
          <w:color w:val="auto"/>
          <w:kern w:val="0"/>
          <w:position w:val="0"/>
          <w:sz w:val="32"/>
          <w:szCs w:val="32"/>
          <w:highlight w:val="none"/>
          <w:lang w:val="en-US" w:eastAsia="zh-CN" w:bidi="ar-SA"/>
        </w:rPr>
        <w:t>4</w:t>
      </w:r>
      <w:r>
        <w:rPr>
          <w:rFonts w:hint="eastAsia" w:ascii="宋体" w:hAnsi="宋体" w:eastAsia="仿宋_GB2312" w:cs="仿宋_GB2312"/>
          <w:b w:val="0"/>
          <w:bCs w:val="0"/>
          <w:color w:val="auto"/>
          <w:kern w:val="0"/>
          <w:position w:val="0"/>
          <w:sz w:val="32"/>
          <w:szCs w:val="32"/>
          <w:highlight w:val="none"/>
          <w:lang w:val="zh-CN" w:eastAsia="zh-CN" w:bidi="ar-SA"/>
        </w:rPr>
        <w:t xml:space="preserve">年我局所设项目中除各驻点招商分局工作经费及房租项目、招商引资项目外其余项目资金结余率均小于10%，且年初绩效目标设置合理，所有项目均实现年初设定目标内容。  </w:t>
      </w:r>
    </w:p>
    <w:p w14:paraId="1A8CD5E2">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楷体_GB2312" w:cs="Times New Roman"/>
          <w:b w:val="0"/>
          <w:bCs w:val="0"/>
          <w:color w:val="auto"/>
          <w:sz w:val="32"/>
          <w:szCs w:val="32"/>
          <w:lang w:val="zh-CN"/>
        </w:rPr>
      </w:pPr>
      <w:r>
        <w:rPr>
          <w:rFonts w:hint="eastAsia" w:ascii="宋体" w:hAnsi="宋体" w:eastAsia="楷体_GB2312" w:cs="Times New Roman"/>
          <w:b w:val="0"/>
          <w:bCs w:val="0"/>
          <w:color w:val="auto"/>
          <w:kern w:val="2"/>
          <w:sz w:val="32"/>
          <w:szCs w:val="32"/>
          <w:lang w:val="zh-CN" w:eastAsia="zh-CN" w:bidi="ar-SA"/>
        </w:rPr>
        <w:t>（三）</w:t>
      </w:r>
      <w:r>
        <w:rPr>
          <w:rFonts w:hint="default" w:ascii="宋体" w:hAnsi="宋体" w:eastAsia="楷体_GB2312" w:cs="Times New Roman"/>
          <w:b w:val="0"/>
          <w:bCs w:val="0"/>
          <w:color w:val="auto"/>
          <w:sz w:val="32"/>
          <w:szCs w:val="32"/>
          <w:lang w:val="zh-CN"/>
        </w:rPr>
        <w:t>绩效结果应用情况</w:t>
      </w:r>
    </w:p>
    <w:p w14:paraId="18DB7DCB">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仿宋_GB2312" w:cs="Times New Roman"/>
          <w:b w:val="0"/>
          <w:bCs w:val="0"/>
          <w:color w:val="auto"/>
          <w:kern w:val="0"/>
          <w:position w:val="0"/>
          <w:sz w:val="32"/>
          <w:szCs w:val="32"/>
          <w:highlight w:val="none"/>
          <w:lang w:val="zh-CN" w:eastAsia="zh-CN" w:bidi="ar-SA"/>
        </w:rPr>
      </w:pPr>
      <w:r>
        <w:rPr>
          <w:rFonts w:hint="default" w:ascii="宋体" w:hAnsi="宋体" w:eastAsia="仿宋_GB2312" w:cs="Times New Roman"/>
          <w:b w:val="0"/>
          <w:bCs w:val="0"/>
          <w:color w:val="auto"/>
          <w:kern w:val="0"/>
          <w:position w:val="0"/>
          <w:sz w:val="32"/>
          <w:szCs w:val="32"/>
          <w:highlight w:val="none"/>
          <w:lang w:val="zh-CN" w:eastAsia="zh-CN" w:bidi="ar-SA"/>
        </w:rPr>
        <w:t>1.在信息公开方面，我单位按照要求将部门整体绩效自评情况和自行组织的评价情况随单位202</w:t>
      </w:r>
      <w:r>
        <w:rPr>
          <w:rFonts w:hint="eastAsia" w:ascii="宋体" w:hAnsi="宋体" w:eastAsia="仿宋_GB2312" w:cs="Times New Roman"/>
          <w:b w:val="0"/>
          <w:bCs w:val="0"/>
          <w:color w:val="auto"/>
          <w:kern w:val="0"/>
          <w:position w:val="0"/>
          <w:sz w:val="32"/>
          <w:szCs w:val="32"/>
          <w:highlight w:val="none"/>
          <w:lang w:val="en-US" w:eastAsia="zh-CN" w:bidi="ar-SA"/>
        </w:rPr>
        <w:t>4</w:t>
      </w:r>
      <w:r>
        <w:rPr>
          <w:rFonts w:hint="default" w:ascii="宋体" w:hAnsi="宋体" w:eastAsia="仿宋_GB2312" w:cs="Times New Roman"/>
          <w:b w:val="0"/>
          <w:bCs w:val="0"/>
          <w:color w:val="auto"/>
          <w:kern w:val="0"/>
          <w:position w:val="0"/>
          <w:sz w:val="32"/>
          <w:szCs w:val="32"/>
          <w:highlight w:val="none"/>
          <w:lang w:val="zh-CN" w:eastAsia="zh-CN" w:bidi="ar-SA"/>
        </w:rPr>
        <w:t>决算情况说明在单位网站进行公开。</w:t>
      </w:r>
    </w:p>
    <w:p w14:paraId="28489C3B">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仿宋_GB2312" w:cs="Times New Roman"/>
          <w:b w:val="0"/>
          <w:bCs w:val="0"/>
          <w:color w:val="auto"/>
          <w:kern w:val="0"/>
          <w:position w:val="0"/>
          <w:sz w:val="32"/>
          <w:szCs w:val="32"/>
          <w:highlight w:val="none"/>
          <w:lang w:val="zh-CN" w:eastAsia="zh-CN" w:bidi="ar-SA"/>
        </w:rPr>
      </w:pPr>
      <w:r>
        <w:rPr>
          <w:rFonts w:hint="default" w:ascii="宋体" w:hAnsi="宋体" w:eastAsia="仿宋_GB2312" w:cs="Times New Roman"/>
          <w:b w:val="0"/>
          <w:bCs w:val="0"/>
          <w:color w:val="auto"/>
          <w:kern w:val="0"/>
          <w:position w:val="0"/>
          <w:sz w:val="32"/>
          <w:szCs w:val="32"/>
          <w:highlight w:val="none"/>
          <w:lang w:val="zh-CN" w:eastAsia="zh-CN" w:bidi="ar-SA"/>
        </w:rPr>
        <w:t>2.在绩效目标设置上，详细反映相应项目工作任务、达成的效果，进一步提高绩效目标的针对性、有效性，便于对项目的实施情况进行考核。</w:t>
      </w:r>
    </w:p>
    <w:p w14:paraId="3D4921E5">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黑体" w:cs="Times New Roman"/>
          <w:b w:val="0"/>
          <w:bCs w:val="0"/>
          <w:color w:val="auto"/>
          <w:kern w:val="0"/>
          <w:sz w:val="32"/>
          <w:szCs w:val="32"/>
          <w:highlight w:val="none"/>
          <w:shd w:val="clear" w:color="auto" w:fill="FFFFFF"/>
        </w:rPr>
      </w:pPr>
      <w:r>
        <w:rPr>
          <w:rFonts w:hint="default" w:ascii="宋体" w:hAnsi="宋体" w:eastAsia="黑体" w:cs="Times New Roman"/>
          <w:b w:val="0"/>
          <w:bCs w:val="0"/>
          <w:color w:val="auto"/>
          <w:kern w:val="0"/>
          <w:sz w:val="32"/>
          <w:szCs w:val="32"/>
          <w:highlight w:val="none"/>
          <w:shd w:val="clear" w:color="auto" w:fill="FFFFFF"/>
          <w:lang w:eastAsia="zh-CN"/>
        </w:rPr>
        <w:t>四、</w:t>
      </w:r>
      <w:r>
        <w:rPr>
          <w:rFonts w:hint="default" w:ascii="宋体" w:hAnsi="宋体" w:eastAsia="黑体" w:cs="Times New Roman"/>
          <w:b w:val="0"/>
          <w:bCs w:val="0"/>
          <w:color w:val="auto"/>
          <w:kern w:val="0"/>
          <w:sz w:val="32"/>
          <w:szCs w:val="32"/>
          <w:highlight w:val="none"/>
          <w:shd w:val="clear" w:color="auto" w:fill="FFFFFF"/>
        </w:rPr>
        <w:t>评价结论及建议</w:t>
      </w:r>
    </w:p>
    <w:p w14:paraId="2A2D48D2">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楷体_GB2312" w:cs="Times New Roman"/>
          <w:b w:val="0"/>
          <w:bCs w:val="0"/>
          <w:color w:val="auto"/>
          <w:kern w:val="0"/>
          <w:sz w:val="32"/>
          <w:szCs w:val="32"/>
          <w:highlight w:val="none"/>
          <w:shd w:val="clear" w:color="auto" w:fill="FFFFFF"/>
          <w:lang w:val="zh-CN"/>
        </w:rPr>
      </w:pPr>
      <w:r>
        <w:rPr>
          <w:rFonts w:hint="default" w:ascii="宋体" w:hAnsi="宋体" w:eastAsia="楷体_GB2312" w:cs="Times New Roman"/>
          <w:b w:val="0"/>
          <w:bCs w:val="0"/>
          <w:color w:val="auto"/>
          <w:kern w:val="0"/>
          <w:sz w:val="32"/>
          <w:szCs w:val="32"/>
          <w:highlight w:val="none"/>
          <w:shd w:val="clear" w:color="auto" w:fill="FFFFFF"/>
          <w:lang w:val="zh-CN"/>
        </w:rPr>
        <w:t>（一）评价结论</w:t>
      </w:r>
    </w:p>
    <w:p w14:paraId="7B23242D">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仿宋_GB2312" w:cs="Times New Roman"/>
          <w:b w:val="0"/>
          <w:bCs w:val="0"/>
          <w:color w:val="auto"/>
          <w:kern w:val="0"/>
          <w:position w:val="0"/>
          <w:sz w:val="32"/>
          <w:szCs w:val="32"/>
          <w:highlight w:val="none"/>
          <w:lang w:val="zh-CN" w:eastAsia="zh-CN" w:bidi="ar-SA"/>
        </w:rPr>
      </w:pPr>
      <w:r>
        <w:rPr>
          <w:rFonts w:hint="default" w:ascii="宋体" w:hAnsi="宋体" w:eastAsia="仿宋_GB2312" w:cs="Times New Roman"/>
          <w:b w:val="0"/>
          <w:bCs w:val="0"/>
          <w:color w:val="auto"/>
          <w:kern w:val="0"/>
          <w:position w:val="0"/>
          <w:sz w:val="32"/>
          <w:szCs w:val="32"/>
          <w:highlight w:val="none"/>
          <w:lang w:val="zh-CN" w:eastAsia="zh-CN" w:bidi="ar-SA"/>
        </w:rPr>
        <w:t>202</w:t>
      </w:r>
      <w:r>
        <w:rPr>
          <w:rFonts w:hint="eastAsia" w:ascii="宋体" w:hAnsi="宋体" w:eastAsia="仿宋_GB2312" w:cs="Times New Roman"/>
          <w:b w:val="0"/>
          <w:bCs w:val="0"/>
          <w:color w:val="auto"/>
          <w:kern w:val="0"/>
          <w:position w:val="0"/>
          <w:sz w:val="32"/>
          <w:szCs w:val="32"/>
          <w:highlight w:val="none"/>
          <w:lang w:val="en-US" w:eastAsia="zh-CN" w:bidi="ar-SA"/>
        </w:rPr>
        <w:t>4</w:t>
      </w:r>
      <w:r>
        <w:rPr>
          <w:rFonts w:hint="default" w:ascii="宋体" w:hAnsi="宋体" w:eastAsia="仿宋_GB2312" w:cs="Times New Roman"/>
          <w:b w:val="0"/>
          <w:bCs w:val="0"/>
          <w:color w:val="auto"/>
          <w:kern w:val="0"/>
          <w:position w:val="0"/>
          <w:sz w:val="32"/>
          <w:szCs w:val="32"/>
          <w:highlight w:val="none"/>
          <w:lang w:val="zh-CN" w:eastAsia="zh-CN" w:bidi="ar-SA"/>
        </w:rPr>
        <w:t>年我单位整体支出绩效自查自评结果良好，全年基本支出保证了单位的正常运转，项目支出保障了重点专项工作的开展，按照202</w:t>
      </w:r>
      <w:r>
        <w:rPr>
          <w:rFonts w:hint="eastAsia" w:ascii="宋体" w:hAnsi="宋体" w:eastAsia="仿宋_GB2312" w:cs="Times New Roman"/>
          <w:b w:val="0"/>
          <w:bCs w:val="0"/>
          <w:color w:val="auto"/>
          <w:kern w:val="0"/>
          <w:position w:val="0"/>
          <w:sz w:val="32"/>
          <w:szCs w:val="32"/>
          <w:highlight w:val="none"/>
          <w:lang w:val="en-US" w:eastAsia="zh-CN" w:bidi="ar-SA"/>
        </w:rPr>
        <w:t>4</w:t>
      </w:r>
      <w:r>
        <w:rPr>
          <w:rFonts w:hint="default" w:ascii="宋体" w:hAnsi="宋体" w:eastAsia="仿宋_GB2312" w:cs="Times New Roman"/>
          <w:b w:val="0"/>
          <w:bCs w:val="0"/>
          <w:color w:val="auto"/>
          <w:kern w:val="0"/>
          <w:position w:val="0"/>
          <w:sz w:val="32"/>
          <w:szCs w:val="32"/>
          <w:highlight w:val="none"/>
          <w:lang w:val="zh-CN" w:eastAsia="zh-CN" w:bidi="ar-SA"/>
        </w:rPr>
        <w:t>年度部门整体支出绩效评价指标体系对我单位预算编制、预算执行、完成结果、信息公开、整改反馈等方面进行了自评，最终得分</w:t>
      </w:r>
      <w:r>
        <w:rPr>
          <w:rFonts w:hint="eastAsia" w:ascii="宋体" w:hAnsi="宋体" w:eastAsia="仿宋_GB2312" w:cs="Times New Roman"/>
          <w:b w:val="0"/>
          <w:bCs w:val="0"/>
          <w:color w:val="auto"/>
          <w:kern w:val="0"/>
          <w:position w:val="0"/>
          <w:sz w:val="32"/>
          <w:szCs w:val="32"/>
          <w:highlight w:val="none"/>
          <w:lang w:val="en-US" w:eastAsia="zh-CN" w:bidi="ar-SA"/>
        </w:rPr>
        <w:t>95.3</w:t>
      </w:r>
      <w:r>
        <w:rPr>
          <w:rFonts w:hint="default" w:ascii="宋体" w:hAnsi="宋体" w:eastAsia="仿宋_GB2312" w:cs="Times New Roman"/>
          <w:b w:val="0"/>
          <w:bCs w:val="0"/>
          <w:color w:val="auto"/>
          <w:kern w:val="0"/>
          <w:position w:val="0"/>
          <w:sz w:val="32"/>
          <w:szCs w:val="32"/>
          <w:highlight w:val="none"/>
          <w:lang w:val="zh-CN" w:eastAsia="zh-CN" w:bidi="ar-SA"/>
        </w:rPr>
        <w:t>分。</w:t>
      </w:r>
    </w:p>
    <w:p w14:paraId="668C1F35">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楷体_GB2312" w:cs="Times New Roman"/>
          <w:b w:val="0"/>
          <w:bCs w:val="0"/>
          <w:color w:val="auto"/>
          <w:kern w:val="0"/>
          <w:sz w:val="32"/>
          <w:szCs w:val="32"/>
          <w:highlight w:val="none"/>
          <w:shd w:val="clear" w:color="auto" w:fill="FFFFFF"/>
          <w:lang w:val="zh-CN"/>
        </w:rPr>
      </w:pPr>
      <w:r>
        <w:rPr>
          <w:rFonts w:hint="default" w:ascii="宋体" w:hAnsi="宋体" w:eastAsia="楷体_GB2312" w:cs="Times New Roman"/>
          <w:b w:val="0"/>
          <w:bCs w:val="0"/>
          <w:color w:val="auto"/>
          <w:kern w:val="0"/>
          <w:sz w:val="32"/>
          <w:szCs w:val="32"/>
          <w:highlight w:val="none"/>
          <w:shd w:val="clear" w:color="auto" w:fill="FFFFFF"/>
          <w:lang w:val="zh-CN"/>
        </w:rPr>
        <w:t>（二）存在问题</w:t>
      </w:r>
    </w:p>
    <w:p w14:paraId="504E39E4">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eastAsia" w:ascii="宋体" w:hAnsi="宋体" w:eastAsia="仿宋_GB2312" w:cs="Times New Roman"/>
          <w:b w:val="0"/>
          <w:bCs w:val="0"/>
          <w:color w:val="auto"/>
          <w:kern w:val="0"/>
          <w:position w:val="0"/>
          <w:sz w:val="32"/>
          <w:szCs w:val="32"/>
          <w:highlight w:val="none"/>
          <w:lang w:val="en-US" w:eastAsia="zh-CN" w:bidi="ar-SA"/>
        </w:rPr>
      </w:pPr>
      <w:r>
        <w:rPr>
          <w:rFonts w:hint="eastAsia" w:ascii="宋体" w:hAnsi="宋体" w:eastAsia="仿宋_GB2312" w:cs="Times New Roman"/>
          <w:b w:val="0"/>
          <w:bCs w:val="0"/>
          <w:color w:val="auto"/>
          <w:kern w:val="0"/>
          <w:position w:val="0"/>
          <w:sz w:val="32"/>
          <w:szCs w:val="32"/>
          <w:highlight w:val="none"/>
          <w:lang w:val="en-US" w:eastAsia="zh-CN" w:bidi="ar-SA"/>
        </w:rPr>
        <w:t>2024年我单位所设个别项目年终预算执行率与年初预算偏差较大，年初预算不是特别精准。</w:t>
      </w:r>
    </w:p>
    <w:p w14:paraId="0A8FDDFD">
      <w:pPr>
        <w:keepNext w:val="0"/>
        <w:keepLines w:val="0"/>
        <w:pageBreakBefore w:val="0"/>
        <w:widowControl w:val="0"/>
        <w:kinsoku/>
        <w:wordWrap/>
        <w:overflowPunct/>
        <w:topLinePunct w:val="0"/>
        <w:autoSpaceDE/>
        <w:autoSpaceDN/>
        <w:bidi w:val="0"/>
        <w:spacing w:line="590" w:lineRule="exact"/>
        <w:ind w:firstLine="628" w:firstLineChars="200"/>
        <w:contextualSpacing/>
        <w:jc w:val="both"/>
        <w:textAlignment w:val="auto"/>
        <w:outlineLvl w:val="9"/>
        <w:rPr>
          <w:rFonts w:hint="default" w:ascii="宋体" w:hAnsi="宋体" w:eastAsia="楷体_GB2312" w:cs="Times New Roman"/>
          <w:b w:val="0"/>
          <w:bCs w:val="0"/>
          <w:color w:val="auto"/>
          <w:kern w:val="0"/>
          <w:sz w:val="32"/>
          <w:szCs w:val="32"/>
          <w:highlight w:val="none"/>
          <w:shd w:val="clear" w:color="auto" w:fill="FFFFFF"/>
          <w:lang w:val="zh-CN" w:eastAsia="zh-CN"/>
        </w:rPr>
      </w:pPr>
      <w:r>
        <w:rPr>
          <w:rFonts w:hint="default" w:ascii="宋体" w:hAnsi="宋体" w:eastAsia="楷体_GB2312" w:cs="Times New Roman"/>
          <w:b w:val="0"/>
          <w:bCs w:val="0"/>
          <w:color w:val="auto"/>
          <w:kern w:val="0"/>
          <w:sz w:val="32"/>
          <w:szCs w:val="32"/>
          <w:highlight w:val="none"/>
          <w:shd w:val="clear" w:color="auto" w:fill="FFFFFF"/>
          <w:lang w:val="zh-CN" w:eastAsia="zh-CN"/>
        </w:rPr>
        <w:t>（三）改进建议</w:t>
      </w:r>
    </w:p>
    <w:p w14:paraId="3332FBF4">
      <w:pPr>
        <w:keepNext w:val="0"/>
        <w:keepLines w:val="0"/>
        <w:pageBreakBefore w:val="0"/>
        <w:widowControl w:val="0"/>
        <w:kinsoku/>
        <w:wordWrap/>
        <w:overflowPunct/>
        <w:topLinePunct w:val="0"/>
        <w:autoSpaceDE/>
        <w:autoSpaceDN/>
        <w:bidi w:val="0"/>
        <w:spacing w:line="590" w:lineRule="exact"/>
        <w:ind w:firstLine="628" w:firstLineChars="200"/>
        <w:contextualSpacing/>
        <w:jc w:val="both"/>
        <w:textAlignment w:val="auto"/>
        <w:outlineLvl w:val="9"/>
        <w:rPr>
          <w:rFonts w:hint="default" w:ascii="宋体" w:hAnsi="宋体" w:eastAsia="仿宋_GB2312" w:cs="Times New Roman"/>
          <w:b w:val="0"/>
          <w:bCs w:val="0"/>
          <w:color w:val="auto"/>
          <w:kern w:val="0"/>
          <w:position w:val="0"/>
          <w:sz w:val="32"/>
          <w:szCs w:val="32"/>
          <w:highlight w:val="none"/>
          <w:lang w:val="zh-CN" w:eastAsia="zh-CN" w:bidi="ar-SA"/>
        </w:rPr>
      </w:pPr>
      <w:r>
        <w:rPr>
          <w:rFonts w:hint="default" w:ascii="宋体" w:hAnsi="宋体" w:eastAsia="仿宋_GB2312" w:cs="Times New Roman"/>
          <w:b w:val="0"/>
          <w:bCs w:val="0"/>
          <w:color w:val="auto"/>
          <w:kern w:val="0"/>
          <w:position w:val="0"/>
          <w:sz w:val="32"/>
          <w:szCs w:val="32"/>
          <w:highlight w:val="none"/>
          <w:lang w:val="zh-CN" w:eastAsia="zh-CN" w:bidi="ar-SA"/>
        </w:rPr>
        <w:t>1.进一步加强财务管理。规范会计核算，加强财务人员的专业化培训，做到财务核算规范、依据充分、数据准确。</w:t>
      </w:r>
    </w:p>
    <w:p w14:paraId="277FD046">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both"/>
        <w:textAlignment w:val="auto"/>
        <w:outlineLvl w:val="9"/>
        <w:rPr>
          <w:rFonts w:hint="default" w:ascii="宋体" w:hAnsi="宋体" w:eastAsia="仿宋_GB2312" w:cs="Times New Roman"/>
          <w:b w:val="0"/>
          <w:bCs w:val="0"/>
          <w:color w:val="auto"/>
          <w:kern w:val="0"/>
          <w:position w:val="0"/>
          <w:sz w:val="32"/>
          <w:szCs w:val="32"/>
          <w:highlight w:val="none"/>
          <w:lang w:val="zh-CN" w:eastAsia="zh-CN" w:bidi="ar-SA"/>
        </w:rPr>
      </w:pPr>
      <w:r>
        <w:rPr>
          <w:rFonts w:hint="default" w:ascii="宋体" w:hAnsi="宋体" w:eastAsia="仿宋_GB2312" w:cs="Times New Roman"/>
          <w:b w:val="0"/>
          <w:bCs w:val="0"/>
          <w:color w:val="auto"/>
          <w:kern w:val="0"/>
          <w:position w:val="0"/>
          <w:sz w:val="32"/>
          <w:szCs w:val="32"/>
          <w:highlight w:val="none"/>
          <w:lang w:val="zh-CN" w:eastAsia="zh-CN" w:bidi="ar-SA"/>
        </w:rPr>
        <w:t>2.进一步加强预算执行管理</w:t>
      </w:r>
      <w:r>
        <w:rPr>
          <w:rFonts w:hint="eastAsia" w:ascii="宋体" w:hAnsi="宋体" w:eastAsia="仿宋_GB2312" w:cs="Times New Roman"/>
          <w:b w:val="0"/>
          <w:bCs w:val="0"/>
          <w:color w:val="auto"/>
          <w:kern w:val="0"/>
          <w:position w:val="0"/>
          <w:sz w:val="32"/>
          <w:szCs w:val="32"/>
          <w:highlight w:val="none"/>
          <w:lang w:val="zh-CN" w:eastAsia="zh-CN" w:bidi="ar-SA"/>
        </w:rPr>
        <w:t>年初预算编制管理</w:t>
      </w:r>
      <w:r>
        <w:rPr>
          <w:rFonts w:hint="default" w:ascii="宋体" w:hAnsi="宋体" w:eastAsia="仿宋_GB2312" w:cs="Times New Roman"/>
          <w:b w:val="0"/>
          <w:bCs w:val="0"/>
          <w:color w:val="auto"/>
          <w:kern w:val="0"/>
          <w:position w:val="0"/>
          <w:sz w:val="32"/>
          <w:szCs w:val="32"/>
          <w:highlight w:val="none"/>
          <w:lang w:val="zh-CN" w:eastAsia="zh-CN" w:bidi="ar-SA"/>
        </w:rPr>
        <w:t>。加强部门支出专项资金管理和项目前期管理，</w:t>
      </w:r>
      <w:r>
        <w:rPr>
          <w:rFonts w:hint="eastAsia" w:ascii="宋体" w:hAnsi="宋体" w:eastAsia="仿宋_GB2312" w:cs="Times New Roman"/>
          <w:b w:val="0"/>
          <w:bCs w:val="0"/>
          <w:color w:val="auto"/>
          <w:kern w:val="0"/>
          <w:position w:val="0"/>
          <w:sz w:val="32"/>
          <w:szCs w:val="32"/>
          <w:highlight w:val="none"/>
          <w:lang w:val="zh-CN" w:eastAsia="zh-CN" w:bidi="ar-SA"/>
        </w:rPr>
        <w:t>精准编制项目预算同时</w:t>
      </w:r>
      <w:r>
        <w:rPr>
          <w:rFonts w:hint="default" w:ascii="宋体" w:hAnsi="宋体" w:eastAsia="仿宋_GB2312" w:cs="Times New Roman"/>
          <w:b w:val="0"/>
          <w:bCs w:val="0"/>
          <w:color w:val="auto"/>
          <w:kern w:val="0"/>
          <w:position w:val="0"/>
          <w:sz w:val="32"/>
          <w:szCs w:val="32"/>
          <w:highlight w:val="none"/>
          <w:lang w:val="zh-CN" w:eastAsia="zh-CN" w:bidi="ar-SA"/>
        </w:rPr>
        <w:t>加快项目执行进度。</w:t>
      </w:r>
    </w:p>
    <w:p w14:paraId="295DAE2A">
      <w:pPr>
        <w:keepNext w:val="0"/>
        <w:keepLines w:val="0"/>
        <w:pageBreakBefore w:val="0"/>
        <w:widowControl w:val="0"/>
        <w:kinsoku/>
        <w:wordWrap/>
        <w:overflowPunct/>
        <w:topLinePunct w:val="0"/>
        <w:autoSpaceDE/>
        <w:autoSpaceDN/>
        <w:bidi w:val="0"/>
        <w:adjustRightInd w:val="0"/>
        <w:snapToGrid w:val="0"/>
        <w:spacing w:line="590" w:lineRule="exact"/>
        <w:ind w:firstLine="628" w:firstLineChars="200"/>
        <w:contextualSpacing/>
        <w:jc w:val="left"/>
        <w:textAlignment w:val="auto"/>
        <w:outlineLvl w:val="9"/>
        <w:rPr>
          <w:rFonts w:hint="default" w:ascii="宋体" w:hAnsi="宋体" w:eastAsia="仿宋_GB2312" w:cs="Times New Roman"/>
          <w:b w:val="0"/>
          <w:bCs w:val="0"/>
          <w:color w:val="auto"/>
          <w:kern w:val="0"/>
          <w:position w:val="0"/>
          <w:sz w:val="32"/>
          <w:szCs w:val="32"/>
          <w:highlight w:val="none"/>
          <w:lang w:val="en-US" w:eastAsia="zh-CN" w:bidi="ar-SA"/>
        </w:rPr>
      </w:pPr>
    </w:p>
    <w:p w14:paraId="2AA6E8D9">
      <w:pPr>
        <w:keepNext w:val="0"/>
        <w:keepLines w:val="0"/>
        <w:pageBreakBefore w:val="0"/>
        <w:widowControl w:val="0"/>
        <w:kinsoku/>
        <w:wordWrap/>
        <w:overflowPunct/>
        <w:topLinePunct w:val="0"/>
        <w:autoSpaceDE/>
        <w:autoSpaceDN/>
        <w:bidi w:val="0"/>
        <w:spacing w:line="590" w:lineRule="exact"/>
        <w:ind w:firstLine="628" w:firstLineChars="200"/>
        <w:textAlignment w:val="auto"/>
        <w:rPr>
          <w:rFonts w:hint="eastAsia" w:ascii="宋体" w:hAnsi="宋体" w:eastAsia="仿宋_GB2312" w:cs="仿宋_GB2312"/>
          <w:b w:val="0"/>
          <w:bCs w:val="0"/>
          <w:strike w:val="0"/>
          <w:color w:val="auto"/>
          <w:sz w:val="32"/>
          <w:szCs w:val="32"/>
          <w:u w:val="none"/>
          <w:lang w:eastAsia="zh-CN" w:bidi="ar"/>
        </w:rPr>
      </w:pPr>
      <w:r>
        <w:rPr>
          <w:rFonts w:hint="eastAsia" w:ascii="宋体" w:hAnsi="宋体" w:eastAsia="仿宋_GB2312" w:cs="仿宋_GB2312"/>
          <w:b w:val="0"/>
          <w:bCs w:val="0"/>
          <w:color w:val="auto"/>
          <w:kern w:val="0"/>
          <w:sz w:val="32"/>
          <w:szCs w:val="32"/>
          <w:highlight w:val="none"/>
          <w:shd w:val="clear" w:color="auto" w:fill="FFFFFF"/>
          <w:lang w:val="en-US" w:eastAsia="zh-CN"/>
        </w:rPr>
        <w:t>附件：</w:t>
      </w:r>
      <w:r>
        <w:rPr>
          <w:rFonts w:hint="eastAsia" w:ascii="宋体" w:hAnsi="宋体" w:eastAsia="仿宋_GB2312" w:cs="仿宋_GB2312"/>
          <w:b w:val="0"/>
          <w:bCs w:val="0"/>
          <w:strike w:val="0"/>
          <w:color w:val="auto"/>
          <w:sz w:val="32"/>
          <w:szCs w:val="32"/>
          <w:u w:val="none"/>
          <w:lang w:bidi="ar"/>
        </w:rPr>
        <w:t>部门预算项目支出绩效</w:t>
      </w:r>
      <w:r>
        <w:rPr>
          <w:rFonts w:hint="eastAsia" w:ascii="宋体" w:hAnsi="宋体" w:eastAsia="仿宋_GB2312" w:cs="仿宋_GB2312"/>
          <w:b w:val="0"/>
          <w:bCs w:val="0"/>
          <w:strike w:val="0"/>
          <w:color w:val="auto"/>
          <w:sz w:val="32"/>
          <w:szCs w:val="32"/>
          <w:u w:val="none"/>
          <w:lang w:eastAsia="zh-CN" w:bidi="ar"/>
        </w:rPr>
        <w:t>自评</w:t>
      </w:r>
      <w:r>
        <w:rPr>
          <w:rFonts w:hint="eastAsia" w:ascii="宋体" w:hAnsi="宋体" w:eastAsia="仿宋_GB2312" w:cs="仿宋_GB2312"/>
          <w:b w:val="0"/>
          <w:bCs w:val="0"/>
          <w:strike w:val="0"/>
          <w:color w:val="auto"/>
          <w:sz w:val="32"/>
          <w:szCs w:val="32"/>
          <w:u w:val="none"/>
          <w:lang w:bidi="ar"/>
        </w:rPr>
        <w:t>表</w:t>
      </w:r>
      <w:r>
        <w:rPr>
          <w:rFonts w:hint="eastAsia" w:ascii="宋体" w:hAnsi="宋体" w:eastAsia="仿宋_GB2312" w:cs="仿宋_GB2312"/>
          <w:b w:val="0"/>
          <w:bCs w:val="0"/>
          <w:strike w:val="0"/>
          <w:color w:val="auto"/>
          <w:sz w:val="32"/>
          <w:szCs w:val="32"/>
          <w:u w:val="none"/>
          <w:lang w:eastAsia="zh-CN" w:bidi="ar"/>
        </w:rPr>
        <w:t>（202</w:t>
      </w:r>
      <w:r>
        <w:rPr>
          <w:rFonts w:hint="eastAsia" w:ascii="宋体" w:hAnsi="宋体" w:eastAsia="仿宋_GB2312" w:cs="仿宋_GB2312"/>
          <w:b w:val="0"/>
          <w:bCs w:val="0"/>
          <w:strike w:val="0"/>
          <w:color w:val="auto"/>
          <w:sz w:val="32"/>
          <w:szCs w:val="32"/>
          <w:u w:val="none"/>
          <w:lang w:val="en-US" w:eastAsia="zh-CN" w:bidi="ar"/>
        </w:rPr>
        <w:t>4</w:t>
      </w:r>
      <w:r>
        <w:rPr>
          <w:rFonts w:hint="eastAsia" w:ascii="宋体" w:hAnsi="宋体" w:eastAsia="仿宋_GB2312" w:cs="仿宋_GB2312"/>
          <w:b w:val="0"/>
          <w:bCs w:val="0"/>
          <w:strike w:val="0"/>
          <w:color w:val="auto"/>
          <w:sz w:val="32"/>
          <w:szCs w:val="32"/>
          <w:u w:val="none"/>
          <w:lang w:eastAsia="zh-CN" w:bidi="ar"/>
        </w:rPr>
        <w:t>年度）</w:t>
      </w:r>
    </w:p>
    <w:p w14:paraId="465BE222">
      <w:pPr>
        <w:pStyle w:val="25"/>
        <w:keepNext w:val="0"/>
        <w:keepLines w:val="0"/>
        <w:pageBreakBefore w:val="0"/>
        <w:widowControl w:val="0"/>
        <w:kinsoku/>
        <w:wordWrap/>
        <w:overflowPunct/>
        <w:topLinePunct w:val="0"/>
        <w:autoSpaceDE/>
        <w:autoSpaceDN/>
        <w:bidi w:val="0"/>
        <w:adjustRightInd/>
        <w:snapToGrid/>
        <w:spacing w:before="0" w:after="0" w:line="590" w:lineRule="exact"/>
        <w:textAlignment w:val="auto"/>
        <w:rPr>
          <w:rFonts w:hint="eastAsia" w:ascii="宋体" w:hAnsi="宋体" w:eastAsia="仿宋_GB2312" w:cs="仿宋_GB2312"/>
          <w:b w:val="0"/>
          <w:bCs w:val="0"/>
          <w:color w:val="auto"/>
          <w:sz w:val="32"/>
          <w:szCs w:val="32"/>
          <w:lang w:val="en-US" w:eastAsia="zh-CN"/>
        </w:rPr>
      </w:pPr>
    </w:p>
    <w:p w14:paraId="283C911E">
      <w:pPr>
        <w:keepNext w:val="0"/>
        <w:keepLines w:val="0"/>
        <w:pageBreakBefore w:val="0"/>
        <w:widowControl w:val="0"/>
        <w:kinsoku/>
        <w:overflowPunct/>
        <w:topLinePunct w:val="0"/>
        <w:autoSpaceDE/>
        <w:autoSpaceDN/>
        <w:bidi w:val="0"/>
        <w:spacing w:line="590" w:lineRule="exact"/>
        <w:textAlignment w:val="auto"/>
        <w:rPr>
          <w:rFonts w:hint="eastAsia"/>
          <w:lang w:val="en-US" w:eastAsia="zh-CN"/>
        </w:rPr>
      </w:pPr>
    </w:p>
    <w:p w14:paraId="15AABEE0">
      <w:pPr>
        <w:pStyle w:val="14"/>
        <w:keepNext w:val="0"/>
        <w:keepLines w:val="0"/>
        <w:pageBreakBefore w:val="0"/>
        <w:widowControl w:val="0"/>
        <w:kinsoku/>
        <w:wordWrap w:val="0"/>
        <w:overflowPunct/>
        <w:topLinePunct w:val="0"/>
        <w:autoSpaceDE/>
        <w:autoSpaceDN/>
        <w:bidi w:val="0"/>
        <w:spacing w:after="0" w:line="590" w:lineRule="exact"/>
        <w:ind w:left="0" w:leftChars="0" w:firstLine="0" w:firstLineChars="0"/>
        <w:jc w:val="right"/>
        <w:textAlignment w:val="auto"/>
        <w:rPr>
          <w:rFonts w:hint="eastAsia" w:ascii="宋体" w:hAnsi="宋体" w:eastAsia="仿宋_GB2312" w:cs="仿宋_GB2312"/>
          <w:color w:val="auto"/>
          <w:sz w:val="32"/>
          <w:szCs w:val="32"/>
          <w:lang w:val="en-US" w:eastAsia="zh-CN"/>
        </w:rPr>
        <w:sectPr>
          <w:footerReference r:id="rId11" w:type="default"/>
          <w:pgSz w:w="11907" w:h="16840"/>
          <w:pgMar w:top="2098" w:right="1474" w:bottom="1247" w:left="1587" w:header="851" w:footer="1247" w:gutter="0"/>
          <w:pgBorders>
            <w:top w:val="none" w:sz="0" w:space="0"/>
            <w:left w:val="none" w:sz="0" w:space="0"/>
            <w:bottom w:val="none" w:sz="0" w:space="0"/>
            <w:right w:val="none" w:sz="0" w:space="0"/>
          </w:pgBorders>
          <w:pgNumType w:fmt="decimal"/>
          <w:cols w:space="720" w:num="1"/>
          <w:rtlGutter w:val="0"/>
          <w:docGrid w:type="linesAndChars" w:linePitch="577" w:charSpace="-1259"/>
        </w:sectPr>
      </w:pPr>
      <w:r>
        <w:rPr>
          <w:rFonts w:hint="eastAsia" w:ascii="宋体" w:hAnsi="宋体" w:eastAsia="仿宋_GB2312" w:cs="仿宋_GB2312"/>
          <w:color w:val="auto"/>
          <w:sz w:val="32"/>
          <w:szCs w:val="32"/>
          <w:lang w:val="en-US" w:eastAsia="zh-CN"/>
        </w:rPr>
        <w:t xml:space="preserve">      </w:t>
      </w:r>
    </w:p>
    <w:p w14:paraId="0E5AFA81">
      <w:pPr>
        <w:pStyle w:val="25"/>
        <w:keepNext w:val="0"/>
        <w:keepLines w:val="0"/>
        <w:pageBreakBefore w:val="0"/>
        <w:widowControl w:val="0"/>
        <w:kinsoku/>
        <w:wordWrap/>
        <w:overflowPunct/>
        <w:topLinePunct w:val="0"/>
        <w:autoSpaceDE/>
        <w:autoSpaceDN/>
        <w:bidi w:val="0"/>
        <w:adjustRightInd/>
        <w:snapToGrid w:val="0"/>
        <w:spacing w:before="291" w:beforeLines="50" w:after="291" w:afterLines="50" w:line="576" w:lineRule="exact"/>
        <w:jc w:val="center"/>
        <w:textAlignment w:val="auto"/>
        <w:rPr>
          <w:rFonts w:hint="eastAsia" w:ascii="方正小标宋简体" w:hAnsi="方正小标宋简体" w:eastAsia="方正小标宋简体" w:cs="方正小标宋简体"/>
          <w:b w:val="0"/>
          <w:bCs w:val="0"/>
          <w:strike w:val="0"/>
          <w:color w:val="auto"/>
          <w:sz w:val="44"/>
          <w:szCs w:val="44"/>
          <w:u w:val="none"/>
          <w:lang w:eastAsia="zh-CN" w:bidi="ar"/>
        </w:rPr>
      </w:pPr>
      <w:r>
        <w:rPr>
          <w:rFonts w:hint="eastAsia" w:ascii="方正小标宋简体" w:hAnsi="方正小标宋简体" w:eastAsia="方正小标宋简体" w:cs="方正小标宋简体"/>
          <w:b w:val="0"/>
          <w:bCs w:val="0"/>
          <w:strike w:val="0"/>
          <w:color w:val="auto"/>
          <w:sz w:val="44"/>
          <w:szCs w:val="44"/>
          <w:u w:val="none"/>
          <w:lang w:bidi="ar"/>
        </w:rPr>
        <w:t>部门预算项目支出绩效</w:t>
      </w:r>
      <w:r>
        <w:rPr>
          <w:rFonts w:hint="eastAsia" w:ascii="方正小标宋简体" w:hAnsi="方正小标宋简体" w:eastAsia="方正小标宋简体" w:cs="方正小标宋简体"/>
          <w:b w:val="0"/>
          <w:bCs w:val="0"/>
          <w:strike w:val="0"/>
          <w:color w:val="auto"/>
          <w:sz w:val="44"/>
          <w:szCs w:val="44"/>
          <w:u w:val="none"/>
          <w:lang w:eastAsia="zh-CN" w:bidi="ar"/>
        </w:rPr>
        <w:t>自评</w:t>
      </w:r>
      <w:r>
        <w:rPr>
          <w:rFonts w:hint="eastAsia" w:ascii="方正小标宋简体" w:hAnsi="方正小标宋简体" w:eastAsia="方正小标宋简体" w:cs="方正小标宋简体"/>
          <w:b w:val="0"/>
          <w:bCs w:val="0"/>
          <w:strike w:val="0"/>
          <w:color w:val="auto"/>
          <w:sz w:val="44"/>
          <w:szCs w:val="44"/>
          <w:u w:val="none"/>
          <w:lang w:bidi="ar"/>
        </w:rPr>
        <w:t>表</w:t>
      </w:r>
      <w:r>
        <w:rPr>
          <w:rFonts w:hint="eastAsia" w:ascii="方正小标宋简体" w:hAnsi="方正小标宋简体" w:eastAsia="方正小标宋简体" w:cs="方正小标宋简体"/>
          <w:b w:val="0"/>
          <w:bCs w:val="0"/>
          <w:strike w:val="0"/>
          <w:color w:val="auto"/>
          <w:sz w:val="44"/>
          <w:szCs w:val="44"/>
          <w:u w:val="none"/>
          <w:lang w:eastAsia="zh-CN" w:bidi="ar"/>
        </w:rPr>
        <w:t>（202</w:t>
      </w:r>
      <w:r>
        <w:rPr>
          <w:rFonts w:hint="eastAsia" w:ascii="方正小标宋简体" w:hAnsi="方正小标宋简体" w:eastAsia="方正小标宋简体" w:cs="方正小标宋简体"/>
          <w:b w:val="0"/>
          <w:bCs w:val="0"/>
          <w:strike w:val="0"/>
          <w:color w:val="auto"/>
          <w:sz w:val="44"/>
          <w:szCs w:val="44"/>
          <w:u w:val="none"/>
          <w:lang w:val="en-US" w:eastAsia="zh-CN" w:bidi="ar"/>
        </w:rPr>
        <w:t>4</w:t>
      </w:r>
      <w:r>
        <w:rPr>
          <w:rFonts w:hint="eastAsia" w:ascii="方正小标宋简体" w:hAnsi="方正小标宋简体" w:eastAsia="方正小标宋简体" w:cs="方正小标宋简体"/>
          <w:b w:val="0"/>
          <w:bCs w:val="0"/>
          <w:strike w:val="0"/>
          <w:color w:val="auto"/>
          <w:sz w:val="44"/>
          <w:szCs w:val="44"/>
          <w:u w:val="none"/>
          <w:lang w:eastAsia="zh-CN" w:bidi="ar"/>
        </w:rPr>
        <w:t>年度）</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2233"/>
        <w:gridCol w:w="1920"/>
        <w:gridCol w:w="2454"/>
        <w:gridCol w:w="1100"/>
        <w:gridCol w:w="883"/>
        <w:gridCol w:w="1046"/>
        <w:gridCol w:w="1046"/>
        <w:gridCol w:w="665"/>
        <w:gridCol w:w="734"/>
        <w:gridCol w:w="2526"/>
      </w:tblGrid>
      <w:tr w14:paraId="78FD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970" w:type="pct"/>
            <w:gridSpan w:val="2"/>
            <w:tcBorders>
              <w:top w:val="single" w:color="000000" w:sz="4" w:space="0"/>
              <w:left w:val="single" w:color="000000" w:sz="4" w:space="0"/>
              <w:bottom w:val="single" w:color="000000" w:sz="4" w:space="0"/>
              <w:right w:val="single" w:color="000000" w:sz="4" w:space="0"/>
            </w:tcBorders>
            <w:noWrap w:val="0"/>
            <w:vAlign w:val="center"/>
          </w:tcPr>
          <w:p w14:paraId="790743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项目名称</w:t>
            </w:r>
          </w:p>
        </w:tc>
        <w:tc>
          <w:tcPr>
            <w:tcW w:w="4029" w:type="pct"/>
            <w:gridSpan w:val="9"/>
            <w:tcBorders>
              <w:top w:val="single" w:color="000000" w:sz="4" w:space="0"/>
              <w:left w:val="single" w:color="000000" w:sz="4" w:space="0"/>
              <w:bottom w:val="single" w:color="000000" w:sz="4" w:space="0"/>
              <w:right w:val="single" w:color="000000" w:sz="4" w:space="0"/>
            </w:tcBorders>
            <w:noWrap w:val="0"/>
            <w:vAlign w:val="center"/>
          </w:tcPr>
          <w:p w14:paraId="34FC1E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51080021T000000050601-各驻点招商分局工作经费及房租</w:t>
            </w:r>
          </w:p>
        </w:tc>
      </w:tr>
      <w:tr w14:paraId="4ADA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970" w:type="pct"/>
            <w:gridSpan w:val="2"/>
            <w:tcBorders>
              <w:top w:val="single" w:color="000000" w:sz="4" w:space="0"/>
              <w:left w:val="single" w:color="000000" w:sz="4" w:space="0"/>
              <w:bottom w:val="single" w:color="000000" w:sz="4" w:space="0"/>
              <w:right w:val="single" w:color="000000" w:sz="4" w:space="0"/>
            </w:tcBorders>
            <w:noWrap w:val="0"/>
            <w:vAlign w:val="center"/>
          </w:tcPr>
          <w:p w14:paraId="74BA7B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主管部门</w:t>
            </w:r>
          </w:p>
        </w:tc>
        <w:tc>
          <w:tcPr>
            <w:tcW w:w="2410" w:type="pct"/>
            <w:gridSpan w:val="5"/>
            <w:tcBorders>
              <w:top w:val="single" w:color="000000" w:sz="4" w:space="0"/>
              <w:left w:val="single" w:color="000000" w:sz="4" w:space="0"/>
              <w:bottom w:val="single" w:color="000000" w:sz="4" w:space="0"/>
              <w:right w:val="single" w:color="000000" w:sz="4" w:space="0"/>
            </w:tcBorders>
            <w:noWrap w:val="0"/>
            <w:vAlign w:val="center"/>
          </w:tcPr>
          <w:p w14:paraId="4F1ECE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广元市经济合作和外事局部门</w:t>
            </w:r>
          </w:p>
        </w:tc>
        <w:tc>
          <w:tcPr>
            <w:tcW w:w="340" w:type="pct"/>
            <w:tcBorders>
              <w:top w:val="nil"/>
              <w:left w:val="nil"/>
              <w:bottom w:val="nil"/>
              <w:right w:val="nil"/>
            </w:tcBorders>
            <w:noWrap w:val="0"/>
            <w:vAlign w:val="center"/>
          </w:tcPr>
          <w:p w14:paraId="1CA952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实施单位（盖章）</w:t>
            </w:r>
          </w:p>
        </w:tc>
        <w:tc>
          <w:tcPr>
            <w:tcW w:w="1278" w:type="pct"/>
            <w:gridSpan w:val="3"/>
            <w:tcBorders>
              <w:top w:val="single" w:color="000000" w:sz="4" w:space="0"/>
              <w:left w:val="single" w:color="000000" w:sz="4" w:space="0"/>
              <w:bottom w:val="single" w:color="000000" w:sz="4" w:space="0"/>
              <w:right w:val="single" w:color="000000" w:sz="4" w:space="0"/>
            </w:tcBorders>
            <w:noWrap w:val="0"/>
            <w:vAlign w:val="center"/>
          </w:tcPr>
          <w:p w14:paraId="5FA2E2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广元市经济合作和外事局</w:t>
            </w:r>
          </w:p>
        </w:tc>
      </w:tr>
      <w:tr w14:paraId="0F39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3FA69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38E0B4ED">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1.项目年度目标完成情况</w:t>
            </w:r>
          </w:p>
        </w:tc>
        <w:tc>
          <w:tcPr>
            <w:tcW w:w="2410" w:type="pct"/>
            <w:gridSpan w:val="5"/>
            <w:tcBorders>
              <w:top w:val="single" w:color="000000" w:sz="4" w:space="0"/>
              <w:left w:val="single" w:color="000000" w:sz="4" w:space="0"/>
              <w:bottom w:val="single" w:color="000000" w:sz="4" w:space="0"/>
              <w:right w:val="single" w:color="000000" w:sz="4" w:space="0"/>
            </w:tcBorders>
            <w:noWrap w:val="0"/>
            <w:vAlign w:val="center"/>
          </w:tcPr>
          <w:p w14:paraId="2B8F20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项目年度目标</w:t>
            </w:r>
          </w:p>
        </w:tc>
        <w:tc>
          <w:tcPr>
            <w:tcW w:w="1618" w:type="pct"/>
            <w:gridSpan w:val="4"/>
            <w:tcBorders>
              <w:top w:val="single" w:color="000000" w:sz="4" w:space="0"/>
              <w:left w:val="single" w:color="000000" w:sz="4" w:space="0"/>
              <w:bottom w:val="single" w:color="000000" w:sz="4" w:space="0"/>
              <w:right w:val="single" w:color="000000" w:sz="4" w:space="0"/>
            </w:tcBorders>
            <w:noWrap w:val="0"/>
            <w:vAlign w:val="center"/>
          </w:tcPr>
          <w:p w14:paraId="243C9A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年度目标完成情况</w:t>
            </w:r>
          </w:p>
        </w:tc>
      </w:tr>
      <w:tr w14:paraId="041A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43D9C1">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4001E8">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宋体" w:eastAsia="仿宋_GB2312" w:cs="仿宋_GB2312"/>
                <w:i w:val="0"/>
                <w:iCs w:val="0"/>
                <w:color w:val="000000"/>
                <w:sz w:val="18"/>
                <w:szCs w:val="18"/>
                <w:u w:val="none"/>
              </w:rPr>
            </w:pPr>
          </w:p>
        </w:tc>
        <w:tc>
          <w:tcPr>
            <w:tcW w:w="2410" w:type="pct"/>
            <w:gridSpan w:val="5"/>
            <w:tcBorders>
              <w:top w:val="single" w:color="000000" w:sz="4" w:space="0"/>
              <w:left w:val="single" w:color="000000" w:sz="4" w:space="0"/>
              <w:bottom w:val="single" w:color="000000" w:sz="4" w:space="0"/>
              <w:right w:val="single" w:color="000000" w:sz="4" w:space="0"/>
            </w:tcBorders>
            <w:noWrap w:val="0"/>
            <w:vAlign w:val="center"/>
          </w:tcPr>
          <w:p w14:paraId="2554DE8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市经济合作和外事局浙江、广东、山东、福建、重庆5个驻外分局通过积极有效工作，为全市决战决胜整体连片贫困到同步全面小康跨越、加快建设川陕甘结合部区域中心城市</w:t>
            </w:r>
          </w:p>
        </w:tc>
        <w:tc>
          <w:tcPr>
            <w:tcW w:w="1618" w:type="pct"/>
            <w:gridSpan w:val="4"/>
            <w:tcBorders>
              <w:top w:val="single" w:color="000000" w:sz="4" w:space="0"/>
              <w:left w:val="single" w:color="000000" w:sz="4" w:space="0"/>
              <w:bottom w:val="single" w:color="000000" w:sz="4" w:space="0"/>
              <w:right w:val="single" w:color="000000" w:sz="4" w:space="0"/>
            </w:tcBorders>
            <w:noWrap w:val="0"/>
            <w:vAlign w:val="center"/>
          </w:tcPr>
          <w:p w14:paraId="6502621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0"/>
                <w:kern w:val="0"/>
                <w:sz w:val="18"/>
                <w:szCs w:val="18"/>
                <w:u w:val="none"/>
                <w:lang w:val="en-US" w:eastAsia="zh-CN" w:bidi="ar"/>
              </w:rPr>
              <w:t>任务目标已完成</w:t>
            </w:r>
          </w:p>
        </w:tc>
      </w:tr>
      <w:tr w14:paraId="41B9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8ECA5B">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8863CD4">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6"/>
                <w:kern w:val="0"/>
                <w:sz w:val="18"/>
                <w:szCs w:val="18"/>
                <w:lang w:val="en-US" w:eastAsia="zh-CN" w:bidi="ar"/>
              </w:rPr>
              <w:t>2.</w:t>
            </w:r>
            <w:r>
              <w:rPr>
                <w:rFonts w:hint="eastAsia" w:ascii="仿宋_GB2312" w:hAnsi="宋体" w:eastAsia="仿宋_GB2312" w:cs="仿宋_GB2312"/>
                <w:i w:val="0"/>
                <w:iCs w:val="0"/>
                <w:color w:val="000000"/>
                <w:spacing w:val="-6"/>
                <w:kern w:val="0"/>
                <w:sz w:val="18"/>
                <w:szCs w:val="18"/>
                <w:u w:val="none"/>
                <w:lang w:val="en-US" w:eastAsia="zh-CN" w:bidi="ar"/>
              </w:rPr>
              <w:t>项目实施内容及过程概述</w:t>
            </w:r>
          </w:p>
        </w:tc>
        <w:tc>
          <w:tcPr>
            <w:tcW w:w="4029" w:type="pct"/>
            <w:gridSpan w:val="9"/>
            <w:tcBorders>
              <w:top w:val="single" w:color="000000" w:sz="4" w:space="0"/>
              <w:left w:val="single" w:color="000000" w:sz="4" w:space="0"/>
              <w:bottom w:val="single" w:color="000000" w:sz="4" w:space="0"/>
              <w:right w:val="single" w:color="000000" w:sz="4" w:space="0"/>
            </w:tcBorders>
            <w:noWrap w:val="0"/>
            <w:vAlign w:val="center"/>
          </w:tcPr>
          <w:p w14:paraId="25AB31F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r>
      <w:tr w14:paraId="349A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BB241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6B668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1B9C3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4D43B8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调整后预算数</w:t>
            </w:r>
          </w:p>
        </w:tc>
        <w:tc>
          <w:tcPr>
            <w:tcW w:w="986" w:type="pct"/>
            <w:gridSpan w:val="3"/>
            <w:tcBorders>
              <w:top w:val="single" w:color="000000" w:sz="4" w:space="0"/>
              <w:left w:val="single" w:color="000000" w:sz="4" w:space="0"/>
              <w:bottom w:val="single" w:color="000000" w:sz="4" w:space="0"/>
              <w:right w:val="single" w:color="000000" w:sz="4" w:space="0"/>
            </w:tcBorders>
            <w:noWrap w:val="0"/>
            <w:vAlign w:val="center"/>
          </w:tcPr>
          <w:p w14:paraId="796FC1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预算执行数</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3530BF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预算</w:t>
            </w:r>
          </w:p>
          <w:p w14:paraId="78696C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执行率</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2C34FA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权重</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3DDB1E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1E6860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原因</w:t>
            </w:r>
          </w:p>
        </w:tc>
      </w:tr>
      <w:tr w14:paraId="7BAA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99F946">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C89E2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7634C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350.00</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55A7A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350.00</w:t>
            </w:r>
          </w:p>
        </w:tc>
        <w:tc>
          <w:tcPr>
            <w:tcW w:w="986" w:type="pct"/>
            <w:gridSpan w:val="3"/>
            <w:tcBorders>
              <w:top w:val="single" w:color="000000" w:sz="4" w:space="0"/>
              <w:left w:val="single" w:color="000000" w:sz="4" w:space="0"/>
              <w:bottom w:val="single" w:color="000000" w:sz="4" w:space="0"/>
              <w:right w:val="single" w:color="000000" w:sz="4" w:space="0"/>
            </w:tcBorders>
            <w:noWrap w:val="0"/>
            <w:vAlign w:val="center"/>
          </w:tcPr>
          <w:p w14:paraId="279D02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207.12</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00BF1F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59.18%</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147204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2E1059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822" w:type="pct"/>
            <w:vMerge w:val="restart"/>
            <w:tcBorders>
              <w:top w:val="single" w:color="000000" w:sz="4" w:space="0"/>
              <w:left w:val="single" w:color="000000" w:sz="4" w:space="0"/>
              <w:bottom w:val="single" w:color="000000" w:sz="4" w:space="0"/>
              <w:right w:val="single" w:color="000000" w:sz="4" w:space="0"/>
            </w:tcBorders>
            <w:noWrap w:val="0"/>
            <w:vAlign w:val="center"/>
          </w:tcPr>
          <w:p w14:paraId="23C6BC3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1.预算执行率=预算执行数/调</w:t>
            </w:r>
            <w:r>
              <w:rPr>
                <w:rFonts w:hint="eastAsia" w:ascii="仿宋_GB2312" w:hAnsi="宋体" w:eastAsia="仿宋_GB2312" w:cs="仿宋_GB2312"/>
                <w:i w:val="0"/>
                <w:iCs w:val="0"/>
                <w:color w:val="000000"/>
                <w:spacing w:val="-6"/>
                <w:kern w:val="0"/>
                <w:sz w:val="18"/>
                <w:szCs w:val="18"/>
                <w:u w:val="none"/>
                <w:lang w:val="en-US" w:eastAsia="zh-CN" w:bidi="ar"/>
              </w:rPr>
              <w:t>整后预算数，预算执行率未达到90%的需说明原因（100字以内）</w:t>
            </w:r>
            <w:r>
              <w:rPr>
                <w:rFonts w:hint="eastAsia" w:ascii="仿宋_GB2312" w:hAnsi="宋体" w:eastAsia="仿宋_GB2312" w:cs="仿宋_GB2312"/>
                <w:i w:val="0"/>
                <w:iCs w:val="0"/>
                <w:color w:val="000000"/>
                <w:kern w:val="0"/>
                <w:sz w:val="18"/>
                <w:szCs w:val="18"/>
                <w:u w:val="none"/>
                <w:lang w:val="en-US" w:eastAsia="zh-CN" w:bidi="ar"/>
              </w:rPr>
              <w:t>;</w:t>
            </w:r>
          </w:p>
          <w:p w14:paraId="4705193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2.年中发生预算调整的（追加或调减）,应单独说明理由；</w:t>
            </w:r>
          </w:p>
          <w:p w14:paraId="71E7AC6D">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3.其他资金包括：社会投入资金、银行贷款。</w:t>
            </w:r>
          </w:p>
        </w:tc>
      </w:tr>
      <w:tr w14:paraId="6703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546C28">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F9E97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00003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350.00</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521F03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350.00</w:t>
            </w:r>
          </w:p>
        </w:tc>
        <w:tc>
          <w:tcPr>
            <w:tcW w:w="986" w:type="pct"/>
            <w:gridSpan w:val="3"/>
            <w:tcBorders>
              <w:top w:val="single" w:color="000000" w:sz="4" w:space="0"/>
              <w:left w:val="single" w:color="000000" w:sz="4" w:space="0"/>
              <w:bottom w:val="single" w:color="000000" w:sz="4" w:space="0"/>
              <w:right w:val="single" w:color="000000" w:sz="4" w:space="0"/>
            </w:tcBorders>
            <w:noWrap w:val="0"/>
            <w:vAlign w:val="center"/>
          </w:tcPr>
          <w:p w14:paraId="08187C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207.12</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50303C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59.18%</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7D8BC0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13334D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81606F">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宋体" w:eastAsia="仿宋_GB2312" w:cs="仿宋_GB2312"/>
                <w:i w:val="0"/>
                <w:iCs w:val="0"/>
                <w:color w:val="000000"/>
                <w:sz w:val="18"/>
                <w:szCs w:val="18"/>
                <w:u w:val="none"/>
              </w:rPr>
            </w:pPr>
          </w:p>
        </w:tc>
      </w:tr>
      <w:tr w14:paraId="36C9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235D7D">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3CF56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10F5B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FFB4D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986" w:type="pct"/>
            <w:gridSpan w:val="3"/>
            <w:tcBorders>
              <w:top w:val="single" w:color="000000" w:sz="4" w:space="0"/>
              <w:left w:val="single" w:color="000000" w:sz="4" w:space="0"/>
              <w:bottom w:val="single" w:color="000000" w:sz="4" w:space="0"/>
              <w:right w:val="single" w:color="000000" w:sz="4" w:space="0"/>
            </w:tcBorders>
            <w:noWrap w:val="0"/>
            <w:vAlign w:val="center"/>
          </w:tcPr>
          <w:p w14:paraId="6C7E50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17EDFA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5F6A10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6618EA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7526B8">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宋体" w:eastAsia="仿宋_GB2312" w:cs="仿宋_GB2312"/>
                <w:i w:val="0"/>
                <w:iCs w:val="0"/>
                <w:color w:val="000000"/>
                <w:sz w:val="18"/>
                <w:szCs w:val="18"/>
                <w:u w:val="none"/>
              </w:rPr>
            </w:pPr>
          </w:p>
        </w:tc>
      </w:tr>
      <w:tr w14:paraId="1BF3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36C09E">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4CB33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0BFF5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1FDD4C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986" w:type="pct"/>
            <w:gridSpan w:val="3"/>
            <w:tcBorders>
              <w:top w:val="single" w:color="000000" w:sz="4" w:space="0"/>
              <w:left w:val="single" w:color="000000" w:sz="4" w:space="0"/>
              <w:bottom w:val="single" w:color="000000" w:sz="4" w:space="0"/>
              <w:right w:val="single" w:color="000000" w:sz="4" w:space="0"/>
            </w:tcBorders>
            <w:noWrap w:val="0"/>
            <w:vAlign w:val="center"/>
          </w:tcPr>
          <w:p w14:paraId="67149E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60E879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462981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0EBC5E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712465">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宋体" w:eastAsia="仿宋_GB2312" w:cs="仿宋_GB2312"/>
                <w:i w:val="0"/>
                <w:iCs w:val="0"/>
                <w:color w:val="000000"/>
                <w:sz w:val="18"/>
                <w:szCs w:val="18"/>
                <w:u w:val="none"/>
              </w:rPr>
            </w:pPr>
          </w:p>
        </w:tc>
      </w:tr>
      <w:tr w14:paraId="5D50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B8CBE">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95A4B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30BF36F">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FE86EE6">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986" w:type="pct"/>
            <w:gridSpan w:val="3"/>
            <w:tcBorders>
              <w:top w:val="single" w:color="000000" w:sz="4" w:space="0"/>
              <w:left w:val="single" w:color="000000" w:sz="4" w:space="0"/>
              <w:bottom w:val="single" w:color="000000" w:sz="4" w:space="0"/>
              <w:right w:val="single" w:color="000000" w:sz="4" w:space="0"/>
            </w:tcBorders>
            <w:noWrap w:val="0"/>
            <w:vAlign w:val="center"/>
          </w:tcPr>
          <w:p w14:paraId="6342FF74">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7606F63B">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28425C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55CB81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EEF28F">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宋体" w:eastAsia="仿宋_GB2312" w:cs="仿宋_GB2312"/>
                <w:i w:val="0"/>
                <w:iCs w:val="0"/>
                <w:color w:val="000000"/>
                <w:sz w:val="18"/>
                <w:szCs w:val="18"/>
                <w:u w:val="none"/>
              </w:rPr>
            </w:pPr>
          </w:p>
        </w:tc>
      </w:tr>
      <w:tr w14:paraId="6743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D3AA5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DFD67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8EDFB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4DD68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三级指标</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8B5B5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指标性质</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692EB4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指标值</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6D1E6A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度量单位</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7E8D91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完成值</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11E7EF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权重</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0EAAB9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3BC6D0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未完成原因分析</w:t>
            </w:r>
          </w:p>
        </w:tc>
      </w:tr>
      <w:tr w14:paraId="4C86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2D8193">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00F90E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44BE0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3B48E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带企业来广考察次数</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1DFEC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06F355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273</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28E02D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次</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77C5F9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298</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3E0157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06EF86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643FF5F5">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r>
      <w:tr w14:paraId="6CF0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8D8EB1">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6B453F">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26AE1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8581D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11"/>
                <w:kern w:val="0"/>
                <w:sz w:val="18"/>
                <w:szCs w:val="18"/>
                <w:u w:val="none"/>
                <w:lang w:val="en-US" w:eastAsia="zh-CN" w:bidi="ar"/>
              </w:rPr>
              <w:t>推动项目落户广元，促进经济发展</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E9FC7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509F9F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37E613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级</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7A33D8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0361F4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546F3E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4013AFB4">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r>
      <w:tr w14:paraId="20E9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B10ABB">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13BF02">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F7E10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9908A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完成招商任务时间</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5B27B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1F3699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1D0893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496621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11D41D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76942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7F2DF5D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r>
      <w:tr w14:paraId="79D3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6E38B0">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53FC9C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8E9B3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经济效益指标</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0F26C6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分局直引项目</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CC50B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2B3A3D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39</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344492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775DFA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37</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05DC98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54C761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1319910E">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r>
      <w:tr w14:paraId="22DF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A26F9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20C491">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9EA0E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7A3087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拜访企业次数</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45604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5CCC76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624</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7E808B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次</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78FA00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630</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4C0462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620AD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7D1EFD58">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r>
      <w:tr w14:paraId="12FC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7EDD75">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B5870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A7297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11"/>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318B50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驻外招商干部满意度</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B1107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3153DC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08FDF1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6C21E1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304017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54E59A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3AE1D56A">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r>
      <w:tr w14:paraId="6F75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6D708A">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74054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成本指标</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733AB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noWrap w:val="0"/>
            <w:vAlign w:val="center"/>
          </w:tcPr>
          <w:p w14:paraId="2555D7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11"/>
                <w:kern w:val="0"/>
                <w:sz w:val="18"/>
                <w:szCs w:val="18"/>
                <w:u w:val="none"/>
                <w:lang w:val="en-US" w:eastAsia="zh-CN" w:bidi="ar"/>
              </w:rPr>
              <w:t>驻外分局开展招商工作所需经费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A4518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noWrap w:val="0"/>
            <w:vAlign w:val="center"/>
          </w:tcPr>
          <w:p w14:paraId="344AE6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350</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55069E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万元</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73322A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207.12</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6F3FEC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47B383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4CE0AF11">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r>
      <w:tr w14:paraId="33C68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3721" w:type="pct"/>
            <w:gridSpan w:val="8"/>
            <w:tcBorders>
              <w:top w:val="single" w:color="000000" w:sz="4" w:space="0"/>
              <w:left w:val="single" w:color="000000" w:sz="4" w:space="0"/>
              <w:bottom w:val="single" w:color="000000" w:sz="4" w:space="0"/>
              <w:right w:val="single" w:color="000000" w:sz="4" w:space="0"/>
            </w:tcBorders>
            <w:noWrap w:val="0"/>
            <w:vAlign w:val="center"/>
          </w:tcPr>
          <w:p w14:paraId="4602DD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合计</w:t>
            </w:r>
          </w:p>
        </w:tc>
        <w:tc>
          <w:tcPr>
            <w:tcW w:w="216" w:type="pct"/>
            <w:tcBorders>
              <w:top w:val="single" w:color="000000" w:sz="4" w:space="0"/>
              <w:left w:val="single" w:color="000000" w:sz="4" w:space="0"/>
              <w:bottom w:val="single" w:color="000000" w:sz="4" w:space="0"/>
              <w:right w:val="single" w:color="000000" w:sz="4" w:space="0"/>
            </w:tcBorders>
            <w:noWrap w:val="0"/>
            <w:vAlign w:val="center"/>
          </w:tcPr>
          <w:p w14:paraId="0CF987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C5BF6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98</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2742C72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r>
      <w:tr w14:paraId="73EE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tcBorders>
              <w:top w:val="single" w:color="000000" w:sz="4" w:space="0"/>
              <w:left w:val="single" w:color="000000" w:sz="4" w:space="0"/>
              <w:bottom w:val="single" w:color="000000" w:sz="4" w:space="0"/>
              <w:right w:val="single" w:color="000000" w:sz="4" w:space="0"/>
            </w:tcBorders>
            <w:noWrap w:val="0"/>
            <w:vAlign w:val="center"/>
          </w:tcPr>
          <w:p w14:paraId="726BB9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rPr>
            </w:pPr>
            <w:r>
              <w:rPr>
                <w:rFonts w:hint="eastAsia" w:ascii="仿宋_GB2312" w:hAnsi="宋体" w:eastAsia="仿宋_GB2312" w:cs="仿宋_GB2312"/>
                <w:i w:val="0"/>
                <w:iCs w:val="0"/>
                <w:color w:val="000000"/>
                <w:spacing w:val="-23"/>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noWrap w:val="0"/>
            <w:vAlign w:val="center"/>
          </w:tcPr>
          <w:p w14:paraId="002B185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2024年我单位各驻点招商分局工作经费及房租项目专项资金支出绩效自查自评结果良好，全年基本支出保证了单位驻外招商工作的正常运转。</w:t>
            </w:r>
          </w:p>
        </w:tc>
      </w:tr>
      <w:tr w14:paraId="106E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tcBorders>
              <w:top w:val="single" w:color="000000" w:sz="4" w:space="0"/>
              <w:left w:val="single" w:color="000000" w:sz="4" w:space="0"/>
              <w:bottom w:val="single" w:color="000000" w:sz="4" w:space="0"/>
              <w:right w:val="single" w:color="000000" w:sz="4" w:space="0"/>
            </w:tcBorders>
            <w:noWrap w:val="0"/>
            <w:vAlign w:val="center"/>
          </w:tcPr>
          <w:p w14:paraId="0225AA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rPr>
            </w:pPr>
            <w:r>
              <w:rPr>
                <w:rFonts w:hint="eastAsia" w:ascii="仿宋_GB2312" w:hAnsi="宋体" w:eastAsia="仿宋_GB2312" w:cs="仿宋_GB2312"/>
                <w:i w:val="0"/>
                <w:iCs w:val="0"/>
                <w:color w:val="000000"/>
                <w:spacing w:val="-23"/>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noWrap w:val="0"/>
            <w:vAlign w:val="center"/>
          </w:tcPr>
          <w:p w14:paraId="37E58B6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预算执行进度较慢，年终预算结余率较大，与年初预算差异较大。</w:t>
            </w:r>
          </w:p>
        </w:tc>
      </w:tr>
      <w:tr w14:paraId="6A1C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42" w:type="pct"/>
            <w:tcBorders>
              <w:top w:val="single" w:color="000000" w:sz="4" w:space="0"/>
              <w:left w:val="single" w:color="000000" w:sz="4" w:space="0"/>
              <w:bottom w:val="single" w:color="000000" w:sz="4" w:space="0"/>
              <w:right w:val="single" w:color="000000" w:sz="4" w:space="0"/>
            </w:tcBorders>
            <w:noWrap w:val="0"/>
            <w:vAlign w:val="center"/>
          </w:tcPr>
          <w:p w14:paraId="44EA06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rPr>
            </w:pPr>
            <w:r>
              <w:rPr>
                <w:rFonts w:hint="eastAsia" w:ascii="仿宋_GB2312" w:hAnsi="宋体" w:eastAsia="仿宋_GB2312" w:cs="仿宋_GB2312"/>
                <w:i w:val="0"/>
                <w:iCs w:val="0"/>
                <w:color w:val="000000"/>
                <w:spacing w:val="-23"/>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noWrap w:val="0"/>
            <w:vAlign w:val="center"/>
          </w:tcPr>
          <w:p w14:paraId="7AA44E0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下个年度将针对该项目进一度精准预算，匹配预算和项目实际情况，并加快预算执行进度。</w:t>
            </w:r>
          </w:p>
        </w:tc>
      </w:tr>
      <w:tr w14:paraId="72C7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6" w:hRule="atLeast"/>
        </w:trPr>
        <w:tc>
          <w:tcPr>
            <w:tcW w:w="2752" w:type="pct"/>
            <w:gridSpan w:val="5"/>
            <w:tcBorders>
              <w:top w:val="single" w:color="000000" w:sz="4" w:space="0"/>
              <w:left w:val="single" w:color="000000" w:sz="4" w:space="0"/>
              <w:bottom w:val="single" w:color="000000" w:sz="4" w:space="0"/>
              <w:right w:val="single" w:color="000000" w:sz="4" w:space="0"/>
            </w:tcBorders>
            <w:noWrap w:val="0"/>
            <w:vAlign w:val="center"/>
          </w:tcPr>
          <w:p w14:paraId="4D4C1E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项目负责人：</w:t>
            </w:r>
          </w:p>
        </w:tc>
        <w:tc>
          <w:tcPr>
            <w:tcW w:w="2247" w:type="pct"/>
            <w:gridSpan w:val="6"/>
            <w:tcBorders>
              <w:top w:val="single" w:color="000000" w:sz="4" w:space="0"/>
              <w:left w:val="single" w:color="000000" w:sz="4" w:space="0"/>
              <w:bottom w:val="single" w:color="000000" w:sz="4" w:space="0"/>
              <w:right w:val="single" w:color="000000" w:sz="4" w:space="0"/>
            </w:tcBorders>
            <w:noWrap w:val="0"/>
            <w:vAlign w:val="center"/>
          </w:tcPr>
          <w:p w14:paraId="1309C1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财务负责人：李明亮</w:t>
            </w:r>
          </w:p>
        </w:tc>
      </w:tr>
    </w:tbl>
    <w:p w14:paraId="5936BA83">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r>
        <w:rPr>
          <w:rFonts w:hint="default"/>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9"/>
        <w:gridCol w:w="2214"/>
        <w:gridCol w:w="1907"/>
        <w:gridCol w:w="2438"/>
        <w:gridCol w:w="574"/>
        <w:gridCol w:w="1812"/>
        <w:gridCol w:w="574"/>
        <w:gridCol w:w="1191"/>
        <w:gridCol w:w="568"/>
        <w:gridCol w:w="568"/>
        <w:gridCol w:w="2758"/>
      </w:tblGrid>
      <w:tr w14:paraId="5CFE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965" w:type="pct"/>
            <w:gridSpan w:val="2"/>
            <w:tcBorders>
              <w:top w:val="single" w:color="000000" w:sz="4" w:space="0"/>
              <w:left w:val="single" w:color="000000" w:sz="4" w:space="0"/>
              <w:bottom w:val="single" w:color="000000" w:sz="4" w:space="0"/>
              <w:right w:val="single" w:color="000000" w:sz="4" w:space="0"/>
            </w:tcBorders>
            <w:noWrap w:val="0"/>
            <w:vAlign w:val="center"/>
          </w:tcPr>
          <w:p w14:paraId="498E3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noWrap w:val="0"/>
            <w:vAlign w:val="center"/>
          </w:tcPr>
          <w:p w14:paraId="66981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51080022T000004928026-乡村振兴工作经费</w:t>
            </w:r>
          </w:p>
        </w:tc>
      </w:tr>
      <w:tr w14:paraId="5CA2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965" w:type="pct"/>
            <w:gridSpan w:val="2"/>
            <w:tcBorders>
              <w:top w:val="single" w:color="000000" w:sz="4" w:space="0"/>
              <w:left w:val="single" w:color="000000" w:sz="4" w:space="0"/>
              <w:bottom w:val="single" w:color="000000" w:sz="4" w:space="0"/>
              <w:right w:val="single" w:color="000000" w:sz="4" w:space="0"/>
            </w:tcBorders>
            <w:noWrap w:val="0"/>
            <w:vAlign w:val="center"/>
          </w:tcPr>
          <w:p w14:paraId="23067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主管部门</w:t>
            </w:r>
          </w:p>
        </w:tc>
        <w:tc>
          <w:tcPr>
            <w:tcW w:w="2379" w:type="pct"/>
            <w:gridSpan w:val="5"/>
            <w:tcBorders>
              <w:top w:val="single" w:color="000000" w:sz="4" w:space="0"/>
              <w:left w:val="single" w:color="000000" w:sz="4" w:space="0"/>
              <w:bottom w:val="single" w:color="000000" w:sz="4" w:space="0"/>
              <w:right w:val="single" w:color="000000" w:sz="4" w:space="0"/>
            </w:tcBorders>
            <w:noWrap w:val="0"/>
            <w:vAlign w:val="center"/>
          </w:tcPr>
          <w:p w14:paraId="1C0B7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广元市经济合作和外事局部门</w:t>
            </w:r>
          </w:p>
        </w:tc>
        <w:tc>
          <w:tcPr>
            <w:tcW w:w="386" w:type="pct"/>
            <w:tcBorders>
              <w:top w:val="nil"/>
              <w:left w:val="nil"/>
              <w:bottom w:val="nil"/>
              <w:right w:val="nil"/>
            </w:tcBorders>
            <w:noWrap w:val="0"/>
            <w:vAlign w:val="center"/>
          </w:tcPr>
          <w:p w14:paraId="0363D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实施单位 （盖章）</w:t>
            </w:r>
          </w:p>
        </w:tc>
        <w:tc>
          <w:tcPr>
            <w:tcW w:w="1268" w:type="pct"/>
            <w:gridSpan w:val="3"/>
            <w:tcBorders>
              <w:top w:val="single" w:color="000000" w:sz="4" w:space="0"/>
              <w:left w:val="single" w:color="000000" w:sz="4" w:space="0"/>
              <w:bottom w:val="single" w:color="000000" w:sz="4" w:space="0"/>
              <w:right w:val="single" w:color="000000" w:sz="4" w:space="0"/>
            </w:tcBorders>
            <w:noWrap w:val="0"/>
            <w:vAlign w:val="center"/>
          </w:tcPr>
          <w:p w14:paraId="5C60D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广元市经济合作和外事局</w:t>
            </w:r>
          </w:p>
        </w:tc>
      </w:tr>
      <w:tr w14:paraId="5F5A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28C2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项目基本情况</w:t>
            </w: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13596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1.项目年度目标完成情况</w:t>
            </w:r>
          </w:p>
        </w:tc>
        <w:tc>
          <w:tcPr>
            <w:tcW w:w="2379" w:type="pct"/>
            <w:gridSpan w:val="5"/>
            <w:tcBorders>
              <w:top w:val="single" w:color="000000" w:sz="4" w:space="0"/>
              <w:left w:val="single" w:color="000000" w:sz="4" w:space="0"/>
              <w:bottom w:val="single" w:color="000000" w:sz="4" w:space="0"/>
              <w:right w:val="single" w:color="000000" w:sz="4" w:space="0"/>
            </w:tcBorders>
            <w:noWrap w:val="0"/>
            <w:vAlign w:val="center"/>
          </w:tcPr>
          <w:p w14:paraId="065D6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项目年度目标</w:t>
            </w:r>
          </w:p>
        </w:tc>
        <w:tc>
          <w:tcPr>
            <w:tcW w:w="1654" w:type="pct"/>
            <w:gridSpan w:val="4"/>
            <w:tcBorders>
              <w:top w:val="single" w:color="000000" w:sz="4" w:space="0"/>
              <w:left w:val="single" w:color="000000" w:sz="4" w:space="0"/>
              <w:bottom w:val="single" w:color="000000" w:sz="4" w:space="0"/>
              <w:right w:val="single" w:color="000000" w:sz="4" w:space="0"/>
            </w:tcBorders>
            <w:noWrap w:val="0"/>
            <w:vAlign w:val="center"/>
          </w:tcPr>
          <w:p w14:paraId="7B41C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年度目标完成情况</w:t>
            </w:r>
          </w:p>
        </w:tc>
      </w:tr>
      <w:tr w14:paraId="5024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333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D8F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2379" w:type="pct"/>
            <w:gridSpan w:val="5"/>
            <w:tcBorders>
              <w:top w:val="single" w:color="000000" w:sz="4" w:space="0"/>
              <w:left w:val="single" w:color="000000" w:sz="4" w:space="0"/>
              <w:bottom w:val="single" w:color="000000" w:sz="4" w:space="0"/>
              <w:right w:val="single" w:color="000000" w:sz="4" w:space="0"/>
            </w:tcBorders>
            <w:noWrap w:val="0"/>
            <w:vAlign w:val="center"/>
          </w:tcPr>
          <w:p w14:paraId="19F880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为驻村工作队履职提供坚强保障，有效推进乡村振兴、巩固拓展脱贫攻坚成果；为驻村工作队购买人身意外伤害保险，消除驻村工作队及其家人的后顾之忧；慰问困难群众等。</w:t>
            </w:r>
          </w:p>
        </w:tc>
        <w:tc>
          <w:tcPr>
            <w:tcW w:w="1654" w:type="pct"/>
            <w:gridSpan w:val="4"/>
            <w:tcBorders>
              <w:top w:val="single" w:color="000000" w:sz="4" w:space="0"/>
              <w:left w:val="single" w:color="000000" w:sz="4" w:space="0"/>
              <w:bottom w:val="single" w:color="000000" w:sz="4" w:space="0"/>
              <w:right w:val="single" w:color="000000" w:sz="4" w:space="0"/>
            </w:tcBorders>
            <w:noWrap w:val="0"/>
            <w:vAlign w:val="center"/>
          </w:tcPr>
          <w:p w14:paraId="6EA73C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任务目标已完成</w:t>
            </w:r>
          </w:p>
        </w:tc>
      </w:tr>
      <w:tr w14:paraId="1A62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97C4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6B3DA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6"/>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noWrap w:val="0"/>
            <w:vAlign w:val="center"/>
          </w:tcPr>
          <w:p w14:paraId="557CD8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280D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4627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预算执行情况（10分）</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0D58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9096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年初预算</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02566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44310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0F9E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ADD3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7616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5C15F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原因</w:t>
            </w:r>
          </w:p>
        </w:tc>
      </w:tr>
      <w:tr w14:paraId="18C6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6F05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C488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BC40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3.64</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26B23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3.64</w:t>
            </w: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702E3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4A74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95.17%</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272E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1EF2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21947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1.预算执行率=预算执行数/调整后预算数，预算执行率未达到90%的需说明原因（100字以内）;</w:t>
            </w:r>
          </w:p>
          <w:p w14:paraId="378166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2.年中发生预算调整的（追加或调减）,应单独说明理由；</w:t>
            </w:r>
          </w:p>
          <w:p w14:paraId="0A37BA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3.其他资金包括：社会投入资金、银行贷款。</w:t>
            </w:r>
          </w:p>
        </w:tc>
      </w:tr>
      <w:tr w14:paraId="52954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812A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BB0B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8662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3.64</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4F91F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3.64</w:t>
            </w: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6CC93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3.46</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71C5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95.17%</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8654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552D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8C0B4F">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49B2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B490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245E6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17AF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6B093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4314D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6EEA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B372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9204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D6E63F">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2F07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F113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6200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F896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095E3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0B87B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71EC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128F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17EB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342E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3DF5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8962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BD83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7FD10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3CC7CA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0D0947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A4E1B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5906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3002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130FFA">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605E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5739E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绩效指标（90分）</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7635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F276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二级指标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464D1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C55D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AF2E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6251C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C26E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9E52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88DD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4D700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未完成原因分析</w:t>
            </w:r>
          </w:p>
        </w:tc>
      </w:tr>
      <w:tr w14:paraId="39D2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C9A3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50250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9A9F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数量指标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03522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保障驻村工作队员人数</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3B1C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B405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2FC9A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83BD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8803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0A92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46B069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6B42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F1DC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3708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601E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质量指标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8BEE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驻村工作队员年度考核</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65F7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47EF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1BCA9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级</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189F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9935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9957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FE3AF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638F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797B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253C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F09B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时效指标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59FE2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完成帮扶任务时间</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2A20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8B7D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3495F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4494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0D83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5E57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39174E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4073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0A25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08686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9AB5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社会效益指标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440F0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巩固脱贫攻坚成果</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940B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EF46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712E4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级</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FE49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302A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3B24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EE9F0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1542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3BD5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1C27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CCBA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可持续影响指标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F284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项目收益年限</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8547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754BC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5C48D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289E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5FB8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4FB0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45F7D6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03E3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BBC9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08AD0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581E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服务对象满意度指标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76FD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驻村干部满意度</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3FEB5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10FC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6FCB1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AC46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C4A8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1E06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6BF02C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26AE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6E9E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2EF32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1F11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经济成本指标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1B30A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11"/>
                <w:kern w:val="0"/>
                <w:sz w:val="18"/>
                <w:szCs w:val="18"/>
                <w:u w:val="none"/>
                <w:lang w:val="en-US" w:eastAsia="zh-CN" w:bidi="ar"/>
              </w:rPr>
              <w:t>保障驻村工作队员开展工作经费</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57C2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F048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36400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6E59C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D86D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3.46</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18FE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AF2F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300659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4877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3731" w:type="pct"/>
            <w:gridSpan w:val="8"/>
            <w:tcBorders>
              <w:top w:val="single" w:color="000000" w:sz="4" w:space="0"/>
              <w:left w:val="single" w:color="000000" w:sz="4" w:space="0"/>
              <w:bottom w:val="single" w:color="000000" w:sz="4" w:space="0"/>
              <w:right w:val="single" w:color="000000" w:sz="4" w:space="0"/>
            </w:tcBorders>
            <w:noWrap w:val="0"/>
            <w:vAlign w:val="center"/>
          </w:tcPr>
          <w:p w14:paraId="7286D7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FC71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91AC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7835CD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7E2DA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01CDAF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2B5D74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2024年我单位乡村振兴专项资金支出绩效自查自评结果良好，全年基本支出保证了单位乡村振兴工作的正常运转，</w:t>
            </w:r>
          </w:p>
        </w:tc>
      </w:tr>
      <w:tr w14:paraId="5954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7F042E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45D83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w:t>
            </w:r>
          </w:p>
        </w:tc>
      </w:tr>
      <w:tr w14:paraId="2F52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111CBF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161E3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w:t>
            </w:r>
          </w:p>
        </w:tc>
      </w:tr>
      <w:tr w14:paraId="0743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567" w:type="pct"/>
            <w:gridSpan w:val="5"/>
            <w:tcBorders>
              <w:top w:val="single" w:color="000000" w:sz="4" w:space="0"/>
              <w:left w:val="single" w:color="000000" w:sz="4" w:space="0"/>
              <w:bottom w:val="single" w:color="000000" w:sz="4" w:space="0"/>
              <w:right w:val="single" w:color="000000" w:sz="4" w:space="0"/>
            </w:tcBorders>
            <w:noWrap w:val="0"/>
            <w:vAlign w:val="center"/>
          </w:tcPr>
          <w:p w14:paraId="06E6D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noWrap w:val="0"/>
            <w:vAlign w:val="center"/>
          </w:tcPr>
          <w:p w14:paraId="1A751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财务负责人：李明亮</w:t>
            </w:r>
          </w:p>
        </w:tc>
      </w:tr>
    </w:tbl>
    <w:p w14:paraId="63CB7266">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r>
        <w:rPr>
          <w:rFonts w:hint="default"/>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9"/>
        <w:gridCol w:w="2232"/>
        <w:gridCol w:w="1919"/>
        <w:gridCol w:w="2456"/>
        <w:gridCol w:w="574"/>
        <w:gridCol w:w="1821"/>
        <w:gridCol w:w="577"/>
        <w:gridCol w:w="1198"/>
        <w:gridCol w:w="568"/>
        <w:gridCol w:w="488"/>
        <w:gridCol w:w="2771"/>
      </w:tblGrid>
      <w:tr w14:paraId="2AE0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971" w:type="pct"/>
            <w:gridSpan w:val="2"/>
            <w:tcBorders>
              <w:top w:val="single" w:color="000000" w:sz="4" w:space="0"/>
              <w:left w:val="single" w:color="000000" w:sz="4" w:space="0"/>
              <w:bottom w:val="single" w:color="000000" w:sz="4" w:space="0"/>
              <w:right w:val="single" w:color="000000" w:sz="4" w:space="0"/>
            </w:tcBorders>
            <w:noWrap w:val="0"/>
            <w:vAlign w:val="center"/>
          </w:tcPr>
          <w:p w14:paraId="01F6E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项目名称</w:t>
            </w:r>
          </w:p>
        </w:tc>
        <w:tc>
          <w:tcPr>
            <w:tcW w:w="4028" w:type="pct"/>
            <w:gridSpan w:val="9"/>
            <w:tcBorders>
              <w:top w:val="single" w:color="000000" w:sz="4" w:space="0"/>
              <w:left w:val="single" w:color="000000" w:sz="4" w:space="0"/>
              <w:bottom w:val="single" w:color="000000" w:sz="4" w:space="0"/>
              <w:right w:val="single" w:color="000000" w:sz="4" w:space="0"/>
            </w:tcBorders>
            <w:noWrap w:val="0"/>
            <w:vAlign w:val="center"/>
          </w:tcPr>
          <w:p w14:paraId="6FBE0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51080022T000006726003-招商引资经费</w:t>
            </w:r>
          </w:p>
        </w:tc>
      </w:tr>
      <w:tr w14:paraId="2FD9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971" w:type="pct"/>
            <w:gridSpan w:val="2"/>
            <w:tcBorders>
              <w:top w:val="single" w:color="000000" w:sz="4" w:space="0"/>
              <w:left w:val="single" w:color="000000" w:sz="4" w:space="0"/>
              <w:bottom w:val="single" w:color="000000" w:sz="4" w:space="0"/>
              <w:right w:val="single" w:color="000000" w:sz="4" w:space="0"/>
            </w:tcBorders>
            <w:noWrap w:val="0"/>
            <w:vAlign w:val="center"/>
          </w:tcPr>
          <w:p w14:paraId="6AFA5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主管部门</w:t>
            </w:r>
          </w:p>
        </w:tc>
        <w:tc>
          <w:tcPr>
            <w:tcW w:w="2393" w:type="pct"/>
            <w:gridSpan w:val="5"/>
            <w:tcBorders>
              <w:top w:val="single" w:color="000000" w:sz="4" w:space="0"/>
              <w:left w:val="single" w:color="000000" w:sz="4" w:space="0"/>
              <w:bottom w:val="single" w:color="000000" w:sz="4" w:space="0"/>
              <w:right w:val="single" w:color="000000" w:sz="4" w:space="0"/>
            </w:tcBorders>
            <w:noWrap w:val="0"/>
            <w:vAlign w:val="center"/>
          </w:tcPr>
          <w:p w14:paraId="796F7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广元市经济合作和外事局部门</w:t>
            </w:r>
          </w:p>
        </w:tc>
        <w:tc>
          <w:tcPr>
            <w:tcW w:w="387" w:type="pct"/>
            <w:tcBorders>
              <w:top w:val="nil"/>
              <w:left w:val="nil"/>
              <w:bottom w:val="nil"/>
              <w:right w:val="nil"/>
            </w:tcBorders>
            <w:noWrap w:val="0"/>
            <w:vAlign w:val="center"/>
          </w:tcPr>
          <w:p w14:paraId="68A0A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实施单位 （盖章）</w:t>
            </w:r>
          </w:p>
        </w:tc>
        <w:tc>
          <w:tcPr>
            <w:tcW w:w="1247" w:type="pct"/>
            <w:gridSpan w:val="3"/>
            <w:tcBorders>
              <w:top w:val="single" w:color="000000" w:sz="4" w:space="0"/>
              <w:left w:val="single" w:color="000000" w:sz="4" w:space="0"/>
              <w:bottom w:val="single" w:color="000000" w:sz="4" w:space="0"/>
              <w:right w:val="single" w:color="000000" w:sz="4" w:space="0"/>
            </w:tcBorders>
            <w:noWrap w:val="0"/>
            <w:vAlign w:val="center"/>
          </w:tcPr>
          <w:p w14:paraId="5FFEA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广元市经济合作和外事局</w:t>
            </w:r>
          </w:p>
        </w:tc>
      </w:tr>
      <w:tr w14:paraId="7025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3FAD6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项目基本情况</w:t>
            </w:r>
          </w:p>
        </w:tc>
        <w:tc>
          <w:tcPr>
            <w:tcW w:w="726" w:type="pct"/>
            <w:vMerge w:val="restart"/>
            <w:tcBorders>
              <w:top w:val="single" w:color="000000" w:sz="4" w:space="0"/>
              <w:left w:val="single" w:color="000000" w:sz="4" w:space="0"/>
              <w:bottom w:val="single" w:color="000000" w:sz="4" w:space="0"/>
              <w:right w:val="single" w:color="000000" w:sz="4" w:space="0"/>
            </w:tcBorders>
            <w:noWrap w:val="0"/>
            <w:vAlign w:val="center"/>
          </w:tcPr>
          <w:p w14:paraId="630CF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1.项目年度目标完成情况</w:t>
            </w:r>
          </w:p>
        </w:tc>
        <w:tc>
          <w:tcPr>
            <w:tcW w:w="2393" w:type="pct"/>
            <w:gridSpan w:val="5"/>
            <w:tcBorders>
              <w:top w:val="single" w:color="000000" w:sz="4" w:space="0"/>
              <w:left w:val="single" w:color="000000" w:sz="4" w:space="0"/>
              <w:bottom w:val="single" w:color="000000" w:sz="4" w:space="0"/>
              <w:right w:val="single" w:color="000000" w:sz="4" w:space="0"/>
            </w:tcBorders>
            <w:noWrap w:val="0"/>
            <w:vAlign w:val="center"/>
          </w:tcPr>
          <w:p w14:paraId="63B44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项目年度目标</w:t>
            </w:r>
          </w:p>
        </w:tc>
        <w:tc>
          <w:tcPr>
            <w:tcW w:w="1635" w:type="pct"/>
            <w:gridSpan w:val="4"/>
            <w:tcBorders>
              <w:top w:val="single" w:color="000000" w:sz="4" w:space="0"/>
              <w:left w:val="single" w:color="000000" w:sz="4" w:space="0"/>
              <w:bottom w:val="single" w:color="000000" w:sz="4" w:space="0"/>
              <w:right w:val="single" w:color="000000" w:sz="4" w:space="0"/>
            </w:tcBorders>
            <w:noWrap w:val="0"/>
            <w:vAlign w:val="center"/>
          </w:tcPr>
          <w:p w14:paraId="2BBA2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年度目标完成情况</w:t>
            </w:r>
          </w:p>
        </w:tc>
      </w:tr>
      <w:tr w14:paraId="5D84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A7F6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05F1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2393" w:type="pct"/>
            <w:gridSpan w:val="5"/>
            <w:tcBorders>
              <w:top w:val="single" w:color="000000" w:sz="4" w:space="0"/>
              <w:left w:val="single" w:color="000000" w:sz="4" w:space="0"/>
              <w:bottom w:val="single" w:color="000000" w:sz="4" w:space="0"/>
              <w:right w:val="single" w:color="000000" w:sz="4" w:space="0"/>
            </w:tcBorders>
            <w:noWrap w:val="0"/>
            <w:vAlign w:val="center"/>
          </w:tcPr>
          <w:p w14:paraId="7EFCF5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负责全市投资环境推介工作，统筹组织市级重大投资促进活动，牵头全市重大招商引资项目的促进与落实。</w:t>
            </w:r>
          </w:p>
        </w:tc>
        <w:tc>
          <w:tcPr>
            <w:tcW w:w="1635" w:type="pct"/>
            <w:gridSpan w:val="4"/>
            <w:tcBorders>
              <w:top w:val="single" w:color="000000" w:sz="4" w:space="0"/>
              <w:left w:val="single" w:color="000000" w:sz="4" w:space="0"/>
              <w:bottom w:val="single" w:color="000000" w:sz="4" w:space="0"/>
              <w:right w:val="single" w:color="000000" w:sz="4" w:space="0"/>
            </w:tcBorders>
            <w:noWrap w:val="0"/>
            <w:vAlign w:val="center"/>
          </w:tcPr>
          <w:p w14:paraId="04659CF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任务目标已完成</w:t>
            </w:r>
          </w:p>
        </w:tc>
      </w:tr>
      <w:tr w14:paraId="4561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FD14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0F54E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6"/>
                <w:kern w:val="0"/>
                <w:sz w:val="18"/>
                <w:szCs w:val="18"/>
                <w:u w:val="none"/>
                <w:lang w:val="en-US" w:eastAsia="zh-CN" w:bidi="ar"/>
              </w:rPr>
              <w:t>2.项目实施内容及过程概述</w:t>
            </w:r>
          </w:p>
        </w:tc>
        <w:tc>
          <w:tcPr>
            <w:tcW w:w="4028" w:type="pct"/>
            <w:gridSpan w:val="9"/>
            <w:tcBorders>
              <w:top w:val="single" w:color="000000" w:sz="4" w:space="0"/>
              <w:left w:val="single" w:color="000000" w:sz="4" w:space="0"/>
              <w:bottom w:val="single" w:color="000000" w:sz="4" w:space="0"/>
              <w:right w:val="single" w:color="000000" w:sz="4" w:space="0"/>
            </w:tcBorders>
            <w:noWrap w:val="0"/>
            <w:vAlign w:val="center"/>
          </w:tcPr>
          <w:p w14:paraId="7C7F41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3C06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3CE80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预算执行情况（10分）</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75892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EBCF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089BC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noWrap w:val="0"/>
            <w:vAlign w:val="center"/>
          </w:tcPr>
          <w:p w14:paraId="143D3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6BD1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CB34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55A9D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5EBC0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原因</w:t>
            </w:r>
          </w:p>
        </w:tc>
      </w:tr>
      <w:tr w14:paraId="31D1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022C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5398C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6B5D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19.94</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5127D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419.94</w:t>
            </w:r>
          </w:p>
        </w:tc>
        <w:tc>
          <w:tcPr>
            <w:tcW w:w="966" w:type="pct"/>
            <w:gridSpan w:val="3"/>
            <w:tcBorders>
              <w:top w:val="single" w:color="000000" w:sz="4" w:space="0"/>
              <w:left w:val="single" w:color="000000" w:sz="4" w:space="0"/>
              <w:bottom w:val="single" w:color="000000" w:sz="4" w:space="0"/>
              <w:right w:val="single" w:color="000000" w:sz="4" w:space="0"/>
            </w:tcBorders>
            <w:noWrap w:val="0"/>
            <w:vAlign w:val="center"/>
          </w:tcPr>
          <w:p w14:paraId="2373F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348.52</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98AD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82.99%</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19EB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64491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w:t>
            </w:r>
          </w:p>
        </w:tc>
        <w:tc>
          <w:tcPr>
            <w:tcW w:w="901" w:type="pct"/>
            <w:vMerge w:val="restart"/>
            <w:tcBorders>
              <w:top w:val="single" w:color="000000" w:sz="4" w:space="0"/>
              <w:left w:val="single" w:color="000000" w:sz="4" w:space="0"/>
              <w:bottom w:val="single" w:color="000000" w:sz="4" w:space="0"/>
              <w:right w:val="single" w:color="000000" w:sz="4" w:space="0"/>
            </w:tcBorders>
            <w:noWrap w:val="0"/>
            <w:vAlign w:val="center"/>
          </w:tcPr>
          <w:p w14:paraId="4414C7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1.预算执行率=预算执行数/调整后预算数，预算执行率未达到90%的需说明原因（100字以内）;</w:t>
            </w:r>
          </w:p>
          <w:p w14:paraId="416CFF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2.年中发生预算调整的（追加或调减）,应单独说明理由；</w:t>
            </w:r>
          </w:p>
          <w:p w14:paraId="6BF947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3.其他资金包括：社会投入资金、银行贷款。</w:t>
            </w:r>
          </w:p>
        </w:tc>
      </w:tr>
      <w:tr w14:paraId="0F2A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7D71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02C56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9A9D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19.94</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55B00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419.94</w:t>
            </w:r>
          </w:p>
        </w:tc>
        <w:tc>
          <w:tcPr>
            <w:tcW w:w="966" w:type="pct"/>
            <w:gridSpan w:val="3"/>
            <w:tcBorders>
              <w:top w:val="single" w:color="000000" w:sz="4" w:space="0"/>
              <w:left w:val="single" w:color="000000" w:sz="4" w:space="0"/>
              <w:bottom w:val="single" w:color="000000" w:sz="4" w:space="0"/>
              <w:right w:val="single" w:color="000000" w:sz="4" w:space="0"/>
            </w:tcBorders>
            <w:noWrap w:val="0"/>
            <w:vAlign w:val="center"/>
          </w:tcPr>
          <w:p w14:paraId="45934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348.52</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F0AD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82.99%</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8289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56A8A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89E95D">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66DF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C606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17489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009F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00EA3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noWrap w:val="0"/>
            <w:vAlign w:val="center"/>
          </w:tcPr>
          <w:p w14:paraId="346C2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C1D0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9853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19DE1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A2186E">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139D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E9B8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05911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B90D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75DFE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noWrap w:val="0"/>
            <w:vAlign w:val="center"/>
          </w:tcPr>
          <w:p w14:paraId="0848A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39B90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3DF0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74017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E0191C">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6FE0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3D8E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70FB3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5B1E8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58C5A9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966" w:type="pct"/>
            <w:gridSpan w:val="3"/>
            <w:tcBorders>
              <w:top w:val="single" w:color="000000" w:sz="4" w:space="0"/>
              <w:left w:val="single" w:color="000000" w:sz="4" w:space="0"/>
              <w:bottom w:val="single" w:color="000000" w:sz="4" w:space="0"/>
              <w:right w:val="single" w:color="000000" w:sz="4" w:space="0"/>
            </w:tcBorders>
            <w:noWrap w:val="0"/>
            <w:vAlign w:val="center"/>
          </w:tcPr>
          <w:p w14:paraId="2C0115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6AB2F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3598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264B8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1898D0">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28E6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67D30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绩效指标（90分）</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0C299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B3A6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1083F7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6FBE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7FA7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73189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1BED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C81F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7D5D6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3D196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未完成原因分析</w:t>
            </w:r>
          </w:p>
        </w:tc>
      </w:tr>
      <w:tr w14:paraId="39ED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E251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vMerge w:val="restart"/>
            <w:tcBorders>
              <w:top w:val="single" w:color="000000" w:sz="4" w:space="0"/>
              <w:left w:val="single" w:color="000000" w:sz="4" w:space="0"/>
              <w:bottom w:val="single" w:color="000000" w:sz="4" w:space="0"/>
              <w:right w:val="single" w:color="000000" w:sz="4" w:space="0"/>
            </w:tcBorders>
            <w:noWrap w:val="0"/>
            <w:vAlign w:val="center"/>
          </w:tcPr>
          <w:p w14:paraId="3F5A4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2FA95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20D2F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6"/>
                <w:kern w:val="0"/>
                <w:sz w:val="18"/>
                <w:szCs w:val="18"/>
                <w:u w:val="none"/>
                <w:lang w:val="en-US" w:eastAsia="zh-CN" w:bidi="ar"/>
              </w:rPr>
              <w:t>新开工固投2000万元以上项目</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A87C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7150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64EBD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ACA1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50E7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4F5CB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1B05EB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3719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EB2D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251D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731D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27875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推动项目落户广元</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8631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FB9B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4DADB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级</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39F4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28D6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0C277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71F09F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169F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D5EC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38D2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C83B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3700E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完成时限</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DDB6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4E705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5FD22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651C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2470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7173C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39ABC3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552C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DF871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vMerge w:val="restart"/>
            <w:tcBorders>
              <w:top w:val="single" w:color="000000" w:sz="4" w:space="0"/>
              <w:left w:val="single" w:color="000000" w:sz="4" w:space="0"/>
              <w:bottom w:val="single" w:color="000000" w:sz="4" w:space="0"/>
              <w:right w:val="single" w:color="000000" w:sz="4" w:space="0"/>
            </w:tcBorders>
            <w:noWrap w:val="0"/>
            <w:vAlign w:val="center"/>
          </w:tcPr>
          <w:p w14:paraId="12666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4EAE4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74753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6"/>
                <w:kern w:val="0"/>
                <w:sz w:val="18"/>
                <w:szCs w:val="18"/>
                <w:u w:val="none"/>
                <w:lang w:val="en-US" w:eastAsia="zh-CN" w:bidi="ar"/>
              </w:rPr>
              <w:t>新签约固投2000万元以上项目</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BF0A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56661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5B83A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21ED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286</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F04C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697C2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16CC2B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6DFE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CA03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E34D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3AB72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7B687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促进本地经济发展</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337D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0359E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32120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级</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AAE2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01FC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18EC2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33BD16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18C6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4EB1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7D433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FF7D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1DA57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客商满意度</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44E2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DC25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4514B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2BB89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D141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4A38C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3CB92A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2FB7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1FCD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56F14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成本指标</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1B605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noWrap w:val="0"/>
            <w:vAlign w:val="center"/>
          </w:tcPr>
          <w:p w14:paraId="20E91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全年招商引资所需费用</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4023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14:paraId="6E8C4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767C7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万元</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DB8D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348.52</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1F79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4EFAB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2FF87A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07FD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3752" w:type="pct"/>
            <w:gridSpan w:val="8"/>
            <w:tcBorders>
              <w:top w:val="single" w:color="000000" w:sz="4" w:space="0"/>
              <w:left w:val="single" w:color="000000" w:sz="4" w:space="0"/>
              <w:bottom w:val="single" w:color="000000" w:sz="4" w:space="0"/>
              <w:right w:val="single" w:color="000000" w:sz="4" w:space="0"/>
            </w:tcBorders>
            <w:noWrap w:val="0"/>
            <w:vAlign w:val="center"/>
          </w:tcPr>
          <w:p w14:paraId="6EF58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C6B9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159" w:type="pct"/>
            <w:tcBorders>
              <w:top w:val="single" w:color="000000" w:sz="4" w:space="0"/>
              <w:left w:val="single" w:color="000000" w:sz="4" w:space="0"/>
              <w:bottom w:val="single" w:color="000000" w:sz="4" w:space="0"/>
              <w:right w:val="single" w:color="000000" w:sz="4" w:space="0"/>
            </w:tcBorders>
            <w:noWrap w:val="0"/>
            <w:vAlign w:val="center"/>
          </w:tcPr>
          <w:p w14:paraId="48666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99</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47D69F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1DD8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5A4996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103F8E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2024年我单位招商引资专项资金支出绩效自查自评结果良好，全年基本支出保证了单位招商引资工作的正常运转，保障了重点专项工作的开展，按照2024年度部门招商引资专项资金支出绩效评价指标体系对我单位预算编制、预算执行、完成结果、信息公开、整改反馈等方面进行了自评，最终得分100分。</w:t>
            </w:r>
          </w:p>
        </w:tc>
      </w:tr>
      <w:tr w14:paraId="560A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78066C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606F07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预算绩效管理需进一步加强，设定的绩效目标还不够科学精准。</w:t>
            </w:r>
          </w:p>
        </w:tc>
      </w:tr>
      <w:tr w14:paraId="6CEA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6B9C04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17025E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进一步健全和完善财务管理制度及内部控制制度，创新管理手段，用新思路、新方法，改进完善财务管理方法。</w:t>
            </w:r>
          </w:p>
        </w:tc>
      </w:tr>
      <w:tr w14:paraId="49B0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583" w:type="pct"/>
            <w:gridSpan w:val="5"/>
            <w:tcBorders>
              <w:top w:val="single" w:color="000000" w:sz="4" w:space="0"/>
              <w:left w:val="single" w:color="000000" w:sz="4" w:space="0"/>
              <w:bottom w:val="single" w:color="000000" w:sz="4" w:space="0"/>
              <w:right w:val="single" w:color="000000" w:sz="4" w:space="0"/>
            </w:tcBorders>
            <w:noWrap w:val="0"/>
            <w:vAlign w:val="center"/>
          </w:tcPr>
          <w:p w14:paraId="32711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项目负责人：</w:t>
            </w:r>
          </w:p>
        </w:tc>
        <w:tc>
          <w:tcPr>
            <w:tcW w:w="2416" w:type="pct"/>
            <w:gridSpan w:val="6"/>
            <w:tcBorders>
              <w:top w:val="single" w:color="000000" w:sz="4" w:space="0"/>
              <w:left w:val="single" w:color="000000" w:sz="4" w:space="0"/>
              <w:bottom w:val="single" w:color="000000" w:sz="4" w:space="0"/>
              <w:right w:val="single" w:color="000000" w:sz="4" w:space="0"/>
            </w:tcBorders>
            <w:noWrap w:val="0"/>
            <w:vAlign w:val="center"/>
          </w:tcPr>
          <w:p w14:paraId="1E567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财务负责人：李明亮</w:t>
            </w:r>
          </w:p>
        </w:tc>
      </w:tr>
    </w:tbl>
    <w:p w14:paraId="16D6D824">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r>
        <w:rPr>
          <w:rFonts w:hint="default"/>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9"/>
        <w:gridCol w:w="2214"/>
        <w:gridCol w:w="1907"/>
        <w:gridCol w:w="2442"/>
        <w:gridCol w:w="577"/>
        <w:gridCol w:w="1809"/>
        <w:gridCol w:w="571"/>
        <w:gridCol w:w="1189"/>
        <w:gridCol w:w="568"/>
        <w:gridCol w:w="568"/>
        <w:gridCol w:w="2759"/>
      </w:tblGrid>
      <w:tr w14:paraId="0D41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965" w:type="pct"/>
            <w:gridSpan w:val="2"/>
            <w:tcBorders>
              <w:top w:val="single" w:color="000000" w:sz="4" w:space="0"/>
              <w:left w:val="single" w:color="000000" w:sz="4" w:space="0"/>
              <w:bottom w:val="single" w:color="000000" w:sz="4" w:space="0"/>
              <w:right w:val="single" w:color="000000" w:sz="4" w:space="0"/>
            </w:tcBorders>
            <w:noWrap w:val="0"/>
            <w:vAlign w:val="center"/>
          </w:tcPr>
          <w:p w14:paraId="451B5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noWrap w:val="0"/>
            <w:vAlign w:val="center"/>
          </w:tcPr>
          <w:p w14:paraId="54365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51080023T000009642674-因公临时出国（境）经费</w:t>
            </w:r>
          </w:p>
        </w:tc>
      </w:tr>
      <w:tr w14:paraId="6F54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965" w:type="pct"/>
            <w:gridSpan w:val="2"/>
            <w:tcBorders>
              <w:top w:val="single" w:color="000000" w:sz="4" w:space="0"/>
              <w:left w:val="single" w:color="000000" w:sz="4" w:space="0"/>
              <w:bottom w:val="single" w:color="000000" w:sz="4" w:space="0"/>
              <w:right w:val="single" w:color="000000" w:sz="4" w:space="0"/>
            </w:tcBorders>
            <w:noWrap w:val="0"/>
            <w:vAlign w:val="center"/>
          </w:tcPr>
          <w:p w14:paraId="5C339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主管部门</w:t>
            </w:r>
          </w:p>
        </w:tc>
        <w:tc>
          <w:tcPr>
            <w:tcW w:w="2379" w:type="pct"/>
            <w:gridSpan w:val="5"/>
            <w:tcBorders>
              <w:top w:val="single" w:color="000000" w:sz="4" w:space="0"/>
              <w:left w:val="single" w:color="000000" w:sz="4" w:space="0"/>
              <w:bottom w:val="single" w:color="000000" w:sz="4" w:space="0"/>
              <w:right w:val="single" w:color="000000" w:sz="4" w:space="0"/>
            </w:tcBorders>
            <w:noWrap w:val="0"/>
            <w:vAlign w:val="center"/>
          </w:tcPr>
          <w:p w14:paraId="2F7D6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广元市经济合作和外事局部门</w:t>
            </w:r>
          </w:p>
        </w:tc>
        <w:tc>
          <w:tcPr>
            <w:tcW w:w="386" w:type="pct"/>
            <w:tcBorders>
              <w:top w:val="nil"/>
              <w:left w:val="nil"/>
              <w:bottom w:val="nil"/>
              <w:right w:val="nil"/>
            </w:tcBorders>
            <w:noWrap w:val="0"/>
            <w:vAlign w:val="center"/>
          </w:tcPr>
          <w:p w14:paraId="6E670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实施单位 （盖章）</w:t>
            </w:r>
          </w:p>
        </w:tc>
        <w:tc>
          <w:tcPr>
            <w:tcW w:w="1268" w:type="pct"/>
            <w:gridSpan w:val="3"/>
            <w:tcBorders>
              <w:top w:val="single" w:color="000000" w:sz="4" w:space="0"/>
              <w:left w:val="single" w:color="000000" w:sz="4" w:space="0"/>
              <w:bottom w:val="single" w:color="000000" w:sz="4" w:space="0"/>
              <w:right w:val="single" w:color="000000" w:sz="4" w:space="0"/>
            </w:tcBorders>
            <w:noWrap w:val="0"/>
            <w:vAlign w:val="center"/>
          </w:tcPr>
          <w:p w14:paraId="2C3F8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广元市经济合作和外事局</w:t>
            </w:r>
          </w:p>
        </w:tc>
      </w:tr>
      <w:tr w14:paraId="24BA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7AAAD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项目基本情况</w:t>
            </w: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57C81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1.项目年度目标完成情况</w:t>
            </w:r>
          </w:p>
        </w:tc>
        <w:tc>
          <w:tcPr>
            <w:tcW w:w="2379" w:type="pct"/>
            <w:gridSpan w:val="5"/>
            <w:tcBorders>
              <w:top w:val="single" w:color="000000" w:sz="4" w:space="0"/>
              <w:left w:val="single" w:color="000000" w:sz="4" w:space="0"/>
              <w:bottom w:val="single" w:color="000000" w:sz="4" w:space="0"/>
              <w:right w:val="single" w:color="000000" w:sz="4" w:space="0"/>
            </w:tcBorders>
            <w:noWrap w:val="0"/>
            <w:vAlign w:val="center"/>
          </w:tcPr>
          <w:p w14:paraId="0ECC5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项目年度目标</w:t>
            </w:r>
          </w:p>
        </w:tc>
        <w:tc>
          <w:tcPr>
            <w:tcW w:w="1654" w:type="pct"/>
            <w:gridSpan w:val="4"/>
            <w:tcBorders>
              <w:top w:val="single" w:color="000000" w:sz="4" w:space="0"/>
              <w:left w:val="single" w:color="000000" w:sz="4" w:space="0"/>
              <w:bottom w:val="single" w:color="000000" w:sz="4" w:space="0"/>
              <w:right w:val="single" w:color="000000" w:sz="4" w:space="0"/>
            </w:tcBorders>
            <w:noWrap w:val="0"/>
            <w:vAlign w:val="center"/>
          </w:tcPr>
          <w:p w14:paraId="3A6E0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年度目标完成情况</w:t>
            </w:r>
          </w:p>
        </w:tc>
      </w:tr>
      <w:tr w14:paraId="6827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2351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FAE5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2379" w:type="pct"/>
            <w:gridSpan w:val="5"/>
            <w:tcBorders>
              <w:top w:val="single" w:color="000000" w:sz="4" w:space="0"/>
              <w:left w:val="single" w:color="000000" w:sz="4" w:space="0"/>
              <w:bottom w:val="single" w:color="000000" w:sz="4" w:space="0"/>
              <w:right w:val="single" w:color="000000" w:sz="4" w:space="0"/>
            </w:tcBorders>
            <w:noWrap w:val="0"/>
            <w:vAlign w:val="center"/>
          </w:tcPr>
          <w:p w14:paraId="458D61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推介广元优质产业，洽商产业项目合作，推动项目签约，促进友好合作。</w:t>
            </w:r>
          </w:p>
        </w:tc>
        <w:tc>
          <w:tcPr>
            <w:tcW w:w="1654" w:type="pct"/>
            <w:gridSpan w:val="4"/>
            <w:tcBorders>
              <w:top w:val="single" w:color="000000" w:sz="4" w:space="0"/>
              <w:left w:val="single" w:color="000000" w:sz="4" w:space="0"/>
              <w:bottom w:val="single" w:color="000000" w:sz="4" w:space="0"/>
              <w:right w:val="single" w:color="000000" w:sz="4" w:space="0"/>
            </w:tcBorders>
            <w:noWrap w:val="0"/>
            <w:vAlign w:val="center"/>
          </w:tcPr>
          <w:p w14:paraId="3E31F1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任务目标已完成</w:t>
            </w:r>
          </w:p>
        </w:tc>
      </w:tr>
      <w:tr w14:paraId="5B95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C0E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7377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6"/>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noWrap w:val="0"/>
            <w:vAlign w:val="center"/>
          </w:tcPr>
          <w:p w14:paraId="3183A2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2973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7877E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预算执行情况（10分）</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5BB4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6C15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年初预算</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55624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noWrap w:val="0"/>
            <w:vAlign w:val="center"/>
          </w:tcPr>
          <w:p w14:paraId="25222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DACA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0D2E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05DE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F0E6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原因</w:t>
            </w:r>
          </w:p>
        </w:tc>
      </w:tr>
      <w:tr w14:paraId="36A6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5639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A0F3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206C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5.39</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08760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118.61</w:t>
            </w:r>
          </w:p>
        </w:tc>
        <w:tc>
          <w:tcPr>
            <w:tcW w:w="961" w:type="pct"/>
            <w:gridSpan w:val="3"/>
            <w:tcBorders>
              <w:top w:val="single" w:color="000000" w:sz="4" w:space="0"/>
              <w:left w:val="single" w:color="000000" w:sz="4" w:space="0"/>
              <w:bottom w:val="single" w:color="000000" w:sz="4" w:space="0"/>
              <w:right w:val="single" w:color="000000" w:sz="4" w:space="0"/>
            </w:tcBorders>
            <w:noWrap w:val="0"/>
            <w:vAlign w:val="center"/>
          </w:tcPr>
          <w:p w14:paraId="33C64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111.95</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AD82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94.39%</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5CF6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F7B3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vMerge w:val="restart"/>
            <w:tcBorders>
              <w:top w:val="single" w:color="000000" w:sz="4" w:space="0"/>
              <w:left w:val="single" w:color="000000" w:sz="4" w:space="0"/>
              <w:bottom w:val="single" w:color="000000" w:sz="4" w:space="0"/>
              <w:right w:val="single" w:color="000000" w:sz="4" w:space="0"/>
            </w:tcBorders>
            <w:noWrap w:val="0"/>
            <w:vAlign w:val="center"/>
          </w:tcPr>
          <w:p w14:paraId="70260C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1.预算执行率=预算执行数/调整后预算数，预算执行率未达到90%的需说明原因（100字以内）;</w:t>
            </w:r>
          </w:p>
          <w:p w14:paraId="768F9D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2.年中发生预算调整的（追加或调减）,应单独说明理由；</w:t>
            </w:r>
          </w:p>
          <w:p w14:paraId="4E5CB3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3.其他资金包括：社会投入资金、银行贷款。</w:t>
            </w:r>
          </w:p>
        </w:tc>
      </w:tr>
      <w:tr w14:paraId="7B3F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D2CD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6CA1F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3278C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5.39</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1AC6D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118.61</w:t>
            </w:r>
          </w:p>
        </w:tc>
        <w:tc>
          <w:tcPr>
            <w:tcW w:w="961" w:type="pct"/>
            <w:gridSpan w:val="3"/>
            <w:tcBorders>
              <w:top w:val="single" w:color="000000" w:sz="4" w:space="0"/>
              <w:left w:val="single" w:color="000000" w:sz="4" w:space="0"/>
              <w:bottom w:val="single" w:color="000000" w:sz="4" w:space="0"/>
              <w:right w:val="single" w:color="000000" w:sz="4" w:space="0"/>
            </w:tcBorders>
            <w:noWrap w:val="0"/>
            <w:vAlign w:val="center"/>
          </w:tcPr>
          <w:p w14:paraId="032F0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111.95</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063F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94.39%</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F87D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13B5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C1CE66">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4826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FDAA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6A41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EB78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22E40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noWrap w:val="0"/>
            <w:vAlign w:val="center"/>
          </w:tcPr>
          <w:p w14:paraId="213FF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6D15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11DF2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6D45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7875DB">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34F6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63B7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552B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8B5B2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73E5B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noWrap w:val="0"/>
            <w:vAlign w:val="center"/>
          </w:tcPr>
          <w:p w14:paraId="33355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655B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C57C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160E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FE179B">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013C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D1DC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A32D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579E9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5E2FF5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noWrap w:val="0"/>
            <w:vAlign w:val="center"/>
          </w:tcPr>
          <w:p w14:paraId="317574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C150B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5AAA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7033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A72E70">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2FD6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1F4E0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绩效指标（90分）</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76EE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FB91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二级指标</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32D8A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68E9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指标性质</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34DFF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5FC53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60BD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3769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53AF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A38A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未完成原因分析</w:t>
            </w:r>
          </w:p>
        </w:tc>
      </w:tr>
      <w:tr w14:paraId="4C1F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DE0D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348D3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4C20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数量指标</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1FB57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出国团组人员费用保障</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9B7B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7FA81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08174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268E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76CD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1159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43733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6"/>
                <w:kern w:val="0"/>
                <w:sz w:val="18"/>
                <w:szCs w:val="18"/>
                <w:u w:val="none"/>
                <w:lang w:val="en-US" w:eastAsia="zh-CN" w:bidi="ar"/>
              </w:rPr>
              <w:t>实际审批团组减少，出国人员减少</w:t>
            </w:r>
          </w:p>
        </w:tc>
      </w:tr>
      <w:tr w14:paraId="62C4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8D24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69AF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B3D9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质量指标</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01B04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11"/>
                <w:kern w:val="0"/>
                <w:sz w:val="18"/>
                <w:szCs w:val="18"/>
                <w:u w:val="none"/>
                <w:lang w:val="en-US" w:eastAsia="zh-CN" w:bidi="ar"/>
              </w:rPr>
              <w:t>为团组顺利出访提供必要的保障</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B03B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4EACF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341FC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级</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21E2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E84F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BF1C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1F127D8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4CEC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61DD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5F02D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A5E9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时效指标</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195EF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74CF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20AFA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2228E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1F91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E475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EF08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7F803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3076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DE131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64428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EB5C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经济效益指标</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45D78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17"/>
                <w:kern w:val="0"/>
                <w:sz w:val="18"/>
                <w:szCs w:val="18"/>
                <w:u w:val="none"/>
                <w:lang w:val="en-US" w:eastAsia="zh-CN" w:bidi="ar"/>
              </w:rPr>
              <w:t>推动项目签约，促进当地经济发展</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BE0C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5BE3B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69689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级</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6D2F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9735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79BB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6763FF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0D56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EADA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026A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7590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社会效益指标</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23679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促进国际友好合作</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4D26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787C7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2D832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级</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0533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B6A0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02B6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556FC4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597D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F9D8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453F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ACD4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可持续发展指标</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1CDCA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17"/>
                <w:kern w:val="0"/>
                <w:sz w:val="18"/>
                <w:szCs w:val="18"/>
                <w:u w:val="none"/>
                <w:lang w:val="en-US" w:eastAsia="zh-CN" w:bidi="ar"/>
              </w:rPr>
              <w:t>推动项目建设和投资，稳定合作关系</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EAD8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49492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6B552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级</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1878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49AE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3E21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71D0E6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40D0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9082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1012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0CF6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服务对象满意度指标</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71B07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出国团组人员满意度</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4052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1B85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68796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38E7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51CD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93FB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35B570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6E2C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4383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637A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9B6F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经济成本指标</w:t>
            </w:r>
          </w:p>
        </w:tc>
        <w:tc>
          <w:tcPr>
            <w:tcW w:w="795" w:type="pct"/>
            <w:tcBorders>
              <w:top w:val="single" w:color="000000" w:sz="4" w:space="0"/>
              <w:left w:val="single" w:color="000000" w:sz="4" w:space="0"/>
              <w:bottom w:val="single" w:color="000000" w:sz="4" w:space="0"/>
              <w:right w:val="single" w:color="000000" w:sz="4" w:space="0"/>
            </w:tcBorders>
            <w:noWrap w:val="0"/>
            <w:vAlign w:val="center"/>
          </w:tcPr>
          <w:p w14:paraId="63C50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控制出国费用成本</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CE0F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58F13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3DEBE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B897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111.95</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69EE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25FB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67C28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3538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3731" w:type="pct"/>
            <w:gridSpan w:val="8"/>
            <w:tcBorders>
              <w:top w:val="single" w:color="000000" w:sz="4" w:space="0"/>
              <w:left w:val="single" w:color="000000" w:sz="4" w:space="0"/>
              <w:bottom w:val="single" w:color="000000" w:sz="4" w:space="0"/>
              <w:right w:val="single" w:color="000000" w:sz="4" w:space="0"/>
            </w:tcBorders>
            <w:noWrap w:val="0"/>
            <w:vAlign w:val="center"/>
          </w:tcPr>
          <w:p w14:paraId="3F886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FBE7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5A3B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5E84B9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426E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384582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3826F0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2024年我单位因公临时出国经费项目资金支出绩效自查自评结果良好，全年基本支出保证了全市厅级领导团组因公出国工作的正常运转，保障了重点专项工作的开展，按照 2024年度部门因公临时出国经费专项资金支出绩效评价指标体系对我单位预算编制、预算执行、完成结果、信息公开、整改反馈等方面进行了自评，最终得分100分。</w:t>
            </w:r>
          </w:p>
        </w:tc>
      </w:tr>
      <w:tr w14:paraId="1E94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69E459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4756D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w:t>
            </w:r>
          </w:p>
        </w:tc>
      </w:tr>
      <w:tr w14:paraId="531D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14AB6C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437E7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w:t>
            </w:r>
          </w:p>
        </w:tc>
      </w:tr>
      <w:tr w14:paraId="6069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569" w:type="pct"/>
            <w:gridSpan w:val="5"/>
            <w:tcBorders>
              <w:top w:val="single" w:color="000000" w:sz="4" w:space="0"/>
              <w:left w:val="single" w:color="000000" w:sz="4" w:space="0"/>
              <w:bottom w:val="single" w:color="000000" w:sz="4" w:space="0"/>
              <w:right w:val="single" w:color="000000" w:sz="4" w:space="0"/>
            </w:tcBorders>
            <w:noWrap w:val="0"/>
            <w:vAlign w:val="center"/>
          </w:tcPr>
          <w:p w14:paraId="26396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项目负责人：</w:t>
            </w:r>
          </w:p>
        </w:tc>
        <w:tc>
          <w:tcPr>
            <w:tcW w:w="2430" w:type="pct"/>
            <w:gridSpan w:val="6"/>
            <w:tcBorders>
              <w:top w:val="single" w:color="000000" w:sz="4" w:space="0"/>
              <w:left w:val="single" w:color="000000" w:sz="4" w:space="0"/>
              <w:bottom w:val="single" w:color="000000" w:sz="4" w:space="0"/>
              <w:right w:val="single" w:color="000000" w:sz="4" w:space="0"/>
            </w:tcBorders>
            <w:noWrap w:val="0"/>
            <w:vAlign w:val="center"/>
          </w:tcPr>
          <w:p w14:paraId="70B2F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财务负责人：李明亮</w:t>
            </w:r>
          </w:p>
        </w:tc>
      </w:tr>
    </w:tbl>
    <w:p w14:paraId="193C7929">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r>
        <w:rPr>
          <w:rFonts w:hint="default"/>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9"/>
        <w:gridCol w:w="2214"/>
        <w:gridCol w:w="1907"/>
        <w:gridCol w:w="2438"/>
        <w:gridCol w:w="574"/>
        <w:gridCol w:w="1812"/>
        <w:gridCol w:w="574"/>
        <w:gridCol w:w="1191"/>
        <w:gridCol w:w="568"/>
        <w:gridCol w:w="568"/>
        <w:gridCol w:w="2758"/>
      </w:tblGrid>
      <w:tr w14:paraId="0028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965" w:type="pct"/>
            <w:gridSpan w:val="2"/>
            <w:tcBorders>
              <w:top w:val="single" w:color="000000" w:sz="4" w:space="0"/>
              <w:left w:val="single" w:color="000000" w:sz="4" w:space="0"/>
              <w:bottom w:val="single" w:color="000000" w:sz="4" w:space="0"/>
              <w:right w:val="single" w:color="000000" w:sz="4" w:space="0"/>
            </w:tcBorders>
            <w:noWrap w:val="0"/>
            <w:vAlign w:val="center"/>
          </w:tcPr>
          <w:p w14:paraId="08824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noWrap w:val="0"/>
            <w:vAlign w:val="center"/>
          </w:tcPr>
          <w:p w14:paraId="7989B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51080025T000012132776-2024年中国西部（广元）食品饮料产业发展大会及广元市食品产业培育和对外推介活动经费</w:t>
            </w:r>
          </w:p>
        </w:tc>
      </w:tr>
      <w:tr w14:paraId="233E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965" w:type="pct"/>
            <w:gridSpan w:val="2"/>
            <w:tcBorders>
              <w:top w:val="single" w:color="000000" w:sz="4" w:space="0"/>
              <w:left w:val="single" w:color="000000" w:sz="4" w:space="0"/>
              <w:bottom w:val="single" w:color="000000" w:sz="4" w:space="0"/>
              <w:right w:val="single" w:color="000000" w:sz="4" w:space="0"/>
            </w:tcBorders>
            <w:noWrap w:val="0"/>
            <w:vAlign w:val="center"/>
          </w:tcPr>
          <w:p w14:paraId="5FD26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主管部门</w:t>
            </w:r>
          </w:p>
        </w:tc>
        <w:tc>
          <w:tcPr>
            <w:tcW w:w="2379" w:type="pct"/>
            <w:gridSpan w:val="5"/>
            <w:tcBorders>
              <w:top w:val="single" w:color="000000" w:sz="4" w:space="0"/>
              <w:left w:val="single" w:color="000000" w:sz="4" w:space="0"/>
              <w:bottom w:val="single" w:color="000000" w:sz="4" w:space="0"/>
              <w:right w:val="single" w:color="000000" w:sz="4" w:space="0"/>
            </w:tcBorders>
            <w:noWrap w:val="0"/>
            <w:vAlign w:val="center"/>
          </w:tcPr>
          <w:p w14:paraId="6D754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广元市经济合作和外事局部门</w:t>
            </w:r>
          </w:p>
        </w:tc>
        <w:tc>
          <w:tcPr>
            <w:tcW w:w="386" w:type="pct"/>
            <w:tcBorders>
              <w:top w:val="nil"/>
              <w:left w:val="nil"/>
              <w:bottom w:val="nil"/>
              <w:right w:val="nil"/>
            </w:tcBorders>
            <w:noWrap w:val="0"/>
            <w:vAlign w:val="center"/>
          </w:tcPr>
          <w:p w14:paraId="5A03C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实施单位 （盖章）</w:t>
            </w:r>
          </w:p>
        </w:tc>
        <w:tc>
          <w:tcPr>
            <w:tcW w:w="1268" w:type="pct"/>
            <w:gridSpan w:val="3"/>
            <w:tcBorders>
              <w:top w:val="single" w:color="000000" w:sz="4" w:space="0"/>
              <w:left w:val="single" w:color="000000" w:sz="4" w:space="0"/>
              <w:bottom w:val="single" w:color="000000" w:sz="4" w:space="0"/>
              <w:right w:val="single" w:color="000000" w:sz="4" w:space="0"/>
            </w:tcBorders>
            <w:noWrap w:val="0"/>
            <w:vAlign w:val="center"/>
          </w:tcPr>
          <w:p w14:paraId="5885B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广元市经济合作和外事局</w:t>
            </w:r>
          </w:p>
        </w:tc>
      </w:tr>
      <w:tr w14:paraId="1635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52ED8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项目基本情况</w:t>
            </w: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3D509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1.项目年度目标完成情况</w:t>
            </w:r>
          </w:p>
        </w:tc>
        <w:tc>
          <w:tcPr>
            <w:tcW w:w="2379" w:type="pct"/>
            <w:gridSpan w:val="5"/>
            <w:tcBorders>
              <w:top w:val="single" w:color="000000" w:sz="4" w:space="0"/>
              <w:left w:val="single" w:color="000000" w:sz="4" w:space="0"/>
              <w:bottom w:val="single" w:color="000000" w:sz="4" w:space="0"/>
              <w:right w:val="single" w:color="000000" w:sz="4" w:space="0"/>
            </w:tcBorders>
            <w:noWrap w:val="0"/>
            <w:vAlign w:val="center"/>
          </w:tcPr>
          <w:p w14:paraId="23488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项目年度目标</w:t>
            </w:r>
          </w:p>
        </w:tc>
        <w:tc>
          <w:tcPr>
            <w:tcW w:w="1654" w:type="pct"/>
            <w:gridSpan w:val="4"/>
            <w:tcBorders>
              <w:top w:val="single" w:color="000000" w:sz="4" w:space="0"/>
              <w:left w:val="single" w:color="000000" w:sz="4" w:space="0"/>
              <w:bottom w:val="single" w:color="000000" w:sz="4" w:space="0"/>
              <w:right w:val="single" w:color="000000" w:sz="4" w:space="0"/>
            </w:tcBorders>
            <w:noWrap w:val="0"/>
            <w:vAlign w:val="center"/>
          </w:tcPr>
          <w:p w14:paraId="37F60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年度目标完成情况</w:t>
            </w:r>
          </w:p>
        </w:tc>
      </w:tr>
      <w:tr w14:paraId="42B9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295B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249B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2379" w:type="pct"/>
            <w:gridSpan w:val="5"/>
            <w:tcBorders>
              <w:top w:val="single" w:color="000000" w:sz="4" w:space="0"/>
              <w:left w:val="single" w:color="000000" w:sz="4" w:space="0"/>
              <w:bottom w:val="single" w:color="000000" w:sz="4" w:space="0"/>
              <w:right w:val="single" w:color="000000" w:sz="4" w:space="0"/>
            </w:tcBorders>
            <w:noWrap w:val="0"/>
            <w:vAlign w:val="center"/>
          </w:tcPr>
          <w:p w14:paraId="5190A5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保证会议顺利召开，签约项目环节顺利进行，做好后勤保障等</w:t>
            </w:r>
          </w:p>
        </w:tc>
        <w:tc>
          <w:tcPr>
            <w:tcW w:w="1654" w:type="pct"/>
            <w:gridSpan w:val="4"/>
            <w:tcBorders>
              <w:top w:val="single" w:color="000000" w:sz="4" w:space="0"/>
              <w:left w:val="single" w:color="000000" w:sz="4" w:space="0"/>
              <w:bottom w:val="single" w:color="000000" w:sz="4" w:space="0"/>
              <w:right w:val="single" w:color="000000" w:sz="4" w:space="0"/>
            </w:tcBorders>
            <w:noWrap w:val="0"/>
            <w:vAlign w:val="center"/>
          </w:tcPr>
          <w:p w14:paraId="637DD8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任务目标已完成</w:t>
            </w:r>
          </w:p>
        </w:tc>
      </w:tr>
      <w:tr w14:paraId="7DAB1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AC20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B551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6"/>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noWrap w:val="0"/>
            <w:vAlign w:val="center"/>
          </w:tcPr>
          <w:p w14:paraId="67EA09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1F46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2CA885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预算执行情况（10分）</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59E7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54C9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年初预算</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1DCB4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0639C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755B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341C4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FA2D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E479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原因</w:t>
            </w:r>
          </w:p>
        </w:tc>
      </w:tr>
      <w:tr w14:paraId="4959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9B92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B447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5DA9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849F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4.00</w:t>
            </w: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4F354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3.99</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397F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99.69%</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FEA2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8A2E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vMerge w:val="restart"/>
            <w:tcBorders>
              <w:top w:val="single" w:color="000000" w:sz="4" w:space="0"/>
              <w:left w:val="single" w:color="000000" w:sz="4" w:space="0"/>
              <w:bottom w:val="single" w:color="000000" w:sz="4" w:space="0"/>
              <w:right w:val="single" w:color="000000" w:sz="4" w:space="0"/>
            </w:tcBorders>
            <w:noWrap w:val="0"/>
            <w:vAlign w:val="center"/>
          </w:tcPr>
          <w:p w14:paraId="24C837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1.预算执行率=预算执行数/调整后预算数，预算执行率未达到90%的需说明原因（100字以内）;</w:t>
            </w:r>
          </w:p>
          <w:p w14:paraId="563BAD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2.年中发生预算调整的（追加或调减）,应单独说明理由；</w:t>
            </w:r>
          </w:p>
          <w:p w14:paraId="66CD99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3.其他资金包括：社会投入资金、银行贷款。</w:t>
            </w:r>
          </w:p>
        </w:tc>
      </w:tr>
      <w:tr w14:paraId="4FD7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58FD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F05E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87C7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486503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4.00</w:t>
            </w: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221E1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3.99</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68BB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99.69%</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9740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4E81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2D766F">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4668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79B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099E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F4D9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2D1AE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72E20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EEEB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2CE2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EA52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C1BAA2">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643CF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EA8C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65BEA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4F0F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DDA1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734EF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BB7C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1806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4370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FB9D6">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3FEB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51A2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7C3A9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3CD42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0F2B33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962" w:type="pct"/>
            <w:gridSpan w:val="3"/>
            <w:tcBorders>
              <w:top w:val="single" w:color="000000" w:sz="4" w:space="0"/>
              <w:left w:val="single" w:color="000000" w:sz="4" w:space="0"/>
              <w:bottom w:val="single" w:color="000000" w:sz="4" w:space="0"/>
              <w:right w:val="single" w:color="000000" w:sz="4" w:space="0"/>
            </w:tcBorders>
            <w:noWrap w:val="0"/>
            <w:vAlign w:val="center"/>
          </w:tcPr>
          <w:p w14:paraId="696209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CAA0A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782D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ED02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299F31">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4BDB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00A6F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绩效指标（90分）</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CEAE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D941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二级指标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343FB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8147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49B1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466E7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46FF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7EDD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A314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0F56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未完成原因分析</w:t>
            </w:r>
          </w:p>
        </w:tc>
      </w:tr>
      <w:tr w14:paraId="1BE6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45FF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2DA55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06BF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数量指标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26CEC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大会参会人数</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E634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96D8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490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3CD8D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9454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490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8CBE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20E0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218387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5D4F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DFFF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CBAF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CE4C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质量指标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225EB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保障大会顺利召开</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5E16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A58E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20FA4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6B83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DB9B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E3A7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1A8A7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3F3A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0FF5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2BA71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7A7F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经济效益指标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30585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签约项目</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DBCB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0B58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310C9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B020A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FCC9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C006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3C9407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462D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E6C4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224DD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666B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可持续发展指标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0BB5A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推介广元，促进当地经济发展</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904B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70F52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0D12A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2138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626A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7A4B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24DACD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261D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37ED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662C1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6387D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服务对象满意度指标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739A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参会客商满意度</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BA57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959E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71D07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580E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1903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06E7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789EC7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3114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1B28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7119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BB88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经济成本指标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67A4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保障会议召开所需费用</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A9C7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1B54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40000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04375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AD52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39900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1200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5A23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7F0523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407D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3731" w:type="pct"/>
            <w:gridSpan w:val="8"/>
            <w:tcBorders>
              <w:top w:val="single" w:color="000000" w:sz="4" w:space="0"/>
              <w:left w:val="single" w:color="000000" w:sz="4" w:space="0"/>
              <w:bottom w:val="single" w:color="000000" w:sz="4" w:space="0"/>
              <w:right w:val="single" w:color="000000" w:sz="4" w:space="0"/>
            </w:tcBorders>
            <w:noWrap w:val="0"/>
            <w:vAlign w:val="center"/>
          </w:tcPr>
          <w:p w14:paraId="7986F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385F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8638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2BC47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00A9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597F3F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68CFDC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2024年我单位2024年中国西部（广元）食品饮料产业发展大会及食品饮料产业投资推介专项资金支出绩效自查自评结果良好，基本支出保证了大会的顺利召开，保障了重点专项工作的开展，按照2024年度部门2024年中国西部（广元）食品饮料产业发展大会及食品饮料产业投资推介专项资金支出绩效评价指标体系对我单位预算编制、预算执行、完成结果、信息公开、整改反馈等方面进行了自评，最终得分100分。</w:t>
            </w:r>
          </w:p>
        </w:tc>
      </w:tr>
      <w:tr w14:paraId="47F4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5D302F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4A0A9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w:t>
            </w:r>
          </w:p>
        </w:tc>
      </w:tr>
      <w:tr w14:paraId="3202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5563DE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183FE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w:t>
            </w:r>
          </w:p>
        </w:tc>
      </w:tr>
      <w:tr w14:paraId="73E1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3" w:hRule="atLeast"/>
        </w:trPr>
        <w:tc>
          <w:tcPr>
            <w:tcW w:w="2567" w:type="pct"/>
            <w:gridSpan w:val="5"/>
            <w:tcBorders>
              <w:top w:val="single" w:color="000000" w:sz="4" w:space="0"/>
              <w:left w:val="single" w:color="000000" w:sz="4" w:space="0"/>
              <w:bottom w:val="single" w:color="000000" w:sz="4" w:space="0"/>
              <w:right w:val="single" w:color="000000" w:sz="4" w:space="0"/>
            </w:tcBorders>
            <w:noWrap w:val="0"/>
            <w:vAlign w:val="center"/>
          </w:tcPr>
          <w:p w14:paraId="01CC4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noWrap w:val="0"/>
            <w:vAlign w:val="center"/>
          </w:tcPr>
          <w:p w14:paraId="3BC25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财务负责人：李明亮</w:t>
            </w:r>
          </w:p>
        </w:tc>
      </w:tr>
    </w:tbl>
    <w:p w14:paraId="2A2A9B98">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lang w:val="en-US" w:eastAsia="zh-CN"/>
        </w:rPr>
      </w:pPr>
      <w:r>
        <w:rPr>
          <w:rFonts w:hint="default"/>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9"/>
        <w:gridCol w:w="2214"/>
        <w:gridCol w:w="1907"/>
        <w:gridCol w:w="2439"/>
        <w:gridCol w:w="574"/>
        <w:gridCol w:w="1815"/>
        <w:gridCol w:w="571"/>
        <w:gridCol w:w="1189"/>
        <w:gridCol w:w="568"/>
        <w:gridCol w:w="568"/>
        <w:gridCol w:w="2759"/>
      </w:tblGrid>
      <w:tr w14:paraId="5239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965" w:type="pct"/>
            <w:gridSpan w:val="2"/>
            <w:tcBorders>
              <w:top w:val="single" w:color="000000" w:sz="4" w:space="0"/>
              <w:left w:val="single" w:color="000000" w:sz="4" w:space="0"/>
              <w:bottom w:val="single" w:color="000000" w:sz="4" w:space="0"/>
              <w:right w:val="single" w:color="000000" w:sz="4" w:space="0"/>
            </w:tcBorders>
            <w:noWrap w:val="0"/>
            <w:vAlign w:val="center"/>
          </w:tcPr>
          <w:p w14:paraId="47A5A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noWrap w:val="0"/>
            <w:vAlign w:val="center"/>
          </w:tcPr>
          <w:p w14:paraId="11B3A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51080025T000012225949-陕川甘宁毗邻地区经济联合会第34届年会经费</w:t>
            </w:r>
          </w:p>
        </w:tc>
      </w:tr>
      <w:tr w14:paraId="41A00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965" w:type="pct"/>
            <w:gridSpan w:val="2"/>
            <w:tcBorders>
              <w:top w:val="single" w:color="000000" w:sz="4" w:space="0"/>
              <w:left w:val="single" w:color="000000" w:sz="4" w:space="0"/>
              <w:bottom w:val="single" w:color="000000" w:sz="4" w:space="0"/>
              <w:right w:val="single" w:color="000000" w:sz="4" w:space="0"/>
            </w:tcBorders>
            <w:noWrap w:val="0"/>
            <w:vAlign w:val="center"/>
          </w:tcPr>
          <w:p w14:paraId="74E4A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主管部门</w:t>
            </w:r>
          </w:p>
        </w:tc>
        <w:tc>
          <w:tcPr>
            <w:tcW w:w="2379" w:type="pct"/>
            <w:gridSpan w:val="5"/>
            <w:tcBorders>
              <w:top w:val="single" w:color="000000" w:sz="4" w:space="0"/>
              <w:left w:val="single" w:color="000000" w:sz="4" w:space="0"/>
              <w:bottom w:val="single" w:color="000000" w:sz="4" w:space="0"/>
              <w:right w:val="single" w:color="000000" w:sz="4" w:space="0"/>
            </w:tcBorders>
            <w:noWrap w:val="0"/>
            <w:vAlign w:val="center"/>
          </w:tcPr>
          <w:p w14:paraId="538BD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广元市经济合作和外事局部门</w:t>
            </w:r>
          </w:p>
        </w:tc>
        <w:tc>
          <w:tcPr>
            <w:tcW w:w="386" w:type="pct"/>
            <w:tcBorders>
              <w:top w:val="nil"/>
              <w:left w:val="nil"/>
              <w:bottom w:val="nil"/>
              <w:right w:val="nil"/>
            </w:tcBorders>
            <w:noWrap w:val="0"/>
            <w:vAlign w:val="center"/>
          </w:tcPr>
          <w:p w14:paraId="69845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实施单位</w:t>
            </w:r>
          </w:p>
          <w:p w14:paraId="794B7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（盖章）</w:t>
            </w:r>
          </w:p>
        </w:tc>
        <w:tc>
          <w:tcPr>
            <w:tcW w:w="1268" w:type="pct"/>
            <w:gridSpan w:val="3"/>
            <w:tcBorders>
              <w:top w:val="single" w:color="000000" w:sz="4" w:space="0"/>
              <w:left w:val="single" w:color="000000" w:sz="4" w:space="0"/>
              <w:bottom w:val="single" w:color="000000" w:sz="4" w:space="0"/>
              <w:right w:val="single" w:color="000000" w:sz="4" w:space="0"/>
            </w:tcBorders>
            <w:noWrap w:val="0"/>
            <w:vAlign w:val="center"/>
          </w:tcPr>
          <w:p w14:paraId="18A9D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广元市经济合作和外事局</w:t>
            </w:r>
          </w:p>
        </w:tc>
      </w:tr>
      <w:tr w14:paraId="59D5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588E7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项目基本情况</w:t>
            </w: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6EB77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1.项目年度目标完成情况</w:t>
            </w:r>
          </w:p>
        </w:tc>
        <w:tc>
          <w:tcPr>
            <w:tcW w:w="2379" w:type="pct"/>
            <w:gridSpan w:val="5"/>
            <w:tcBorders>
              <w:top w:val="single" w:color="000000" w:sz="4" w:space="0"/>
              <w:left w:val="single" w:color="000000" w:sz="4" w:space="0"/>
              <w:bottom w:val="single" w:color="000000" w:sz="4" w:space="0"/>
              <w:right w:val="single" w:color="000000" w:sz="4" w:space="0"/>
            </w:tcBorders>
            <w:noWrap w:val="0"/>
            <w:vAlign w:val="center"/>
          </w:tcPr>
          <w:p w14:paraId="0D1B2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项目年度目标</w:t>
            </w:r>
          </w:p>
        </w:tc>
        <w:tc>
          <w:tcPr>
            <w:tcW w:w="1654" w:type="pct"/>
            <w:gridSpan w:val="4"/>
            <w:tcBorders>
              <w:top w:val="single" w:color="000000" w:sz="4" w:space="0"/>
              <w:left w:val="single" w:color="000000" w:sz="4" w:space="0"/>
              <w:bottom w:val="single" w:color="000000" w:sz="4" w:space="0"/>
              <w:right w:val="single" w:color="000000" w:sz="4" w:space="0"/>
            </w:tcBorders>
            <w:noWrap w:val="0"/>
            <w:vAlign w:val="center"/>
          </w:tcPr>
          <w:p w14:paraId="75DC1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年度目标完成情况</w:t>
            </w:r>
          </w:p>
        </w:tc>
      </w:tr>
      <w:tr w14:paraId="3A7A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B883D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ABB9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2379" w:type="pct"/>
            <w:gridSpan w:val="5"/>
            <w:tcBorders>
              <w:top w:val="single" w:color="000000" w:sz="4" w:space="0"/>
              <w:left w:val="single" w:color="000000" w:sz="4" w:space="0"/>
              <w:bottom w:val="single" w:color="000000" w:sz="4" w:space="0"/>
              <w:right w:val="single" w:color="000000" w:sz="4" w:space="0"/>
            </w:tcBorders>
            <w:noWrap w:val="0"/>
            <w:vAlign w:val="center"/>
          </w:tcPr>
          <w:p w14:paraId="31F696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深化区域合作，抢抓国家实施新时代推进西部大开发形成新格局战略机遇，共谋区域发展。</w:t>
            </w:r>
          </w:p>
        </w:tc>
        <w:tc>
          <w:tcPr>
            <w:tcW w:w="1654" w:type="pct"/>
            <w:gridSpan w:val="4"/>
            <w:tcBorders>
              <w:top w:val="single" w:color="000000" w:sz="4" w:space="0"/>
              <w:left w:val="single" w:color="000000" w:sz="4" w:space="0"/>
              <w:bottom w:val="single" w:color="000000" w:sz="4" w:space="0"/>
              <w:right w:val="single" w:color="000000" w:sz="4" w:space="0"/>
            </w:tcBorders>
            <w:noWrap w:val="0"/>
            <w:vAlign w:val="center"/>
          </w:tcPr>
          <w:p w14:paraId="6386FC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任务目标已完成</w:t>
            </w:r>
          </w:p>
        </w:tc>
      </w:tr>
      <w:tr w14:paraId="7878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4ACE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04BEE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6"/>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noWrap w:val="0"/>
            <w:vAlign w:val="center"/>
          </w:tcPr>
          <w:p w14:paraId="66EA13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280B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6B0E9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预算执行情况（10分）</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42E59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年度预算数（万元）</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E47B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年初预算</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55436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noWrap w:val="0"/>
            <w:vAlign w:val="center"/>
          </w:tcPr>
          <w:p w14:paraId="572B1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F1B5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预算执行率</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18AA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C9D0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620E7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原因</w:t>
            </w:r>
          </w:p>
        </w:tc>
      </w:tr>
      <w:tr w14:paraId="7070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863D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04508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总额</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06F41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45B44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15.00</w:t>
            </w:r>
          </w:p>
        </w:tc>
        <w:tc>
          <w:tcPr>
            <w:tcW w:w="963" w:type="pct"/>
            <w:gridSpan w:val="3"/>
            <w:tcBorders>
              <w:top w:val="single" w:color="000000" w:sz="4" w:space="0"/>
              <w:left w:val="single" w:color="000000" w:sz="4" w:space="0"/>
              <w:bottom w:val="single" w:color="000000" w:sz="4" w:space="0"/>
              <w:right w:val="single" w:color="000000" w:sz="4" w:space="0"/>
            </w:tcBorders>
            <w:noWrap w:val="0"/>
            <w:vAlign w:val="center"/>
          </w:tcPr>
          <w:p w14:paraId="04332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14.32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9EE1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95.48%</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7422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DA8D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vMerge w:val="restart"/>
            <w:tcBorders>
              <w:top w:val="single" w:color="000000" w:sz="4" w:space="0"/>
              <w:left w:val="single" w:color="000000" w:sz="4" w:space="0"/>
              <w:bottom w:val="single" w:color="000000" w:sz="4" w:space="0"/>
              <w:right w:val="single" w:color="000000" w:sz="4" w:space="0"/>
            </w:tcBorders>
            <w:noWrap w:val="0"/>
            <w:vAlign w:val="center"/>
          </w:tcPr>
          <w:p w14:paraId="3EDD70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1.预算执行率=预算执行数/调整后预算数，预算执行率未达到90%的需说明原因（100字以内）;</w:t>
            </w:r>
          </w:p>
          <w:p w14:paraId="1A278D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2.年中发生预算调整的（追加或调减）,应单独说明理由；</w:t>
            </w:r>
          </w:p>
          <w:p w14:paraId="7014C1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3.其他资金包括：社会投入资金、银行贷款。</w:t>
            </w:r>
          </w:p>
        </w:tc>
      </w:tr>
      <w:tr w14:paraId="6DFB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193B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D65C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其中：财政资金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8B06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291AD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15.00</w:t>
            </w:r>
          </w:p>
        </w:tc>
        <w:tc>
          <w:tcPr>
            <w:tcW w:w="963" w:type="pct"/>
            <w:gridSpan w:val="3"/>
            <w:tcBorders>
              <w:top w:val="single" w:color="000000" w:sz="4" w:space="0"/>
              <w:left w:val="single" w:color="000000" w:sz="4" w:space="0"/>
              <w:bottom w:val="single" w:color="000000" w:sz="4" w:space="0"/>
              <w:right w:val="single" w:color="000000" w:sz="4" w:space="0"/>
            </w:tcBorders>
            <w:noWrap w:val="0"/>
            <w:vAlign w:val="center"/>
          </w:tcPr>
          <w:p w14:paraId="0A8C2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14.32</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09DA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95.48%</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9E02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8CB2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A8B0C6">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18D9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C2F4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04E5E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财政专户管理资金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78D0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3DD29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noWrap w:val="0"/>
            <w:vAlign w:val="center"/>
          </w:tcPr>
          <w:p w14:paraId="7CA58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5AA3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811B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586E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A68C7D">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22F4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F896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DBE8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294B9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6A0D6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noWrap w:val="0"/>
            <w:vAlign w:val="center"/>
          </w:tcPr>
          <w:p w14:paraId="7A5D9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DBFF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0.00%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336A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97EA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85F950">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3F15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4FA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4CB5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其他资金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D122D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0CEEB7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963" w:type="pct"/>
            <w:gridSpan w:val="3"/>
            <w:tcBorders>
              <w:top w:val="single" w:color="000000" w:sz="4" w:space="0"/>
              <w:left w:val="single" w:color="000000" w:sz="4" w:space="0"/>
              <w:bottom w:val="single" w:color="000000" w:sz="4" w:space="0"/>
              <w:right w:val="single" w:color="000000" w:sz="4" w:space="0"/>
            </w:tcBorders>
            <w:noWrap w:val="0"/>
            <w:vAlign w:val="center"/>
          </w:tcPr>
          <w:p w14:paraId="1A6DB4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985C8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4E7D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78CB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26952">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i w:val="0"/>
                <w:iCs w:val="0"/>
                <w:color w:val="000000"/>
                <w:sz w:val="18"/>
                <w:szCs w:val="18"/>
                <w:u w:val="none"/>
              </w:rPr>
            </w:pPr>
          </w:p>
        </w:tc>
      </w:tr>
      <w:tr w14:paraId="3D96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restart"/>
            <w:tcBorders>
              <w:top w:val="single" w:color="000000" w:sz="4" w:space="0"/>
              <w:left w:val="single" w:color="000000" w:sz="4" w:space="0"/>
              <w:bottom w:val="single" w:color="000000" w:sz="4" w:space="0"/>
              <w:right w:val="single" w:color="000000" w:sz="4" w:space="0"/>
            </w:tcBorders>
            <w:noWrap w:val="0"/>
            <w:vAlign w:val="center"/>
          </w:tcPr>
          <w:p w14:paraId="7DE58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绩效指标（90分）</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3C49D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一级指标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55E45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二级指标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62CAF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6BC9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01025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6061A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7D5B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完成值</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90BE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D355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226D20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未完成原因分析</w:t>
            </w:r>
          </w:p>
        </w:tc>
      </w:tr>
      <w:tr w14:paraId="59E9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E55D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restart"/>
            <w:tcBorders>
              <w:top w:val="single" w:color="000000" w:sz="4" w:space="0"/>
              <w:left w:val="single" w:color="000000" w:sz="4" w:space="0"/>
              <w:bottom w:val="single" w:color="000000" w:sz="4" w:space="0"/>
              <w:right w:val="single" w:color="000000" w:sz="4" w:space="0"/>
            </w:tcBorders>
            <w:noWrap w:val="0"/>
            <w:vAlign w:val="center"/>
          </w:tcPr>
          <w:p w14:paraId="6F1B2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产出指标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7E2E0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数量指标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70F8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参会人数</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1B05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7DCEF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0CCF7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DE01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979F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7001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5630BE3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17FB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C3A7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1449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BF79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质量指标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0D7324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保障大会顺利召开</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0CFD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638AE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51EA5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级</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0F9A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A8C01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0EDC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04AF4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17946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55992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68494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效益指标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13881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经济效益指标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6DAC9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深化合作交流、共谋区域发展</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9611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定性</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7218C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52136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级</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AF5DA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5B995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1A35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CD3B3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4274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EF4E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1CF1A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满意度指标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D39C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服务对象满意度指标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144A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参会人员满意度</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7F324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082E3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47D07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3FD1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6CCDB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35119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11C68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2201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A5DA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721" w:type="pct"/>
            <w:tcBorders>
              <w:top w:val="single" w:color="000000" w:sz="4" w:space="0"/>
              <w:left w:val="single" w:color="000000" w:sz="4" w:space="0"/>
              <w:bottom w:val="single" w:color="000000" w:sz="4" w:space="0"/>
              <w:right w:val="single" w:color="000000" w:sz="4" w:space="0"/>
            </w:tcBorders>
            <w:noWrap w:val="0"/>
            <w:vAlign w:val="center"/>
          </w:tcPr>
          <w:p w14:paraId="5E5D5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成本指标</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14:paraId="4D835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经济成本指标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189B8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保障会议召开所需费用</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4BB08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14:paraId="31B7D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150000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14:paraId="56A64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9886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143200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AB31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0A5DA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7F0F78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5E54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3731" w:type="pct"/>
            <w:gridSpan w:val="8"/>
            <w:tcBorders>
              <w:top w:val="single" w:color="000000" w:sz="4" w:space="0"/>
              <w:left w:val="single" w:color="000000" w:sz="4" w:space="0"/>
              <w:bottom w:val="single" w:color="000000" w:sz="4" w:space="0"/>
              <w:right w:val="single" w:color="000000" w:sz="4" w:space="0"/>
            </w:tcBorders>
            <w:noWrap w:val="0"/>
            <w:vAlign w:val="center"/>
          </w:tcPr>
          <w:p w14:paraId="56D8C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合计</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2484D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noWrap w:val="0"/>
            <w:vAlign w:val="center"/>
          </w:tcPr>
          <w:p w14:paraId="158DE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432AC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r>
      <w:tr w14:paraId="4F89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59601E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61DF1A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陕甘川宁毗邻地区经济联合会第34届年会支出绩效自查自评结果良好，项目经费支出保证了年会顺利召开，按照陕甘川宁毗邻地区经济联合会第34届年会支出绩效评价指标体系对我单位预算编制、预算执行、完成结果、信息公开、整改反馈等方面进行了自评，最终得分100分。</w:t>
            </w:r>
          </w:p>
        </w:tc>
      </w:tr>
      <w:tr w14:paraId="528D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055E12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55089A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预算绩效管理需进一步加强，设定的绩效目标还不够科学精准。</w:t>
            </w:r>
          </w:p>
        </w:tc>
      </w:tr>
      <w:tr w14:paraId="4055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44" w:type="pct"/>
            <w:tcBorders>
              <w:top w:val="single" w:color="000000" w:sz="4" w:space="0"/>
              <w:left w:val="single" w:color="000000" w:sz="4" w:space="0"/>
              <w:bottom w:val="single" w:color="000000" w:sz="4" w:space="0"/>
              <w:right w:val="single" w:color="000000" w:sz="4" w:space="0"/>
            </w:tcBorders>
            <w:noWrap w:val="0"/>
            <w:vAlign w:val="center"/>
          </w:tcPr>
          <w:p w14:paraId="01015B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5" w:type="pct"/>
            <w:gridSpan w:val="10"/>
            <w:tcBorders>
              <w:top w:val="single" w:color="000000" w:sz="4" w:space="0"/>
              <w:left w:val="single" w:color="000000" w:sz="4" w:space="0"/>
              <w:bottom w:val="single" w:color="000000" w:sz="4" w:space="0"/>
              <w:right w:val="single" w:color="000000" w:sz="4" w:space="0"/>
            </w:tcBorders>
            <w:noWrap w:val="0"/>
            <w:vAlign w:val="center"/>
          </w:tcPr>
          <w:p w14:paraId="6266E1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进一步健全和完善绩效管理制度及内部控制制度，创新管理手段，用新思路、新方法，改进完善财务管理方法。</w:t>
            </w:r>
          </w:p>
        </w:tc>
      </w:tr>
      <w:tr w14:paraId="4D5D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2567" w:type="pct"/>
            <w:gridSpan w:val="5"/>
            <w:tcBorders>
              <w:top w:val="single" w:color="000000" w:sz="4" w:space="0"/>
              <w:left w:val="single" w:color="000000" w:sz="4" w:space="0"/>
              <w:bottom w:val="single" w:color="000000" w:sz="4" w:space="0"/>
              <w:right w:val="single" w:color="000000" w:sz="4" w:space="0"/>
            </w:tcBorders>
            <w:noWrap w:val="0"/>
            <w:vAlign w:val="center"/>
          </w:tcPr>
          <w:p w14:paraId="0DEF4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项目负责人：</w:t>
            </w:r>
          </w:p>
        </w:tc>
        <w:tc>
          <w:tcPr>
            <w:tcW w:w="2432" w:type="pct"/>
            <w:gridSpan w:val="6"/>
            <w:tcBorders>
              <w:top w:val="single" w:color="000000" w:sz="4" w:space="0"/>
              <w:left w:val="single" w:color="000000" w:sz="4" w:space="0"/>
              <w:bottom w:val="single" w:color="000000" w:sz="4" w:space="0"/>
              <w:right w:val="single" w:color="000000" w:sz="4" w:space="0"/>
            </w:tcBorders>
            <w:noWrap w:val="0"/>
            <w:vAlign w:val="center"/>
          </w:tcPr>
          <w:p w14:paraId="55298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财务负责人：李明亮</w:t>
            </w:r>
          </w:p>
        </w:tc>
      </w:tr>
    </w:tbl>
    <w:p w14:paraId="5F33133F">
      <w:pPr>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2429"/>
        <w:gridCol w:w="1686"/>
        <w:gridCol w:w="2444"/>
        <w:gridCol w:w="577"/>
        <w:gridCol w:w="1806"/>
        <w:gridCol w:w="571"/>
        <w:gridCol w:w="1191"/>
        <w:gridCol w:w="577"/>
        <w:gridCol w:w="577"/>
        <w:gridCol w:w="2752"/>
      </w:tblGrid>
      <w:tr w14:paraId="050C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6A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6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E1A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51080022Y000000267568-定额公用经费（事业）</w:t>
            </w:r>
          </w:p>
        </w:tc>
      </w:tr>
      <w:tr w14:paraId="03E2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9" w:hRule="exact"/>
        </w:trPr>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84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3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DA8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87" w:type="pct"/>
            <w:tcBorders>
              <w:top w:val="nil"/>
              <w:left w:val="nil"/>
              <w:bottom w:val="nil"/>
              <w:right w:val="nil"/>
            </w:tcBorders>
            <w:shd w:val="clear" w:color="auto" w:fill="auto"/>
            <w:vAlign w:val="center"/>
          </w:tcPr>
          <w:p w14:paraId="26ACA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2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2E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4759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AB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4A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3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7DA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F5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4AB2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7A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9030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3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ED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提高预算编制质量，严格执行预算，保障单位日常运转。</w:t>
            </w:r>
          </w:p>
        </w:tc>
        <w:tc>
          <w:tcPr>
            <w:tcW w:w="16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F15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3C46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4AA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4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6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20B2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88F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AF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DD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B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A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79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1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5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5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8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72BB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8FB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D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9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2A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43.20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B7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42.67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7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98.76%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A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2A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801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1A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FA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F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4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A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43.20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70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42.67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A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98.76%</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E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2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28B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668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6A8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2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7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0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28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A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A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B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209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1BA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F5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E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8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2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86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E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0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2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8FAB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69B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DF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A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78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08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909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22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B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0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A2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5E3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5" w:hRule="exac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89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2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2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5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7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6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A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D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C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9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1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444C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C8F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FC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8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C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科目调整次数</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F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1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0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C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F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E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BE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79C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A3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77D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9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3B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预算编制准确率（计算方法为：∣（执行数-预算数）/预算数∣）</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F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8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4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1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4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8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7E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DAF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0"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B89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E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B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经济效益指标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D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“三公经费”控制率[计算方法为：（三公经费实际支出数/预算安排数]×100%）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4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B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B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3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A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E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57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7D2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40C6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E3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B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1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运转保障率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3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C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7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8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2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9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67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1C3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372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7E6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E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4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39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02A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9E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5B1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2024年我单位严格按照规定使用定额公用经费，保障了单位正常工作运转，资金效率使用较高。</w:t>
            </w:r>
          </w:p>
        </w:tc>
      </w:tr>
      <w:tr w14:paraId="2177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5B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D53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1F95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56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F91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6B68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5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8C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项目负责人：蒲程</w:t>
            </w:r>
          </w:p>
        </w:tc>
        <w:tc>
          <w:tcPr>
            <w:tcW w:w="243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A6D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财务负责人：蒲程</w:t>
            </w:r>
          </w:p>
        </w:tc>
      </w:tr>
    </w:tbl>
    <w:p w14:paraId="262A0E13">
      <w:pPr>
        <w:rPr>
          <w:rFonts w:hint="eastAsia"/>
          <w:lang w:val="en-US" w:eastAsia="zh-CN"/>
        </w:rPr>
      </w:pPr>
      <w:r>
        <w:rPr>
          <w:rFonts w:hint="eastAsia"/>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2496"/>
        <w:gridCol w:w="1621"/>
        <w:gridCol w:w="2435"/>
        <w:gridCol w:w="571"/>
        <w:gridCol w:w="1806"/>
        <w:gridCol w:w="571"/>
        <w:gridCol w:w="1198"/>
        <w:gridCol w:w="577"/>
        <w:gridCol w:w="580"/>
        <w:gridCol w:w="2752"/>
      </w:tblGrid>
      <w:tr w14:paraId="4B17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3A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7DA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51080023R000009698970-单位年度考核奖</w:t>
            </w:r>
          </w:p>
        </w:tc>
      </w:tr>
      <w:tr w14:paraId="2A26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2" w:hRule="exac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CB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8A6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88" w:type="pct"/>
            <w:tcBorders>
              <w:top w:val="nil"/>
              <w:left w:val="nil"/>
              <w:bottom w:val="nil"/>
              <w:right w:val="nil"/>
            </w:tcBorders>
            <w:shd w:val="clear" w:color="auto" w:fill="auto"/>
            <w:vAlign w:val="center"/>
          </w:tcPr>
          <w:p w14:paraId="59BE8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2B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3601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2C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6F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3F7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A6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1FF6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728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B6B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9DD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F50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41AC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48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8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C2B5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321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D7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E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1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1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1A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A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0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9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7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03B8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D67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2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9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37.60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2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69.55</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45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69.55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B4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4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AA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343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9AD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36F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7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D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37.60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2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69.55</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C2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69.55</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7C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1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F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5CD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998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C64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A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D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2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36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E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39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9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481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881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D28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B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F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F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22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3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8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2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11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9C4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FD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4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67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0E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249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CD6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E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2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1EE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1A3B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3"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17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2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E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1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5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3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F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E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0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9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F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0C45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6E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8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E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4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5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2C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C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A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C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D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B9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F1D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D7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C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1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3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2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7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E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7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1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7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40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AAC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6F9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9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CE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E29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C6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DE9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2024年我单位严格按照规定使用单位年度考核奖资金，按规定管理，按规定发放，保障了职工基本权益，资金执行率100%。</w:t>
            </w:r>
          </w:p>
        </w:tc>
      </w:tr>
      <w:tr w14:paraId="1B12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C9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23E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6DD3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CD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86A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557A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5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0E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项目负责人：蒲程</w:t>
            </w:r>
          </w:p>
        </w:tc>
        <w:tc>
          <w:tcPr>
            <w:tcW w:w="24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AEE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财务负责人：蒲程</w:t>
            </w:r>
          </w:p>
        </w:tc>
      </w:tr>
    </w:tbl>
    <w:p w14:paraId="5591F1FB">
      <w:pPr>
        <w:rPr>
          <w:rFonts w:hint="eastAsia"/>
          <w:lang w:val="en-US" w:eastAsia="zh-CN"/>
        </w:rPr>
      </w:pPr>
      <w:r>
        <w:rPr>
          <w:rFonts w:hint="eastAsia"/>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2398"/>
        <w:gridCol w:w="1716"/>
        <w:gridCol w:w="2435"/>
        <w:gridCol w:w="574"/>
        <w:gridCol w:w="1806"/>
        <w:gridCol w:w="571"/>
        <w:gridCol w:w="1198"/>
        <w:gridCol w:w="577"/>
        <w:gridCol w:w="580"/>
        <w:gridCol w:w="2752"/>
      </w:tblGrid>
      <w:tr w14:paraId="2167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F0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4EE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51080024R000010823060-单位缴费（在职人员五险两金）</w:t>
            </w:r>
          </w:p>
        </w:tc>
      </w:tr>
      <w:tr w14:paraId="6937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8" w:hRule="exact"/>
        </w:trPr>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3B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3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5D3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88" w:type="pct"/>
            <w:tcBorders>
              <w:top w:val="nil"/>
              <w:left w:val="nil"/>
              <w:bottom w:val="nil"/>
              <w:right w:val="nil"/>
            </w:tcBorders>
            <w:shd w:val="clear" w:color="auto" w:fill="auto"/>
            <w:vAlign w:val="center"/>
          </w:tcPr>
          <w:p w14:paraId="0A8FD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B4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593D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4D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7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5C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3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696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02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020F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9"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4D7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02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3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8F3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FC6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22E0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A1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7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FFA9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92C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49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A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3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8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B2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1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2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B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E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443F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66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0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9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176.90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9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190.50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4E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190.50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3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5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61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A1A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8B2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C57E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D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8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176.90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9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190.50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10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190.50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7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1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A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EB2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800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C8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5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3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A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33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C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7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7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D30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845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54A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D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4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9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23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9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6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8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AA1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DAD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1AD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5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8DB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19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CC4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45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C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6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E65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936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2"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AE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F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9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9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9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0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8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4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9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7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C1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0287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374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1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7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8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发放（缴纳）覆盖率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2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9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4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B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9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9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40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45D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F7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F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7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F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足额保障率（参保率）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B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8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1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F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D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B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E8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E6F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08B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7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1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D0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729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04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037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2024年我单位严格按照规定管理和使用该资金，及时足额缴纳职工各类保险及住房公积金等费用，充分保障职工的基本权益。</w:t>
            </w:r>
          </w:p>
        </w:tc>
      </w:tr>
      <w:tr w14:paraId="0111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4A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D8D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5336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C0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146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5C5B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5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E74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项目负责人：蒲程</w:t>
            </w:r>
          </w:p>
        </w:tc>
        <w:tc>
          <w:tcPr>
            <w:tcW w:w="24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0E0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财务负责人：蒲程</w:t>
            </w:r>
          </w:p>
        </w:tc>
      </w:tr>
    </w:tbl>
    <w:p w14:paraId="1EB86FBB">
      <w:pPr>
        <w:rPr>
          <w:rFonts w:hint="eastAsia"/>
          <w:lang w:val="en-US" w:eastAsia="zh-CN"/>
        </w:rPr>
      </w:pPr>
      <w:r>
        <w:rPr>
          <w:rFonts w:hint="eastAsia"/>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2367"/>
        <w:gridCol w:w="1747"/>
        <w:gridCol w:w="2435"/>
        <w:gridCol w:w="574"/>
        <w:gridCol w:w="1806"/>
        <w:gridCol w:w="571"/>
        <w:gridCol w:w="1198"/>
        <w:gridCol w:w="577"/>
        <w:gridCol w:w="580"/>
        <w:gridCol w:w="2752"/>
      </w:tblGrid>
      <w:tr w14:paraId="0C2F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BC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8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6D4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51080024R000010823428-事业人员工资性支出</w:t>
            </w:r>
          </w:p>
        </w:tc>
      </w:tr>
      <w:tr w14:paraId="7AC6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exact"/>
        </w:trPr>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BF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971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88" w:type="pct"/>
            <w:tcBorders>
              <w:top w:val="nil"/>
              <w:left w:val="nil"/>
              <w:bottom w:val="nil"/>
              <w:right w:val="nil"/>
            </w:tcBorders>
            <w:shd w:val="clear" w:color="auto" w:fill="auto"/>
            <w:vAlign w:val="center"/>
          </w:tcPr>
          <w:p w14:paraId="22EFB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85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5CA8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9D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D5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7A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93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5E1D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C9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602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8CB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14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6AC2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F11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B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8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8826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615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85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4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F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8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E4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5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B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6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0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7BE0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9C3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5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D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161.64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A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161.64</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4D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161.64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3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5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6D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E80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C019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C70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9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C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161.64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CC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161.64</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22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161.64</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0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73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9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A7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891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329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8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1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F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88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B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3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4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21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7B3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116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7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9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3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70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B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21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F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D83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7D4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08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A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FE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98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DB3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1C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7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3A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E4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35C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9"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5D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D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3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0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9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6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9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B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1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6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6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0015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1B5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2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2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1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发放（缴纳）覆盖率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5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5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C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3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9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E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8C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321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019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8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1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F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足额保障率（参保率）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D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B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0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F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8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E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E3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C2B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786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0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D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AE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7A3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2D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5C8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2024年我单位严格按照规定使用事业人员工资性支出，按规定管理，按规定发放足额及时发放，保障了职工基本权益，资金执行率100%。</w:t>
            </w:r>
          </w:p>
        </w:tc>
      </w:tr>
      <w:tr w14:paraId="6F45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5C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2FF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6256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65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DAB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6029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5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333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项目负责人：蒲程</w:t>
            </w:r>
          </w:p>
        </w:tc>
        <w:tc>
          <w:tcPr>
            <w:tcW w:w="24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6B93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财务负责人：蒲程</w:t>
            </w:r>
          </w:p>
        </w:tc>
      </w:tr>
    </w:tbl>
    <w:p w14:paraId="1721DF37">
      <w:pPr>
        <w:rPr>
          <w:rFonts w:hint="eastAsia"/>
          <w:lang w:val="en-US" w:eastAsia="zh-CN"/>
        </w:rPr>
      </w:pPr>
      <w:r>
        <w:rPr>
          <w:rFonts w:hint="eastAsia"/>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2355"/>
        <w:gridCol w:w="1763"/>
        <w:gridCol w:w="2435"/>
        <w:gridCol w:w="571"/>
        <w:gridCol w:w="1806"/>
        <w:gridCol w:w="571"/>
        <w:gridCol w:w="1198"/>
        <w:gridCol w:w="577"/>
        <w:gridCol w:w="580"/>
        <w:gridCol w:w="2751"/>
      </w:tblGrid>
      <w:tr w14:paraId="1489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15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64B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51080024R000010824175-事业人员基础绩效奖</w:t>
            </w:r>
          </w:p>
        </w:tc>
      </w:tr>
      <w:tr w14:paraId="3FEA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4" w:hRule="exact"/>
        </w:trPr>
        <w:tc>
          <w:tcPr>
            <w:tcW w:w="10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B6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3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DA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88" w:type="pct"/>
            <w:tcBorders>
              <w:top w:val="nil"/>
              <w:left w:val="nil"/>
              <w:bottom w:val="nil"/>
              <w:right w:val="nil"/>
            </w:tcBorders>
            <w:shd w:val="clear" w:color="auto" w:fill="auto"/>
            <w:vAlign w:val="center"/>
          </w:tcPr>
          <w:p w14:paraId="6EB87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81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1C8B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5A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F4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3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9C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60A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72A8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2"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13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77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3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06BB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DAD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556A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8D3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8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AD45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B38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22C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8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0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A3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80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2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7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7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5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6300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2F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2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9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2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75.11</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ED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75.11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6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1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87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6BE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3D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8BF4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25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E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96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75.11</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0A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75.11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D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D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62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392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87E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C3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7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9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7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3E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D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2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2C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9CF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C3B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5D6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3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6A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2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D1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8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4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C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9E6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D52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A62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2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EE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E3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AA6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E7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8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4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5D9E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93C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D4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8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B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3D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E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49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6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9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0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9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3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712D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3E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8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4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4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7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7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8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8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A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0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B3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E60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A03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0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E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2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2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1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A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8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F8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3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E1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D6F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C59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F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6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CD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DC5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3C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F92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2024年我单位严格按照规定使用事业人员基础绩效奖，按规定管理，按规定发放足额及时发放，保障了职工基本权益，资金执行率100%。</w:t>
            </w:r>
          </w:p>
        </w:tc>
      </w:tr>
      <w:tr w14:paraId="255E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1F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CB1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0FEB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9F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C22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29E6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5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87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项目负责人：李明亮</w:t>
            </w:r>
          </w:p>
        </w:tc>
        <w:tc>
          <w:tcPr>
            <w:tcW w:w="24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A01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财务负责人：李明亮</w:t>
            </w:r>
          </w:p>
        </w:tc>
      </w:tr>
    </w:tbl>
    <w:p w14:paraId="34FCCA14">
      <w:pPr>
        <w:rPr>
          <w:rFonts w:hint="eastAsia"/>
          <w:lang w:val="en-US" w:eastAsia="zh-CN"/>
        </w:rPr>
      </w:pPr>
      <w:r>
        <w:rPr>
          <w:rFonts w:hint="eastAsia"/>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2413"/>
        <w:gridCol w:w="1738"/>
        <w:gridCol w:w="2453"/>
        <w:gridCol w:w="574"/>
        <w:gridCol w:w="1821"/>
        <w:gridCol w:w="571"/>
        <w:gridCol w:w="1201"/>
        <w:gridCol w:w="574"/>
        <w:gridCol w:w="593"/>
        <w:gridCol w:w="2672"/>
      </w:tblGrid>
      <w:tr w14:paraId="3875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AB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7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F13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51080024R000010824550-公务员基础绩效奖</w:t>
            </w:r>
          </w:p>
        </w:tc>
      </w:tr>
      <w:tr w14:paraId="79F9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6" w:hRule="exact"/>
        </w:trPr>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C0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3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54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90" w:type="pct"/>
            <w:tcBorders>
              <w:top w:val="nil"/>
              <w:left w:val="nil"/>
              <w:bottom w:val="nil"/>
              <w:right w:val="nil"/>
            </w:tcBorders>
            <w:shd w:val="clear" w:color="auto" w:fill="auto"/>
            <w:vAlign w:val="center"/>
          </w:tcPr>
          <w:p w14:paraId="4D7D3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2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F0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1B9A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46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7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AF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3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0F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6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FE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368B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5A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0F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3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6BC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4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CC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0E9F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60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7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7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9185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65A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C2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6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51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2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59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8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7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E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8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42CE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31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6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6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84.46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8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84.46</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D7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84.46</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2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7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5E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7C3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6D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E5F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6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1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84.46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F0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84.46</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89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84.46</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A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6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7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9E24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DB1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C940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A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3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D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3C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3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F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4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042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B4B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23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A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D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C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02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1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A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B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00F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1A7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79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3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8D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FC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24B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90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F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0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9B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C16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exac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0A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6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B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9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2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F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C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6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2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9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A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0098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7D2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2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3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4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发放（缴纳）覆盖率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5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D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B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E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D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7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DF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8DD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4E4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3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E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E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足额保障率（参保率）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7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8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0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D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3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9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D8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532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374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2AE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9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B8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34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EDD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94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2F3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2024年我单位严格按照规定使用公务员基础绩效奖，按规定管理，按规定发放足额及时发放，保障了职工基本权益，资金执行率100%。</w:t>
            </w:r>
          </w:p>
        </w:tc>
      </w:tr>
      <w:tr w14:paraId="57FB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D1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F3E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7760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BC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83E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0AEE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5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5B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项目负责人：李明亮</w:t>
            </w:r>
          </w:p>
        </w:tc>
        <w:tc>
          <w:tcPr>
            <w:tcW w:w="24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03A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财务负责人：李明亮</w:t>
            </w:r>
          </w:p>
        </w:tc>
      </w:tr>
    </w:tbl>
    <w:p w14:paraId="3261DCC9">
      <w:pPr>
        <w:rPr>
          <w:rFonts w:hint="eastAsia"/>
          <w:lang w:val="en-US" w:eastAsia="zh-CN"/>
        </w:rPr>
      </w:pPr>
      <w:r>
        <w:rPr>
          <w:rFonts w:hint="eastAsia"/>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2426"/>
        <w:gridCol w:w="1692"/>
        <w:gridCol w:w="2435"/>
        <w:gridCol w:w="571"/>
        <w:gridCol w:w="1806"/>
        <w:gridCol w:w="571"/>
        <w:gridCol w:w="1198"/>
        <w:gridCol w:w="577"/>
        <w:gridCol w:w="580"/>
        <w:gridCol w:w="2751"/>
      </w:tblGrid>
      <w:tr w14:paraId="7BE9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24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6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D9A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51080024R000010825320-退休人员生活补（助）贴</w:t>
            </w:r>
          </w:p>
        </w:tc>
      </w:tr>
      <w:tr w14:paraId="7BA1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8" w:hRule="exact"/>
        </w:trPr>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D4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3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00E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88" w:type="pct"/>
            <w:tcBorders>
              <w:top w:val="nil"/>
              <w:left w:val="nil"/>
              <w:bottom w:val="nil"/>
              <w:right w:val="nil"/>
            </w:tcBorders>
            <w:shd w:val="clear" w:color="auto" w:fill="auto"/>
            <w:vAlign w:val="center"/>
          </w:tcPr>
          <w:p w14:paraId="0DB3A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CF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1801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4D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7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89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3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097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E64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7A6A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8"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BE5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A79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3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286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53F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6813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BC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9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6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949B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2F7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BC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4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B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B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2B3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9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3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B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F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2E22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5E5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9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7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70.56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8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70.56</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BC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70.56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4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0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49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F6E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4C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4CC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7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3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70.56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90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70.56</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44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70.56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E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1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2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F1F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397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255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2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1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6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49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C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2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1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EED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327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8BA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C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D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3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C0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B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0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4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7C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749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5C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D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82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9A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C1C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E1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6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B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CFD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7AA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3"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57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3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5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E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D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6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6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3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1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5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5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5C53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9F6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2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E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0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1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F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A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8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F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7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C2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11E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40B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8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29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2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7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2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8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6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B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7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DD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96D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209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B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F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56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C26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8E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EC4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2024年我单位严格按照规定使用退休人员生活补助费用，按规定管理，按规定发放足额及时发放，保障了退休职工基本权益，资金执行率100%。</w:t>
            </w:r>
          </w:p>
        </w:tc>
      </w:tr>
      <w:tr w14:paraId="7122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9B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DD6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655E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B1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7B3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5C99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5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F92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项目负责人：李明亮</w:t>
            </w:r>
          </w:p>
        </w:tc>
        <w:tc>
          <w:tcPr>
            <w:tcW w:w="24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F97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财务负责人：李明亮</w:t>
            </w:r>
          </w:p>
        </w:tc>
      </w:tr>
    </w:tbl>
    <w:p w14:paraId="6E0F593D">
      <w:pPr>
        <w:rPr>
          <w:rFonts w:hint="eastAsia"/>
          <w:lang w:val="en-US" w:eastAsia="zh-CN"/>
        </w:rPr>
      </w:pPr>
      <w:r>
        <w:rPr>
          <w:rFonts w:hint="eastAsia"/>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2402"/>
        <w:gridCol w:w="1717"/>
        <w:gridCol w:w="2435"/>
        <w:gridCol w:w="574"/>
        <w:gridCol w:w="1806"/>
        <w:gridCol w:w="571"/>
        <w:gridCol w:w="1192"/>
        <w:gridCol w:w="577"/>
        <w:gridCol w:w="577"/>
        <w:gridCol w:w="2759"/>
      </w:tblGrid>
      <w:tr w14:paraId="0D99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6A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E32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51080024R000010825886-遗属生活补助</w:t>
            </w:r>
          </w:p>
        </w:tc>
      </w:tr>
      <w:tr w14:paraId="2B79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hRule="exact"/>
        </w:trPr>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8B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3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DF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87" w:type="pct"/>
            <w:tcBorders>
              <w:top w:val="nil"/>
              <w:left w:val="nil"/>
              <w:bottom w:val="nil"/>
              <w:right w:val="nil"/>
            </w:tcBorders>
            <w:shd w:val="clear" w:color="auto" w:fill="auto"/>
            <w:vAlign w:val="center"/>
          </w:tcPr>
          <w:p w14:paraId="10AB9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2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A8E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2022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50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7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D2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3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604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3B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7A9C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03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5D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3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C5B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50E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5668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B91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5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DF8C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004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BA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B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1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9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01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F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0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0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4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4712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77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7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F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DF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10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6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94.74%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8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60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87D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8B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D8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C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3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5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54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CF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94.74%</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2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F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56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B69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62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4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2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5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14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F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2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5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B2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04F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C9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4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9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3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FE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7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6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D7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0B8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45D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43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3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A5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6A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605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8D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5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6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21D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425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exac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FA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A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9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8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C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8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E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C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C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B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D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402C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C5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A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0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7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发放（缴纳）覆盖率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A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79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6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1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F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1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1E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7C3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08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4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1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F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足额保障率（参保率）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D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3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2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9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A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1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B5A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524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37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312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6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8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4A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4A6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95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B5B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2024年我单位严格按照规定使用遗属生活补助，按规定管理，按规定发放足额及时发放，保障了遗属人员基本权益。</w:t>
            </w:r>
          </w:p>
        </w:tc>
      </w:tr>
      <w:tr w14:paraId="2F65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28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18F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6EFE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A0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B0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5B00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5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87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项目负责人：李明亮</w:t>
            </w:r>
          </w:p>
        </w:tc>
        <w:tc>
          <w:tcPr>
            <w:tcW w:w="24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A36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财务负责人：李明亮</w:t>
            </w:r>
          </w:p>
        </w:tc>
      </w:tr>
    </w:tbl>
    <w:p w14:paraId="67CEDAB2">
      <w:pPr>
        <w:rPr>
          <w:rFonts w:hint="eastAsia"/>
          <w:lang w:val="en-US" w:eastAsia="zh-CN"/>
        </w:rPr>
      </w:pPr>
      <w:r>
        <w:rPr>
          <w:rFonts w:hint="eastAsia"/>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2367"/>
        <w:gridCol w:w="1747"/>
        <w:gridCol w:w="2435"/>
        <w:gridCol w:w="574"/>
        <w:gridCol w:w="1806"/>
        <w:gridCol w:w="571"/>
        <w:gridCol w:w="1198"/>
        <w:gridCol w:w="577"/>
        <w:gridCol w:w="580"/>
        <w:gridCol w:w="2752"/>
      </w:tblGrid>
      <w:tr w14:paraId="444F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A9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8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69F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51080024R000010828112-行政人员工资性支出</w:t>
            </w:r>
          </w:p>
        </w:tc>
      </w:tr>
      <w:tr w14:paraId="22D9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4" w:hRule="exact"/>
        </w:trPr>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53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8DB8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88" w:type="pct"/>
            <w:tcBorders>
              <w:top w:val="nil"/>
              <w:left w:val="nil"/>
              <w:bottom w:val="nil"/>
              <w:right w:val="nil"/>
            </w:tcBorders>
            <w:shd w:val="clear" w:color="auto" w:fill="auto"/>
            <w:vAlign w:val="center"/>
          </w:tcPr>
          <w:p w14:paraId="1CFF89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94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42EE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25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29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97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590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33A2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3"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A13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CF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3753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E2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759B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526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9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8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EADC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E1C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7C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B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A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B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1A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0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E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A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0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7D46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4A1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E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8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186.53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1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249.51</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3F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249.51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B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54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2B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A27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C9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10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8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E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186.53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6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249.51</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66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249.51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4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A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0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A6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862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6E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D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F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E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70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DC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3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3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7E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55C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8D3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E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7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8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E6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0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B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E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5C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4B6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45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C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CE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31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C2A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C4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1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E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24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FA2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9"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CF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5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4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F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D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4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6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A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A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8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E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1B71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2B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F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B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E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发放（缴纳）覆盖率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A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1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1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4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F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7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B2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FF4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73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6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F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2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足额保障率（参保率）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5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E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5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0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C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F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23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06F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9F8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2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0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FC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743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51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474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2024年我单位严格按照规定使用行政人员工资性支出，按规定管理，按规定发放足额及时发放，保障了职工基本权益，资金执行率100%。</w:t>
            </w:r>
          </w:p>
        </w:tc>
      </w:tr>
      <w:tr w14:paraId="090D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B8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219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288C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5D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814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2440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5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06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项目负责人：李明亮</w:t>
            </w:r>
          </w:p>
        </w:tc>
        <w:tc>
          <w:tcPr>
            <w:tcW w:w="24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138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财务负责人：李明亮</w:t>
            </w:r>
          </w:p>
        </w:tc>
      </w:tr>
    </w:tbl>
    <w:p w14:paraId="0853CA19">
      <w:pPr>
        <w:rPr>
          <w:rFonts w:hint="eastAsia"/>
          <w:lang w:val="en-US" w:eastAsia="zh-CN"/>
        </w:rPr>
      </w:pPr>
      <w:r>
        <w:rPr>
          <w:rFonts w:hint="eastAsia"/>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2386"/>
        <w:gridCol w:w="1729"/>
        <w:gridCol w:w="2432"/>
        <w:gridCol w:w="580"/>
        <w:gridCol w:w="1806"/>
        <w:gridCol w:w="568"/>
        <w:gridCol w:w="1195"/>
        <w:gridCol w:w="577"/>
        <w:gridCol w:w="581"/>
        <w:gridCol w:w="2756"/>
      </w:tblGrid>
      <w:tr w14:paraId="4184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4D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8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A39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51080024R000010851755-人员其他支出</w:t>
            </w:r>
          </w:p>
        </w:tc>
      </w:tr>
      <w:tr w14:paraId="4BE9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8" w:hRule="exact"/>
        </w:trPr>
        <w:tc>
          <w:tcPr>
            <w:tcW w:w="10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1B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3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93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88" w:type="pct"/>
            <w:tcBorders>
              <w:top w:val="nil"/>
              <w:left w:val="nil"/>
              <w:bottom w:val="nil"/>
              <w:right w:val="nil"/>
            </w:tcBorders>
            <w:shd w:val="clear" w:color="auto" w:fill="auto"/>
            <w:vAlign w:val="center"/>
          </w:tcPr>
          <w:p w14:paraId="27A9E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2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37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5806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E8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7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49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3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5CD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6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082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5734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8"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04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246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31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AE3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82D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1BCC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1C2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9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8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100B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5B4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CD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5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7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E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3A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3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3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C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F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0E67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3F2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D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5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0.66</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D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0.66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BE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0.66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9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6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1F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227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295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6C7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B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D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0.66</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2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0.66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44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0.66</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7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5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5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EC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63B6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4B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C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5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A1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38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E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9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F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3C9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3AA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131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A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C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1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E8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8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C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9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D4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462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32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3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46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35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9F2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DF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C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3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26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D70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3" w:hRule="exac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1A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9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2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F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6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3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4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A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1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5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B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7DF1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1EA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1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D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4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发放（缴纳）覆盖率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F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8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5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2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A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6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16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202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5E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6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B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1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足额保障率（参保率）</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0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3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4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B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C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1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5E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8CB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37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7BC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F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6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85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B48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9D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A7B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2024年我单位严格按照规定使用行政人员工其他支出，按规定管理，按规定发放足额及时发放，保障了职工基本权益，资金执行率100%。</w:t>
            </w:r>
          </w:p>
        </w:tc>
      </w:tr>
      <w:tr w14:paraId="4940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FD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336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4853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8D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pacing w:val="-23"/>
                <w:sz w:val="18"/>
                <w:szCs w:val="18"/>
                <w:u w:val="none"/>
                <w:lang w:val="en-US" w:eastAsia="zh-CN"/>
              </w:rPr>
            </w:pPr>
            <w:r>
              <w:rPr>
                <w:rFonts w:hint="eastAsia" w:ascii="仿宋_GB2312" w:hAnsi="宋体" w:eastAsia="仿宋_GB2312" w:cs="仿宋_GB2312"/>
                <w:i w:val="0"/>
                <w:iCs w:val="0"/>
                <w:color w:val="000000"/>
                <w:spacing w:val="-23"/>
                <w:sz w:val="18"/>
                <w:szCs w:val="18"/>
                <w:u w:val="none"/>
                <w:lang w:val="en-US" w:eastAsia="zh-CN"/>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D888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5C55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5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90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项目负责人：李明亮</w:t>
            </w:r>
          </w:p>
        </w:tc>
        <w:tc>
          <w:tcPr>
            <w:tcW w:w="24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A7D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财务负责人：李明亮</w:t>
            </w:r>
          </w:p>
        </w:tc>
      </w:tr>
    </w:tbl>
    <w:p w14:paraId="414B773F">
      <w:pPr>
        <w:rPr>
          <w:rFonts w:hint="eastAsia"/>
          <w:lang w:val="en-US" w:eastAsia="zh-CN"/>
        </w:rPr>
      </w:pPr>
      <w:r>
        <w:rPr>
          <w:rFonts w:hint="eastAsia"/>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2367"/>
        <w:gridCol w:w="1744"/>
        <w:gridCol w:w="2441"/>
        <w:gridCol w:w="574"/>
        <w:gridCol w:w="1806"/>
        <w:gridCol w:w="571"/>
        <w:gridCol w:w="1194"/>
        <w:gridCol w:w="577"/>
        <w:gridCol w:w="578"/>
        <w:gridCol w:w="2755"/>
      </w:tblGrid>
      <w:tr w14:paraId="754BF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72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8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536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51080024Y000010826991-公用经费1（福利费、工会经费）</w:t>
            </w:r>
          </w:p>
        </w:tc>
      </w:tr>
      <w:tr w14:paraId="379A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3" w:hRule="exact"/>
        </w:trPr>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8F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3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0E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87" w:type="pct"/>
            <w:tcBorders>
              <w:top w:val="nil"/>
              <w:left w:val="nil"/>
              <w:bottom w:val="nil"/>
              <w:right w:val="nil"/>
            </w:tcBorders>
            <w:shd w:val="clear" w:color="auto" w:fill="auto"/>
            <w:vAlign w:val="center"/>
          </w:tcPr>
          <w:p w14:paraId="33FA1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A1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44DB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5C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E2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3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8D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CEC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6538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76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A07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3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1B0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提高预算编制质量，严格执行预算，保障单位日常运转。</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F96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26CB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BF7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9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8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33B1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DCA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CA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C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9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4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24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A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E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7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9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546D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494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6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2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10.32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5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10.32</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F7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10.32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6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6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5E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F55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C54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0B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0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2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10.32</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B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10.32</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1A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10.32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E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85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C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210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A02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707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F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E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A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17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7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5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C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279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6BA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12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0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B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4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46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1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D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9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16D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131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4E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B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6A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281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3E3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03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F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2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C9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246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1"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5C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D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9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3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C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3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E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2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8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C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8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4968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D3F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B4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36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2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4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C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C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A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0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D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C1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5A7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9"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E9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69D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C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D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预算编制准确率（计算方法为：∣（执行数-预算数）/预算数∣）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E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8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7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0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6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2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8D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347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2"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3E0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7B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A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经济效益指标</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F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“三公经费”控制率[计算方法为：（三公经费实际支出数/预算安排数]×100%）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3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F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D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D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1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C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13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9A9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CF4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E54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8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6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运转保障率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3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2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E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C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2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4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53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C41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75B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5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2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32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472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F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pacing w:val="-23"/>
                <w:sz w:val="18"/>
                <w:szCs w:val="18"/>
                <w:u w:val="none"/>
                <w:lang w:val="en-US" w:eastAsia="zh-CN"/>
              </w:rPr>
            </w:pPr>
            <w:r>
              <w:rPr>
                <w:rFonts w:hint="eastAsia" w:ascii="仿宋_GB2312" w:hAnsi="仿宋_GB2312" w:eastAsia="仿宋_GB2312" w:cs="仿宋_GB2312"/>
                <w:i w:val="0"/>
                <w:iCs w:val="0"/>
                <w:color w:val="000000"/>
                <w:spacing w:val="-23"/>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D8A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2024年我单位严格按照规定使用公用经费，保障了单位正常工作运转，资金效率使用较高。</w:t>
            </w:r>
          </w:p>
        </w:tc>
      </w:tr>
      <w:tr w14:paraId="6925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2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pacing w:val="-23"/>
                <w:sz w:val="18"/>
                <w:szCs w:val="18"/>
                <w:u w:val="none"/>
                <w:lang w:val="en-US" w:eastAsia="zh-CN"/>
              </w:rPr>
            </w:pPr>
            <w:r>
              <w:rPr>
                <w:rFonts w:hint="eastAsia" w:ascii="仿宋_GB2312" w:hAnsi="仿宋_GB2312" w:eastAsia="仿宋_GB2312" w:cs="仿宋_GB2312"/>
                <w:i w:val="0"/>
                <w:iCs w:val="0"/>
                <w:color w:val="000000"/>
                <w:spacing w:val="-23"/>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51F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4EBF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6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pacing w:val="-23"/>
                <w:sz w:val="18"/>
                <w:szCs w:val="18"/>
                <w:u w:val="none"/>
                <w:lang w:val="en-US" w:eastAsia="zh-CN"/>
              </w:rPr>
            </w:pPr>
            <w:r>
              <w:rPr>
                <w:rFonts w:hint="eastAsia" w:ascii="仿宋_GB2312" w:hAnsi="仿宋_GB2312" w:eastAsia="仿宋_GB2312" w:cs="仿宋_GB2312"/>
                <w:i w:val="0"/>
                <w:iCs w:val="0"/>
                <w:color w:val="000000"/>
                <w:spacing w:val="-23"/>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1BC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5793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56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E2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项目负责人：李明亮</w:t>
            </w:r>
          </w:p>
        </w:tc>
        <w:tc>
          <w:tcPr>
            <w:tcW w:w="24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6E3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财务负责人：李明亮</w:t>
            </w:r>
          </w:p>
        </w:tc>
      </w:tr>
    </w:tbl>
    <w:p w14:paraId="7A972AC9">
      <w:pPr>
        <w:rPr>
          <w:rFonts w:hint="eastAsia"/>
          <w:lang w:val="en-US" w:eastAsia="zh-CN"/>
        </w:rPr>
      </w:pPr>
      <w:r>
        <w:rPr>
          <w:rFonts w:hint="eastAsia"/>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2346"/>
        <w:gridCol w:w="1649"/>
        <w:gridCol w:w="2435"/>
        <w:gridCol w:w="586"/>
        <w:gridCol w:w="1578"/>
        <w:gridCol w:w="657"/>
        <w:gridCol w:w="1136"/>
        <w:gridCol w:w="651"/>
        <w:gridCol w:w="682"/>
        <w:gridCol w:w="2779"/>
      </w:tblGrid>
      <w:tr w14:paraId="1520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89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04E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51080024Y000010829138-定额公用经费（行政）</w:t>
            </w:r>
          </w:p>
        </w:tc>
      </w:tr>
      <w:tr w14:paraId="15D1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3" w:hRule="exact"/>
        </w:trPr>
        <w:tc>
          <w:tcPr>
            <w:tcW w:w="10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AE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D88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68" w:type="pct"/>
            <w:tcBorders>
              <w:top w:val="nil"/>
              <w:left w:val="nil"/>
              <w:bottom w:val="nil"/>
              <w:right w:val="nil"/>
            </w:tcBorders>
            <w:shd w:val="clear" w:color="auto" w:fill="auto"/>
            <w:vAlign w:val="center"/>
          </w:tcPr>
          <w:p w14:paraId="7C5DF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3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93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720C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51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3E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47E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7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EC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46E7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4C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973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5F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提高预算编制质量，严格执行预算，保障单位日常运转。</w:t>
            </w:r>
          </w:p>
        </w:tc>
        <w:tc>
          <w:tcPr>
            <w:tcW w:w="17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E8B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7E78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09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A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2519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ADD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9" w:hRule="exac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0F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3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A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A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EB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E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4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0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8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204A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40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2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6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41.40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6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31.40</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96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6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83.28%</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7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33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87A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DFE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F93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3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6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41.40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8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31.40</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C7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A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83.28%</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4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B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95E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5F8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04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D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9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2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C5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D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B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F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995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4C5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A80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F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C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9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4C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5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7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C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C32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D0A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EBA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0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C3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91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F2F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31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A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9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B50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5F3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3" w:hRule="exac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20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2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4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0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6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1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5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6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C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6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0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1929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7C5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43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49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9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科目调整次数</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5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D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9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9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1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8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82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39F3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9" w:hRule="exac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252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CAA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4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0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预算编制准确率（计算方法为：∣（执行数-预算数）/预算数∣）</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1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8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6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B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7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8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10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E35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8" w:hRule="exac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09DF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FB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0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4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“三公经费”控制率[计算方法为：（三公经费实际支出数/预算安排数]×100%）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5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C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9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7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F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4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27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1D8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0873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C6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66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3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运转保障率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5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5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A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A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7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4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E0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9EE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366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BF6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C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C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4C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2F6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F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pacing w:val="-23"/>
                <w:sz w:val="18"/>
                <w:szCs w:val="18"/>
                <w:u w:val="none"/>
                <w:lang w:val="en-US" w:eastAsia="zh-CN"/>
              </w:rPr>
            </w:pPr>
            <w:r>
              <w:rPr>
                <w:rFonts w:hint="eastAsia" w:ascii="仿宋_GB2312" w:hAnsi="仿宋_GB2312" w:eastAsia="仿宋_GB2312" w:cs="仿宋_GB2312"/>
                <w:i w:val="0"/>
                <w:iCs w:val="0"/>
                <w:color w:val="000000"/>
                <w:spacing w:val="-23"/>
                <w:sz w:val="18"/>
                <w:szCs w:val="18"/>
                <w:u w:val="none"/>
                <w:lang w:val="en-US" w:eastAsia="zh-CN"/>
              </w:rPr>
              <w:t>评价结论</w:t>
            </w:r>
          </w:p>
        </w:tc>
        <w:tc>
          <w:tcPr>
            <w:tcW w:w="47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DBE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2024年我单位严格按照规定使用定额公用经费，保障了单位正常工作运转，资金效率使用较高。</w:t>
            </w:r>
          </w:p>
        </w:tc>
      </w:tr>
      <w:tr w14:paraId="09C8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E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pacing w:val="-23"/>
                <w:sz w:val="18"/>
                <w:szCs w:val="18"/>
                <w:u w:val="none"/>
                <w:lang w:val="en-US" w:eastAsia="zh-CN"/>
              </w:rPr>
            </w:pPr>
            <w:r>
              <w:rPr>
                <w:rFonts w:hint="eastAsia" w:ascii="仿宋_GB2312" w:hAnsi="仿宋_GB2312" w:eastAsia="仿宋_GB2312" w:cs="仿宋_GB2312"/>
                <w:i w:val="0"/>
                <w:iCs w:val="0"/>
                <w:color w:val="000000"/>
                <w:spacing w:val="-23"/>
                <w:sz w:val="18"/>
                <w:szCs w:val="18"/>
                <w:u w:val="none"/>
                <w:lang w:val="en-US" w:eastAsia="zh-CN"/>
              </w:rPr>
              <w:t>存在问题</w:t>
            </w:r>
          </w:p>
        </w:tc>
        <w:tc>
          <w:tcPr>
            <w:tcW w:w="47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24F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7D21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1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pacing w:val="-23"/>
                <w:sz w:val="18"/>
                <w:szCs w:val="18"/>
                <w:u w:val="none"/>
                <w:lang w:val="en-US" w:eastAsia="zh-CN"/>
              </w:rPr>
            </w:pPr>
            <w:r>
              <w:rPr>
                <w:rFonts w:hint="eastAsia" w:ascii="仿宋_GB2312" w:hAnsi="仿宋_GB2312" w:eastAsia="仿宋_GB2312" w:cs="仿宋_GB2312"/>
                <w:i w:val="0"/>
                <w:iCs w:val="0"/>
                <w:color w:val="000000"/>
                <w:spacing w:val="-23"/>
                <w:sz w:val="18"/>
                <w:szCs w:val="18"/>
                <w:u w:val="none"/>
                <w:lang w:val="en-US" w:eastAsia="zh-CN"/>
              </w:rPr>
              <w:t>改进措施</w:t>
            </w:r>
          </w:p>
        </w:tc>
        <w:tc>
          <w:tcPr>
            <w:tcW w:w="47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759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284E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25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01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项目负责人：李明亮</w:t>
            </w:r>
          </w:p>
        </w:tc>
        <w:tc>
          <w:tcPr>
            <w:tcW w:w="24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A46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财务负责人：李明亮</w:t>
            </w:r>
          </w:p>
        </w:tc>
      </w:tr>
    </w:tbl>
    <w:p w14:paraId="258DFD32">
      <w:pPr>
        <w:rPr>
          <w:rFonts w:hint="eastAsia"/>
          <w:lang w:val="en-US" w:eastAsia="zh-CN"/>
        </w:rPr>
      </w:pPr>
      <w:r>
        <w:rPr>
          <w:rFonts w:hint="eastAsia"/>
          <w:lang w:val="en-US" w:eastAsia="zh-CN"/>
        </w:rPr>
        <w:br w:type="page"/>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2398"/>
        <w:gridCol w:w="1713"/>
        <w:gridCol w:w="2441"/>
        <w:gridCol w:w="574"/>
        <w:gridCol w:w="1806"/>
        <w:gridCol w:w="571"/>
        <w:gridCol w:w="1194"/>
        <w:gridCol w:w="577"/>
        <w:gridCol w:w="578"/>
        <w:gridCol w:w="2755"/>
      </w:tblGrid>
      <w:tr w14:paraId="46D6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96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39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B34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51080024Y000010829846-公用经费2（公车补贴、党建、退休活动）</w:t>
            </w:r>
          </w:p>
        </w:tc>
      </w:tr>
      <w:tr w14:paraId="406B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exact"/>
        </w:trPr>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DA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23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D0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广元市经济合作和外事局部门</w:t>
            </w:r>
          </w:p>
        </w:tc>
        <w:tc>
          <w:tcPr>
            <w:tcW w:w="387" w:type="pct"/>
            <w:tcBorders>
              <w:top w:val="nil"/>
              <w:left w:val="nil"/>
              <w:bottom w:val="nil"/>
              <w:right w:val="nil"/>
            </w:tcBorders>
            <w:shd w:val="clear" w:color="auto" w:fill="auto"/>
            <w:vAlign w:val="center"/>
          </w:tcPr>
          <w:p w14:paraId="72AD8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 （盖章）</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2A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广元市经济合作和外事局</w:t>
            </w:r>
          </w:p>
        </w:tc>
      </w:tr>
      <w:tr w14:paraId="25913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15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项目基本情况</w:t>
            </w:r>
          </w:p>
        </w:tc>
        <w:tc>
          <w:tcPr>
            <w:tcW w:w="7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3C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1.项目年度目标完成情况</w:t>
            </w:r>
          </w:p>
        </w:tc>
        <w:tc>
          <w:tcPr>
            <w:tcW w:w="23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67C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项目年度目标</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854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年度目标完成情况</w:t>
            </w:r>
          </w:p>
        </w:tc>
      </w:tr>
      <w:tr w14:paraId="3F99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96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01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23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AF9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提高预算编制质量，严格执行预算，保障单位日常运转。</w:t>
            </w:r>
          </w:p>
        </w:tc>
        <w:tc>
          <w:tcPr>
            <w:tcW w:w="16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85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任务目标已完成</w:t>
            </w:r>
          </w:p>
        </w:tc>
      </w:tr>
      <w:tr w14:paraId="284C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99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8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2.项目实施内容及过程概述</w:t>
            </w:r>
          </w:p>
        </w:tc>
        <w:tc>
          <w:tcPr>
            <w:tcW w:w="39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5F60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6D8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04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预算执行情况（10分）</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8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年度预算数（万元）</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4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B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调整后预算数</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9C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2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5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F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B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原因</w:t>
            </w:r>
          </w:p>
        </w:tc>
      </w:tr>
      <w:tr w14:paraId="3FF4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AA2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8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总额</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D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32.61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0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32.61</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8B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32.61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9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3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CF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CB5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AE6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24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0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其中：财政资金</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5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32.61</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2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32.61</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8E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32.61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7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F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3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8A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B57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BCB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E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财政专户管理资金</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E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F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2D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1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7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6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60C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2FA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601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5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单位资金</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F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D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46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C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9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C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C2B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5C43A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D40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D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0F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7A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4A4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10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9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A9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DA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5CE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2" w:hRule="exac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96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绩效指标（90分）</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E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5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B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2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4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8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0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5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权重</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E4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9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未完成原因分析</w:t>
            </w:r>
          </w:p>
        </w:tc>
      </w:tr>
      <w:tr w14:paraId="0967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E88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86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6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8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科目调整次数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1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3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0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E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5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4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06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1D2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3"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79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E9B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9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1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预算编制准确率（计算方法为：∣（执行数-预算数）/预算数∣）</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1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7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8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E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0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B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34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CA0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1F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76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1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经济效益指标</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C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“三公经费”控制率[计算方法为：（三公经费实际支出数/预算安排数]×100%）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26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4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C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2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A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1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13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557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4B8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DFE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2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D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运转保障率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F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7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7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9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7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0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52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2AB3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37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055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5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4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CD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DB9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02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pacing w:val="-23"/>
                <w:sz w:val="18"/>
                <w:szCs w:val="18"/>
                <w:u w:val="none"/>
                <w:lang w:val="en-US" w:eastAsia="zh-CN"/>
              </w:rPr>
            </w:pPr>
            <w:r>
              <w:rPr>
                <w:rFonts w:hint="eastAsia" w:ascii="仿宋_GB2312" w:hAnsi="仿宋_GB2312" w:eastAsia="仿宋_GB2312" w:cs="仿宋_GB2312"/>
                <w:i w:val="0"/>
                <w:iCs w:val="0"/>
                <w:color w:val="000000"/>
                <w:spacing w:val="-23"/>
                <w:sz w:val="18"/>
                <w:szCs w:val="18"/>
                <w:u w:val="none"/>
                <w:lang w:val="en-US" w:eastAsia="zh-CN"/>
              </w:rPr>
              <w:t>评价结论</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C2F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2024年我单位严格按照规定使用该公用经费，保障了单位正常工作运转，资金效率使用较高。</w:t>
            </w:r>
          </w:p>
        </w:tc>
      </w:tr>
      <w:tr w14:paraId="4410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B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pacing w:val="-23"/>
                <w:sz w:val="18"/>
                <w:szCs w:val="18"/>
                <w:u w:val="none"/>
                <w:lang w:val="en-US" w:eastAsia="zh-CN"/>
              </w:rPr>
            </w:pPr>
            <w:r>
              <w:rPr>
                <w:rFonts w:hint="eastAsia" w:ascii="仿宋_GB2312" w:hAnsi="仿宋_GB2312" w:eastAsia="仿宋_GB2312" w:cs="仿宋_GB2312"/>
                <w:i w:val="0"/>
                <w:iCs w:val="0"/>
                <w:color w:val="000000"/>
                <w:spacing w:val="-23"/>
                <w:sz w:val="18"/>
                <w:szCs w:val="18"/>
                <w:u w:val="none"/>
                <w:lang w:val="en-US" w:eastAsia="zh-CN"/>
              </w:rPr>
              <w:t>存在问题</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E5B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408C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A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pacing w:val="-23"/>
                <w:sz w:val="18"/>
                <w:szCs w:val="18"/>
                <w:u w:val="none"/>
                <w:lang w:val="en-US" w:eastAsia="zh-CN"/>
              </w:rPr>
            </w:pPr>
            <w:r>
              <w:rPr>
                <w:rFonts w:hint="eastAsia" w:ascii="仿宋_GB2312" w:hAnsi="仿宋_GB2312" w:eastAsia="仿宋_GB2312" w:cs="仿宋_GB2312"/>
                <w:i w:val="0"/>
                <w:iCs w:val="0"/>
                <w:color w:val="000000"/>
                <w:spacing w:val="-23"/>
                <w:sz w:val="18"/>
                <w:szCs w:val="18"/>
                <w:u w:val="none"/>
                <w:lang w:val="en-US" w:eastAsia="zh-CN"/>
              </w:rPr>
              <w:t>改进措施</w:t>
            </w:r>
          </w:p>
        </w:tc>
        <w:tc>
          <w:tcPr>
            <w:tcW w:w="47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75B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r>
      <w:tr w14:paraId="76D5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exact"/>
        </w:trPr>
        <w:tc>
          <w:tcPr>
            <w:tcW w:w="256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58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项目负责人：李明亮</w:t>
            </w:r>
          </w:p>
        </w:tc>
        <w:tc>
          <w:tcPr>
            <w:tcW w:w="24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420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财务负责人：李明亮</w:t>
            </w:r>
          </w:p>
        </w:tc>
      </w:tr>
    </w:tbl>
    <w:p w14:paraId="42ACE8B8">
      <w:pPr>
        <w:pStyle w:val="2"/>
        <w:keepNext w:val="0"/>
        <w:keepLines w:val="0"/>
        <w:pageBreakBefore w:val="0"/>
        <w:widowControl w:val="0"/>
        <w:kinsoku/>
        <w:wordWrap/>
        <w:overflowPunct/>
        <w:topLinePunct w:val="0"/>
        <w:autoSpaceDE/>
        <w:autoSpaceDN/>
        <w:bidi w:val="0"/>
        <w:adjustRightInd/>
        <w:snapToGrid/>
        <w:spacing w:beforeLines="0" w:line="100" w:lineRule="exact"/>
        <w:textAlignment w:val="auto"/>
        <w:rPr>
          <w:rFonts w:hint="eastAsia"/>
          <w:lang w:val="en-US" w:eastAsia="zh-CN"/>
        </w:rPr>
      </w:pPr>
    </w:p>
    <w:p w14:paraId="7FBA3926">
      <w:pPr>
        <w:pStyle w:val="2"/>
        <w:rPr>
          <w:rFonts w:hint="eastAsia"/>
          <w:lang w:val="en-US" w:eastAsia="zh-CN"/>
        </w:rPr>
        <w:sectPr>
          <w:headerReference r:id="rId12" w:type="default"/>
          <w:pgSz w:w="16840" w:h="11907" w:orient="landscape"/>
          <w:pgMar w:top="850" w:right="850" w:bottom="850" w:left="850" w:header="851" w:footer="680" w:gutter="0"/>
          <w:pgBorders>
            <w:top w:val="none" w:sz="0" w:space="0"/>
            <w:left w:val="none" w:sz="0" w:space="0"/>
            <w:bottom w:val="none" w:sz="0" w:space="0"/>
            <w:right w:val="none" w:sz="0" w:space="0"/>
          </w:pgBorders>
          <w:pgNumType w:fmt="decimal"/>
          <w:cols w:space="720" w:num="1"/>
          <w:rtlGutter w:val="0"/>
          <w:docGrid w:type="linesAndChars" w:linePitch="577" w:charSpace="-877"/>
        </w:sectPr>
      </w:pPr>
    </w:p>
    <w:p w14:paraId="0F74B0D2">
      <w:pPr>
        <w:pStyle w:val="2"/>
        <w:spacing w:before="93"/>
        <w:rPr>
          <w:rFonts w:ascii="Times New Roman" w:hAnsi="Times New Roman" w:eastAsia="方正小标宋简体" w:cs="方正小标宋简体"/>
          <w:color w:val="auto"/>
          <w:kern w:val="2"/>
          <w:sz w:val="44"/>
          <w:szCs w:val="44"/>
          <w:lang w:val="en-US"/>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78F5CC70">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宋体" w:hAnsi="宋体" w:eastAsia="方正小标宋简体" w:cs="方正小标宋简体"/>
          <w:color w:val="auto"/>
          <w:kern w:val="2"/>
          <w:position w:val="0"/>
          <w:sz w:val="44"/>
          <w:szCs w:val="44"/>
          <w:highlight w:val="none"/>
          <w:lang w:val="en-US" w:eastAsia="zh-CN" w:bidi="ar-SA"/>
        </w:rPr>
      </w:pPr>
    </w:p>
    <w:p w14:paraId="1272F59C">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宋体" w:hAnsi="宋体" w:eastAsia="方正小标宋简体" w:cs="方正小标宋简体"/>
          <w:b w:val="0"/>
          <w:bCs w:val="0"/>
          <w:color w:val="auto"/>
          <w:kern w:val="2"/>
          <w:position w:val="0"/>
          <w:sz w:val="44"/>
          <w:szCs w:val="44"/>
          <w:highlight w:val="none"/>
          <w:lang w:val="en-US" w:eastAsia="zh-CN" w:bidi="ar-SA"/>
        </w:rPr>
      </w:pPr>
      <w:r>
        <w:rPr>
          <w:rFonts w:hint="eastAsia" w:ascii="宋体" w:hAnsi="宋体" w:eastAsia="方正小标宋简体" w:cs="方正小标宋简体"/>
          <w:b w:val="0"/>
          <w:bCs w:val="0"/>
          <w:color w:val="auto"/>
          <w:kern w:val="2"/>
          <w:position w:val="0"/>
          <w:sz w:val="44"/>
          <w:szCs w:val="44"/>
          <w:highlight w:val="none"/>
          <w:lang w:val="en-US" w:eastAsia="zh-CN" w:bidi="ar-SA"/>
        </w:rPr>
        <w:t>广元市经济合作和外事局</w:t>
      </w:r>
    </w:p>
    <w:p w14:paraId="347B79EA">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position w:val="0"/>
          <w:sz w:val="44"/>
          <w:szCs w:val="44"/>
          <w:highlight w:val="none"/>
          <w:lang w:val="en-US" w:eastAsia="zh-CN" w:bidi="ar-SA"/>
        </w:rPr>
      </w:pPr>
      <w:r>
        <w:rPr>
          <w:rFonts w:hint="eastAsia" w:ascii="宋体" w:hAnsi="宋体" w:eastAsia="方正小标宋简体" w:cs="方正小标宋简体"/>
          <w:b w:val="0"/>
          <w:bCs w:val="0"/>
          <w:color w:val="auto"/>
          <w:kern w:val="2"/>
          <w:position w:val="0"/>
          <w:sz w:val="44"/>
          <w:szCs w:val="44"/>
          <w:highlight w:val="none"/>
          <w:lang w:val="en-US" w:eastAsia="zh-CN" w:bidi="ar-SA"/>
        </w:rPr>
        <w:t>关于陕甘川宁毗邻地区经济联合</w:t>
      </w:r>
      <w:r>
        <w:rPr>
          <w:rFonts w:hint="eastAsia" w:ascii="方正小标宋简体" w:hAnsi="方正小标宋简体" w:eastAsia="方正小标宋简体" w:cs="方正小标宋简体"/>
          <w:b w:val="0"/>
          <w:bCs w:val="0"/>
          <w:color w:val="auto"/>
          <w:kern w:val="2"/>
          <w:position w:val="0"/>
          <w:sz w:val="44"/>
          <w:szCs w:val="44"/>
          <w:highlight w:val="none"/>
          <w:lang w:val="en-US" w:eastAsia="zh-CN" w:bidi="ar-SA"/>
        </w:rPr>
        <w:t>会第34届</w:t>
      </w:r>
    </w:p>
    <w:p w14:paraId="4F663102">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宋体" w:hAnsi="宋体" w:eastAsia="方正小标宋简体" w:cs="方正小标宋简体"/>
          <w:b w:val="0"/>
          <w:bCs w:val="0"/>
          <w:color w:val="auto"/>
          <w:kern w:val="2"/>
          <w:position w:val="0"/>
          <w:sz w:val="44"/>
          <w:szCs w:val="44"/>
          <w:highlight w:val="none"/>
          <w:lang w:val="en-US" w:eastAsia="zh-CN" w:bidi="ar-SA"/>
        </w:rPr>
      </w:pPr>
      <w:r>
        <w:rPr>
          <w:rFonts w:hint="eastAsia" w:ascii="宋体" w:hAnsi="宋体" w:eastAsia="方正小标宋简体" w:cs="方正小标宋简体"/>
          <w:b w:val="0"/>
          <w:bCs w:val="0"/>
          <w:color w:val="auto"/>
          <w:kern w:val="2"/>
          <w:position w:val="0"/>
          <w:sz w:val="44"/>
          <w:szCs w:val="44"/>
          <w:highlight w:val="none"/>
          <w:lang w:val="en-US" w:eastAsia="zh-CN" w:bidi="ar-SA"/>
        </w:rPr>
        <w:t>年会支出绩效自评报告</w:t>
      </w:r>
    </w:p>
    <w:p w14:paraId="32C85D6F">
      <w:pPr>
        <w:keepNext w:val="0"/>
        <w:keepLines w:val="0"/>
        <w:pageBreakBefore w:val="0"/>
        <w:widowControl w:val="0"/>
        <w:kinsoku/>
        <w:wordWrap/>
        <w:overflowPunct/>
        <w:topLinePunct w:val="0"/>
        <w:autoSpaceDE/>
        <w:autoSpaceDN/>
        <w:bidi w:val="0"/>
        <w:spacing w:line="576" w:lineRule="exact"/>
        <w:ind w:left="0" w:leftChars="0" w:firstLine="640"/>
        <w:jc w:val="center"/>
        <w:textAlignment w:val="auto"/>
        <w:rPr>
          <w:rFonts w:hint="default" w:ascii="宋体" w:hAnsi="宋体" w:eastAsia="宋体" w:cs="Times New Roman"/>
          <w:color w:val="auto"/>
          <w:kern w:val="2"/>
          <w:position w:val="0"/>
          <w:sz w:val="32"/>
          <w:szCs w:val="32"/>
          <w:highlight w:val="none"/>
          <w:lang w:val="zh-CN" w:eastAsia="zh-CN" w:bidi="ar-SA"/>
        </w:rPr>
      </w:pPr>
    </w:p>
    <w:p w14:paraId="36F5CCB2">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outlineLvl w:val="9"/>
        <w:rPr>
          <w:rFonts w:hint="default" w:ascii="宋体" w:hAnsi="宋体" w:eastAsia="黑体" w:cs="Times New Roman"/>
          <w:b w:val="0"/>
          <w:bCs w:val="0"/>
          <w:color w:val="auto"/>
          <w:position w:val="0"/>
          <w:sz w:val="32"/>
          <w:szCs w:val="32"/>
          <w:highlight w:val="none"/>
          <w:lang w:val="zh-CN"/>
        </w:rPr>
      </w:pPr>
      <w:r>
        <w:rPr>
          <w:rFonts w:hint="default" w:ascii="宋体" w:hAnsi="宋体" w:eastAsia="黑体" w:cs="Times New Roman"/>
          <w:b w:val="0"/>
          <w:bCs w:val="0"/>
          <w:color w:val="auto"/>
          <w:position w:val="0"/>
          <w:sz w:val="32"/>
          <w:szCs w:val="32"/>
          <w:highlight w:val="none"/>
        </w:rPr>
        <w:t>一、</w:t>
      </w:r>
      <w:r>
        <w:rPr>
          <w:rFonts w:hint="default" w:ascii="宋体" w:hAnsi="宋体" w:eastAsia="黑体" w:cs="Times New Roman"/>
          <w:b w:val="0"/>
          <w:bCs w:val="0"/>
          <w:color w:val="auto"/>
          <w:position w:val="0"/>
          <w:sz w:val="32"/>
          <w:szCs w:val="32"/>
          <w:highlight w:val="none"/>
          <w:lang w:val="zh-CN"/>
        </w:rPr>
        <w:t>项目概况</w:t>
      </w:r>
    </w:p>
    <w:p w14:paraId="34E9BE2B">
      <w:pPr>
        <w:keepNext w:val="0"/>
        <w:keepLines w:val="0"/>
        <w:pageBreakBefore w:val="0"/>
        <w:widowControl w:val="0"/>
        <w:kinsoku/>
        <w:wordWrap/>
        <w:overflowPunct/>
        <w:topLinePunct w:val="0"/>
        <w:autoSpaceDE/>
        <w:autoSpaceDN/>
        <w:bidi w:val="0"/>
        <w:snapToGrid w:val="0"/>
        <w:spacing w:line="576" w:lineRule="exact"/>
        <w:ind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zh-CN"/>
        </w:rPr>
      </w:pPr>
      <w:r>
        <w:rPr>
          <w:rFonts w:hint="default" w:ascii="宋体" w:hAnsi="宋体" w:eastAsia="楷体_GB2312" w:cs="Times New Roman"/>
          <w:b w:val="0"/>
          <w:bCs w:val="0"/>
          <w:color w:val="auto"/>
          <w:position w:val="0"/>
          <w:sz w:val="32"/>
          <w:szCs w:val="32"/>
          <w:highlight w:val="none"/>
          <w:u w:val="none"/>
          <w:lang w:val="zh-CN"/>
        </w:rPr>
        <w:t>（一）设立背景及基本情况</w:t>
      </w:r>
    </w:p>
    <w:p w14:paraId="38F45C4F">
      <w:pPr>
        <w:keepNext w:val="0"/>
        <w:keepLines w:val="0"/>
        <w:pageBreakBefore w:val="0"/>
        <w:widowControl w:val="0"/>
        <w:kinsoku/>
        <w:wordWrap/>
        <w:overflowPunct/>
        <w:topLinePunct w:val="0"/>
        <w:autoSpaceDE/>
        <w:autoSpaceDN/>
        <w:bidi w:val="0"/>
        <w:snapToGrid w:val="0"/>
        <w:spacing w:line="576" w:lineRule="exact"/>
        <w:ind w:leftChars="0" w:firstLine="640" w:firstLineChars="200"/>
        <w:jc w:val="both"/>
        <w:textAlignment w:val="auto"/>
        <w:outlineLvl w:val="9"/>
        <w:rPr>
          <w:rFonts w:hint="default" w:ascii="宋体" w:hAnsi="宋体" w:eastAsia="仿宋_GB2312" w:cs="Times New Roman"/>
          <w:position w:val="0"/>
          <w:sz w:val="32"/>
          <w:szCs w:val="32"/>
          <w:lang w:val="en-US" w:eastAsia="zh-CN"/>
        </w:rPr>
      </w:pPr>
      <w:r>
        <w:rPr>
          <w:rFonts w:hint="eastAsia" w:ascii="宋体" w:hAnsi="宋体" w:eastAsia="仿宋_GB2312" w:cs="Times New Roman"/>
          <w:position w:val="0"/>
          <w:sz w:val="32"/>
          <w:szCs w:val="32"/>
          <w:lang w:val="en-US" w:eastAsia="zh-CN"/>
        </w:rPr>
        <w:t>1.项目设立原因及资金依据。</w:t>
      </w:r>
      <w:r>
        <w:rPr>
          <w:rFonts w:hint="eastAsia" w:ascii="宋体" w:hAnsi="宋体" w:eastAsia="仿宋_GB2312" w:cs="Times New Roman"/>
          <w:position w:val="0"/>
          <w:sz w:val="32"/>
          <w:szCs w:val="32"/>
          <w:lang w:eastAsia="zh-CN"/>
        </w:rPr>
        <w:t>陕甘川宁毗邻经济区是根据党中央“改革开放、搞活经济”的方针和国务院</w:t>
      </w:r>
      <w:r>
        <w:rPr>
          <w:rFonts w:hint="eastAsia" w:ascii="宋体" w:hAnsi="宋体" w:eastAsia="仿宋_GB2312" w:cs="Times New Roman"/>
          <w:position w:val="0"/>
          <w:sz w:val="32"/>
          <w:szCs w:val="32"/>
        </w:rPr>
        <w:t>《</w:t>
      </w:r>
      <w:r>
        <w:rPr>
          <w:rFonts w:hint="eastAsia" w:ascii="宋体" w:hAnsi="宋体" w:eastAsia="仿宋_GB2312" w:cs="Times New Roman"/>
          <w:position w:val="0"/>
          <w:sz w:val="32"/>
          <w:szCs w:val="32"/>
          <w:lang w:eastAsia="zh-CN"/>
        </w:rPr>
        <w:t>关于进一步推动横向经济联合若干问题的规定</w:t>
      </w:r>
      <w:r>
        <w:rPr>
          <w:rFonts w:hint="eastAsia" w:ascii="宋体" w:hAnsi="宋体" w:eastAsia="仿宋_GB2312" w:cs="Times New Roman"/>
          <w:position w:val="0"/>
          <w:sz w:val="32"/>
          <w:szCs w:val="32"/>
        </w:rPr>
        <w:t>》</w:t>
      </w:r>
      <w:r>
        <w:rPr>
          <w:rFonts w:hint="eastAsia" w:ascii="宋体" w:hAnsi="宋体" w:eastAsia="仿宋_GB2312" w:cs="Times New Roman"/>
          <w:position w:val="0"/>
          <w:sz w:val="32"/>
          <w:szCs w:val="32"/>
          <w:lang w:eastAsia="zh-CN"/>
        </w:rPr>
        <w:t>精神，按照“平等自愿，扬长避短，优势互补，互惠互利，真诚合作，共同发展”的原则组成的跨省际、开放型、区域性经济技术合作行政协调组织</w:t>
      </w:r>
      <w:r>
        <w:rPr>
          <w:rFonts w:hint="eastAsia" w:ascii="宋体" w:hAnsi="宋体" w:eastAsia="仿宋_GB2312" w:cs="Times New Roman"/>
          <w:position w:val="0"/>
          <w:sz w:val="32"/>
          <w:szCs w:val="32"/>
        </w:rPr>
        <w:t>。</w:t>
      </w:r>
      <w:r>
        <w:rPr>
          <w:rFonts w:hint="eastAsia" w:ascii="宋体" w:hAnsi="宋体" w:eastAsia="仿宋_GB2312" w:cs="Times New Roman"/>
          <w:position w:val="0"/>
          <w:sz w:val="32"/>
          <w:szCs w:val="32"/>
          <w:lang w:eastAsia="zh-CN"/>
        </w:rPr>
        <w:t>经联会的决策领导形式是一年一届的年会，年会由即将担任执行主席的市负责召集和承办。经联会现已成功举办</w:t>
      </w:r>
      <w:r>
        <w:rPr>
          <w:rFonts w:hint="eastAsia" w:ascii="宋体" w:hAnsi="宋体" w:eastAsia="仿宋_GB2312" w:cs="Times New Roman"/>
          <w:position w:val="0"/>
          <w:sz w:val="32"/>
          <w:szCs w:val="32"/>
          <w:lang w:val="en-US" w:eastAsia="zh-CN"/>
        </w:rPr>
        <w:t>33届，第34届由我市担任执行主席，年会由我市负责召集和承办。</w:t>
      </w:r>
    </w:p>
    <w:p w14:paraId="0FB6EC9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contextualSpacing/>
        <w:jc w:val="both"/>
        <w:textAlignment w:val="auto"/>
        <w:outlineLvl w:val="9"/>
        <w:rPr>
          <w:rFonts w:hint="eastAsia" w:ascii="宋体" w:hAnsi="宋体" w:eastAsia="楷体_GB2312" w:cs="楷体_GB2312"/>
          <w:color w:val="auto"/>
          <w:position w:val="0"/>
          <w:sz w:val="32"/>
          <w:szCs w:val="32"/>
          <w:lang w:val="zh-CN" w:eastAsia="zh-CN"/>
        </w:rPr>
      </w:pPr>
      <w:r>
        <w:rPr>
          <w:rFonts w:hint="eastAsia" w:ascii="宋体" w:hAnsi="宋体" w:eastAsia="楷体_GB2312" w:cs="楷体_GB2312"/>
          <w:color w:val="auto"/>
          <w:position w:val="0"/>
          <w:sz w:val="32"/>
          <w:szCs w:val="32"/>
          <w:lang w:val="en-US" w:eastAsia="zh-CN"/>
        </w:rPr>
        <w:t>2.</w:t>
      </w:r>
      <w:r>
        <w:rPr>
          <w:rFonts w:hint="eastAsia" w:ascii="宋体" w:hAnsi="宋体" w:eastAsia="楷体_GB2312" w:cs="楷体_GB2312"/>
          <w:color w:val="auto"/>
          <w:position w:val="0"/>
          <w:sz w:val="32"/>
          <w:szCs w:val="32"/>
          <w:lang w:val="zh-CN" w:eastAsia="zh-CN"/>
        </w:rPr>
        <w:t>主管部门职能</w:t>
      </w:r>
    </w:p>
    <w:p w14:paraId="72CDF8D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000000"/>
          <w:kern w:val="0"/>
          <w:position w:val="0"/>
          <w:sz w:val="32"/>
          <w:szCs w:val="32"/>
          <w:lang w:val="en-US" w:eastAsia="en-US" w:bidi="ar-SA"/>
        </w:rPr>
      </w:pPr>
      <w:r>
        <w:rPr>
          <w:rFonts w:hint="eastAsia" w:ascii="宋体" w:hAnsi="宋体" w:eastAsia="仿宋_GB2312" w:cs="Times New Roman"/>
          <w:bCs/>
          <w:color w:val="000000"/>
          <w:kern w:val="0"/>
          <w:position w:val="0"/>
          <w:sz w:val="32"/>
          <w:szCs w:val="32"/>
          <w:lang w:val="en-US" w:eastAsia="zh-CN" w:bidi="ar-SA"/>
        </w:rPr>
        <w:t>（1）</w:t>
      </w:r>
      <w:r>
        <w:rPr>
          <w:rFonts w:hint="default" w:ascii="宋体" w:hAnsi="宋体" w:eastAsia="仿宋_GB2312" w:cs="Times New Roman"/>
          <w:bCs/>
          <w:color w:val="000000"/>
          <w:kern w:val="0"/>
          <w:position w:val="0"/>
          <w:sz w:val="32"/>
          <w:szCs w:val="32"/>
          <w:lang w:val="en-US" w:eastAsia="en-US" w:bidi="ar-SA"/>
        </w:rPr>
        <w:t>负责推进投资促进等有关领域的经济合作（以下简称经济合作）。参与起草有关经济合作的地方性法规和规章草案。参与拟订全市经济合作的中长期规划和年度计划并组织实施。</w:t>
      </w:r>
    </w:p>
    <w:p w14:paraId="3F77B3AF">
      <w:pPr>
        <w:keepNext w:val="0"/>
        <w:keepLines w:val="0"/>
        <w:pageBreakBefore w:val="0"/>
        <w:widowControl w:val="0"/>
        <w:numPr>
          <w:ilvl w:val="0"/>
          <w:numId w:val="0"/>
        </w:numPr>
        <w:pBdr>
          <w:top w:val="none" w:color="auto" w:sz="0" w:space="1"/>
          <w:left w:val="none" w:color="auto" w:sz="0" w:space="4"/>
          <w:bottom w:val="none" w:color="FF0000" w:sz="0" w:space="1"/>
          <w:right w:val="none" w:color="auto" w:sz="0" w:space="4"/>
          <w:between w:val="none" w:color="auto" w:sz="0" w:space="0"/>
        </w:pBd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宋体" w:hAnsi="宋体" w:eastAsia="仿宋_GB2312" w:cs="Times New Roman"/>
          <w:bCs/>
          <w:color w:val="000000"/>
          <w:kern w:val="0"/>
          <w:position w:val="0"/>
          <w:sz w:val="32"/>
          <w:szCs w:val="32"/>
          <w:lang w:val="en-US" w:eastAsia="en-US" w:bidi="ar-SA"/>
        </w:rPr>
      </w:pPr>
      <w:r>
        <w:rPr>
          <w:rFonts w:hint="eastAsia" w:ascii="宋体" w:hAnsi="宋体" w:eastAsia="仿宋_GB2312" w:cs="Times New Roman"/>
          <w:bCs/>
          <w:color w:val="000000"/>
          <w:kern w:val="0"/>
          <w:position w:val="0"/>
          <w:sz w:val="32"/>
          <w:szCs w:val="32"/>
          <w:lang w:val="en-US" w:eastAsia="zh-CN" w:bidi="ar-SA"/>
        </w:rPr>
        <w:t>（2）</w:t>
      </w:r>
      <w:r>
        <w:rPr>
          <w:rFonts w:hint="default" w:ascii="宋体" w:hAnsi="宋体" w:eastAsia="仿宋_GB2312" w:cs="Times New Roman"/>
          <w:bCs/>
          <w:color w:val="000000"/>
          <w:kern w:val="0"/>
          <w:position w:val="0"/>
          <w:sz w:val="32"/>
          <w:szCs w:val="32"/>
          <w:lang w:val="en-US" w:eastAsia="en-US" w:bidi="ar-SA"/>
        </w:rPr>
        <w:t>统筹指导全市投资促进工作。拟订全市投资促进政策、投资促进中长期规划和年度计划并组织实施。负责全市投资环境</w:t>
      </w:r>
    </w:p>
    <w:p w14:paraId="38134095">
      <w:pPr>
        <w:rPr>
          <w:rFonts w:hint="default"/>
        </w:rPr>
        <w:sectPr>
          <w:pgSz w:w="11906" w:h="16838"/>
          <w:pgMar w:top="2098" w:right="1474" w:bottom="1247" w:left="1587" w:header="851" w:footer="1247"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20073A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jc w:val="both"/>
        <w:textAlignment w:val="auto"/>
        <w:outlineLvl w:val="9"/>
        <w:rPr>
          <w:rFonts w:hint="default" w:ascii="宋体" w:hAnsi="宋体" w:eastAsia="仿宋_GB2312" w:cs="Times New Roman"/>
          <w:bCs/>
          <w:color w:val="000000"/>
          <w:kern w:val="0"/>
          <w:position w:val="0"/>
          <w:sz w:val="32"/>
          <w:szCs w:val="32"/>
          <w:lang w:val="en-US" w:eastAsia="en-US" w:bidi="ar-SA"/>
        </w:rPr>
      </w:pPr>
      <w:r>
        <w:rPr>
          <w:rFonts w:hint="default" w:ascii="宋体" w:hAnsi="宋体" w:eastAsia="仿宋_GB2312" w:cs="Times New Roman"/>
          <w:bCs/>
          <w:color w:val="000000"/>
          <w:kern w:val="0"/>
          <w:position w:val="0"/>
          <w:sz w:val="32"/>
          <w:szCs w:val="32"/>
          <w:lang w:val="en-US" w:eastAsia="en-US" w:bidi="ar-SA"/>
        </w:rPr>
        <w:t>推介工作。统筹组织市级重大投资促进活动。牵头全市重大招商</w:t>
      </w:r>
      <w:r>
        <w:rPr>
          <w:rFonts w:hint="default" w:ascii="宋体" w:hAnsi="宋体" w:eastAsia="仿宋_GB2312" w:cs="Times New Roman"/>
          <w:bCs/>
          <w:color w:val="000000"/>
          <w:spacing w:val="-6"/>
          <w:kern w:val="0"/>
          <w:position w:val="0"/>
          <w:sz w:val="32"/>
          <w:szCs w:val="32"/>
          <w:lang w:val="en-US" w:eastAsia="en-US" w:bidi="ar-SA"/>
        </w:rPr>
        <w:t>引资项目的促进和落实。推进投资促进和管理服务网络体系建设。</w:t>
      </w:r>
    </w:p>
    <w:p w14:paraId="1EDE091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000000"/>
          <w:kern w:val="0"/>
          <w:position w:val="0"/>
          <w:sz w:val="32"/>
          <w:szCs w:val="32"/>
          <w:lang w:val="en-US" w:eastAsia="en-US" w:bidi="ar-SA"/>
        </w:rPr>
      </w:pPr>
      <w:r>
        <w:rPr>
          <w:rFonts w:hint="eastAsia" w:ascii="宋体" w:hAnsi="宋体" w:eastAsia="仿宋_GB2312" w:cs="Times New Roman"/>
          <w:bCs/>
          <w:color w:val="000000"/>
          <w:kern w:val="0"/>
          <w:position w:val="0"/>
          <w:sz w:val="32"/>
          <w:szCs w:val="32"/>
          <w:lang w:val="en-US" w:eastAsia="zh-CN" w:bidi="ar-SA"/>
        </w:rPr>
        <w:t>（3）</w:t>
      </w:r>
      <w:r>
        <w:rPr>
          <w:rFonts w:hint="default" w:ascii="宋体" w:hAnsi="宋体" w:eastAsia="仿宋_GB2312" w:cs="Times New Roman"/>
          <w:bCs/>
          <w:color w:val="000000"/>
          <w:kern w:val="0"/>
          <w:position w:val="0"/>
          <w:sz w:val="32"/>
          <w:szCs w:val="32"/>
          <w:lang w:val="en-US" w:eastAsia="en-US" w:bidi="ar-SA"/>
        </w:rPr>
        <w:t>指导外商投资促进和管理工作。参与拟订外商投资政策和改革方案并组织实施。统计分析全市外商投资情况。依法监督检查外商投资企业执行有关法律法规规章、合同章程的情况并协调解决有关问题。</w:t>
      </w:r>
    </w:p>
    <w:p w14:paraId="410106D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000000"/>
          <w:kern w:val="0"/>
          <w:position w:val="0"/>
          <w:sz w:val="32"/>
          <w:szCs w:val="32"/>
          <w:lang w:val="en-US" w:eastAsia="en-US" w:bidi="ar-SA"/>
        </w:rPr>
      </w:pPr>
      <w:r>
        <w:rPr>
          <w:rFonts w:hint="eastAsia" w:ascii="宋体" w:hAnsi="宋体" w:eastAsia="仿宋_GB2312" w:cs="Times New Roman"/>
          <w:bCs/>
          <w:color w:val="000000"/>
          <w:kern w:val="0"/>
          <w:position w:val="0"/>
          <w:sz w:val="32"/>
          <w:szCs w:val="32"/>
          <w:lang w:val="en-US" w:eastAsia="zh-CN" w:bidi="ar-SA"/>
        </w:rPr>
        <w:t>（4）</w:t>
      </w:r>
      <w:r>
        <w:rPr>
          <w:rFonts w:hint="default" w:ascii="宋体" w:hAnsi="宋体" w:eastAsia="仿宋_GB2312" w:cs="Times New Roman"/>
          <w:bCs/>
          <w:color w:val="000000"/>
          <w:kern w:val="0"/>
          <w:position w:val="0"/>
          <w:sz w:val="32"/>
          <w:szCs w:val="32"/>
          <w:lang w:val="en-US" w:eastAsia="en-US" w:bidi="ar-SA"/>
        </w:rPr>
        <w:t>参与推进我市与国（境）内外相关区域合作。承担我市与国（境）内外相关区域经济合作活动的有关具体工作。</w:t>
      </w:r>
    </w:p>
    <w:p w14:paraId="00EB2C8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000000"/>
          <w:kern w:val="0"/>
          <w:position w:val="0"/>
          <w:sz w:val="32"/>
          <w:szCs w:val="32"/>
          <w:lang w:val="en-US" w:eastAsia="en-US" w:bidi="ar-SA"/>
        </w:rPr>
      </w:pPr>
      <w:r>
        <w:rPr>
          <w:rFonts w:hint="eastAsia" w:ascii="宋体" w:hAnsi="宋体" w:eastAsia="仿宋_GB2312" w:cs="Times New Roman"/>
          <w:bCs/>
          <w:color w:val="000000"/>
          <w:kern w:val="0"/>
          <w:position w:val="0"/>
          <w:sz w:val="32"/>
          <w:szCs w:val="32"/>
          <w:lang w:val="en-US" w:eastAsia="zh-CN" w:bidi="ar-SA"/>
        </w:rPr>
        <w:t>（5）</w:t>
      </w:r>
      <w:r>
        <w:rPr>
          <w:rFonts w:hint="default" w:ascii="宋体" w:hAnsi="宋体" w:eastAsia="仿宋_GB2312" w:cs="Times New Roman"/>
          <w:bCs/>
          <w:color w:val="000000"/>
          <w:kern w:val="0"/>
          <w:position w:val="0"/>
          <w:sz w:val="32"/>
          <w:szCs w:val="32"/>
          <w:lang w:val="en-US" w:eastAsia="en-US" w:bidi="ar-SA"/>
        </w:rPr>
        <w:t>承担推动我市与港澳台地区经贸合作有关工作。</w:t>
      </w:r>
    </w:p>
    <w:p w14:paraId="6E7258C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000000"/>
          <w:kern w:val="0"/>
          <w:position w:val="0"/>
          <w:sz w:val="32"/>
          <w:szCs w:val="32"/>
          <w:lang w:val="en-US" w:eastAsia="en-US" w:bidi="ar-SA"/>
        </w:rPr>
      </w:pPr>
      <w:r>
        <w:rPr>
          <w:rFonts w:hint="eastAsia" w:ascii="宋体" w:hAnsi="宋体" w:eastAsia="仿宋_GB2312" w:cs="Times New Roman"/>
          <w:bCs/>
          <w:color w:val="000000"/>
          <w:kern w:val="0"/>
          <w:position w:val="0"/>
          <w:sz w:val="32"/>
          <w:szCs w:val="32"/>
          <w:lang w:val="en-US" w:eastAsia="zh-CN" w:bidi="ar-SA"/>
        </w:rPr>
        <w:t>（6）</w:t>
      </w:r>
      <w:r>
        <w:rPr>
          <w:rFonts w:hint="default" w:ascii="宋体" w:hAnsi="宋体" w:eastAsia="仿宋_GB2312" w:cs="Times New Roman"/>
          <w:bCs/>
          <w:color w:val="000000"/>
          <w:kern w:val="0"/>
          <w:position w:val="0"/>
          <w:sz w:val="32"/>
          <w:szCs w:val="32"/>
          <w:lang w:val="en-US" w:eastAsia="en-US" w:bidi="ar-SA"/>
        </w:rPr>
        <w:t>受市政府委托，负责管理市政府各驻外机构（不含市政府驻北京联络处、驻成都办事处，下同）。推动全市博览发展促进工作，参与拟订全市会展业发展规划和相关政策。</w:t>
      </w:r>
    </w:p>
    <w:p w14:paraId="7FAFA8E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000000"/>
          <w:kern w:val="0"/>
          <w:position w:val="0"/>
          <w:sz w:val="32"/>
          <w:szCs w:val="32"/>
          <w:lang w:val="en-US" w:eastAsia="en-US" w:bidi="ar-SA"/>
        </w:rPr>
      </w:pPr>
      <w:r>
        <w:rPr>
          <w:rFonts w:hint="eastAsia" w:ascii="宋体" w:hAnsi="宋体" w:eastAsia="仿宋_GB2312" w:cs="Times New Roman"/>
          <w:bCs/>
          <w:color w:val="000000"/>
          <w:kern w:val="0"/>
          <w:position w:val="0"/>
          <w:sz w:val="32"/>
          <w:szCs w:val="32"/>
          <w:lang w:val="en-US" w:eastAsia="zh-CN" w:bidi="ar-SA"/>
        </w:rPr>
        <w:t>（7）</w:t>
      </w:r>
      <w:r>
        <w:rPr>
          <w:rFonts w:hint="default" w:ascii="宋体" w:hAnsi="宋体" w:eastAsia="仿宋_GB2312" w:cs="Times New Roman"/>
          <w:bCs/>
          <w:color w:val="000000"/>
          <w:kern w:val="0"/>
          <w:position w:val="0"/>
          <w:sz w:val="32"/>
          <w:szCs w:val="32"/>
          <w:lang w:val="en-US" w:eastAsia="en-US" w:bidi="ar-SA"/>
        </w:rPr>
        <w:t>负责职责范围内的安全生产和职业健康、生态环境保护、审批服务便民化等工作。</w:t>
      </w:r>
    </w:p>
    <w:p w14:paraId="1B45209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000000"/>
          <w:kern w:val="0"/>
          <w:position w:val="0"/>
          <w:sz w:val="32"/>
          <w:szCs w:val="32"/>
          <w:lang w:val="en-US" w:eastAsia="en-US" w:bidi="ar-SA"/>
        </w:rPr>
      </w:pPr>
      <w:r>
        <w:rPr>
          <w:rFonts w:hint="eastAsia" w:ascii="宋体" w:hAnsi="宋体" w:eastAsia="仿宋_GB2312" w:cs="Times New Roman"/>
          <w:bCs/>
          <w:color w:val="000000"/>
          <w:kern w:val="0"/>
          <w:position w:val="0"/>
          <w:sz w:val="32"/>
          <w:szCs w:val="32"/>
          <w:lang w:val="en-US" w:eastAsia="zh-CN" w:bidi="ar-SA"/>
        </w:rPr>
        <w:t>（8）</w:t>
      </w:r>
      <w:r>
        <w:rPr>
          <w:rFonts w:hint="default" w:ascii="宋体" w:hAnsi="宋体" w:eastAsia="仿宋_GB2312" w:cs="Times New Roman"/>
          <w:bCs/>
          <w:color w:val="000000"/>
          <w:kern w:val="0"/>
          <w:position w:val="0"/>
          <w:sz w:val="32"/>
          <w:szCs w:val="32"/>
          <w:lang w:val="en-US" w:eastAsia="en-US" w:bidi="ar-SA"/>
        </w:rPr>
        <w:t>完成市委、市政府交办的其他工作。</w:t>
      </w:r>
    </w:p>
    <w:p w14:paraId="551E804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 w:val="0"/>
          <w:bCs w:val="0"/>
          <w:color w:val="auto"/>
          <w:kern w:val="0"/>
          <w:position w:val="0"/>
          <w:sz w:val="32"/>
          <w:szCs w:val="32"/>
          <w:highlight w:val="none"/>
          <w:u w:val="none"/>
          <w:shd w:val="clear" w:color="auto" w:fill="FFFFFF"/>
          <w:lang w:val="zh-CN" w:eastAsia="en-US" w:bidi="ar-SA"/>
        </w:rPr>
      </w:pPr>
      <w:r>
        <w:rPr>
          <w:rFonts w:hint="eastAsia" w:ascii="宋体" w:hAnsi="宋体" w:eastAsia="仿宋_GB2312" w:cs="Times New Roman"/>
          <w:bCs/>
          <w:color w:val="000000"/>
          <w:kern w:val="0"/>
          <w:position w:val="0"/>
          <w:sz w:val="32"/>
          <w:szCs w:val="32"/>
          <w:lang w:val="en-US" w:eastAsia="zh-CN" w:bidi="ar-SA"/>
        </w:rPr>
        <w:t>（9）</w:t>
      </w:r>
      <w:r>
        <w:rPr>
          <w:rFonts w:hint="default" w:ascii="宋体" w:hAnsi="宋体" w:eastAsia="仿宋_GB2312" w:cs="Times New Roman"/>
          <w:bCs/>
          <w:color w:val="000000"/>
          <w:kern w:val="0"/>
          <w:position w:val="0"/>
          <w:sz w:val="32"/>
          <w:szCs w:val="32"/>
          <w:lang w:val="en-US" w:eastAsia="en-US" w:bidi="ar-SA"/>
        </w:rPr>
        <w:t>职能转变。建立健全体制机制，加强对全市经济合作的统筹，推进内资和外资、招商与博览有机融合发展。优化精准招商、精品招商、集群招商路径和方式，提升开放合作平台影响力，提高招商引资质量，发展壮大重点产业。深入实施外商投资管理体制改革，进一步改进外商投资企业投资管理，提高投资便利化水平。提升与发达地区经济合作层次，推进全市投资促进分工协作、错位发展。加强对重大引进项目的跟踪服务，完善市级重大引进项目激励机制。促进全市博览事业快速发展。</w:t>
      </w:r>
    </w:p>
    <w:p w14:paraId="0F9B248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en-US" w:eastAsia="zh-CN"/>
        </w:rPr>
      </w:pPr>
      <w:r>
        <w:rPr>
          <w:rFonts w:hint="default" w:ascii="宋体" w:hAnsi="宋体" w:eastAsia="楷体_GB2312" w:cs="Times New Roman"/>
          <w:b w:val="0"/>
          <w:bCs w:val="0"/>
          <w:color w:val="auto"/>
          <w:position w:val="0"/>
          <w:sz w:val="32"/>
          <w:szCs w:val="32"/>
          <w:highlight w:val="none"/>
          <w:u w:val="none"/>
          <w:lang w:val="zh-CN"/>
        </w:rPr>
        <w:t>（二）</w:t>
      </w:r>
      <w:r>
        <w:rPr>
          <w:rFonts w:hint="default" w:ascii="宋体" w:hAnsi="宋体" w:eastAsia="楷体_GB2312" w:cs="Times New Roman"/>
          <w:b w:val="0"/>
          <w:bCs w:val="0"/>
          <w:color w:val="auto"/>
          <w:position w:val="0"/>
          <w:sz w:val="32"/>
          <w:szCs w:val="32"/>
          <w:highlight w:val="none"/>
          <w:u w:val="none"/>
          <w:lang w:val="en-US" w:eastAsia="zh-CN"/>
        </w:rPr>
        <w:t>实施目的及支持方向</w:t>
      </w:r>
    </w:p>
    <w:p w14:paraId="55B61E2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zh-CN"/>
        </w:rPr>
      </w:pPr>
      <w:r>
        <w:rPr>
          <w:rFonts w:hint="eastAsia" w:ascii="宋体" w:hAnsi="宋体" w:eastAsia="仿宋_GB2312" w:cs="Times New Roman"/>
          <w:b w:val="0"/>
          <w:bCs w:val="0"/>
          <w:color w:val="auto"/>
          <w:position w:val="0"/>
          <w:sz w:val="32"/>
          <w:szCs w:val="32"/>
          <w:lang w:val="zh-CN"/>
        </w:rPr>
        <w:t>严格执行财务管理制度，按照“专款专用，注重实效”的原则进行管理。严格执行</w:t>
      </w:r>
      <w:r>
        <w:rPr>
          <w:rFonts w:hint="eastAsia" w:ascii="宋体" w:hAnsi="宋体" w:eastAsia="仿宋_GB2312" w:cs="Times New Roman"/>
          <w:b w:val="0"/>
          <w:bCs w:val="0"/>
          <w:color w:val="auto"/>
          <w:position w:val="0"/>
          <w:sz w:val="32"/>
          <w:szCs w:val="32"/>
          <w:lang w:val="en-US" w:eastAsia="zh-CN"/>
        </w:rPr>
        <w:t>财务</w:t>
      </w:r>
      <w:r>
        <w:rPr>
          <w:rFonts w:hint="eastAsia" w:ascii="宋体" w:hAnsi="宋体" w:eastAsia="仿宋_GB2312" w:cs="Times New Roman"/>
          <w:b w:val="0"/>
          <w:bCs w:val="0"/>
          <w:color w:val="auto"/>
          <w:position w:val="0"/>
          <w:sz w:val="32"/>
          <w:szCs w:val="32"/>
          <w:lang w:val="zh-CN"/>
        </w:rPr>
        <w:t>管理及资金支付制度，从制度上为规范资金管理提供保障，</w:t>
      </w:r>
      <w:r>
        <w:rPr>
          <w:rFonts w:hint="eastAsia" w:ascii="宋体" w:hAnsi="宋体" w:eastAsia="仿宋_GB2312" w:cs="Times New Roman"/>
          <w:b w:val="0"/>
          <w:bCs w:val="0"/>
          <w:color w:val="auto"/>
          <w:position w:val="0"/>
          <w:sz w:val="32"/>
          <w:szCs w:val="32"/>
          <w:lang w:val="zh-CN" w:eastAsia="zh-CN"/>
        </w:rPr>
        <w:t>保证了</w:t>
      </w:r>
      <w:r>
        <w:rPr>
          <w:rFonts w:hint="eastAsia" w:ascii="宋体" w:hAnsi="宋体" w:eastAsia="仿宋_GB2312" w:cs="Times New Roman"/>
          <w:b w:val="0"/>
          <w:bCs w:val="0"/>
          <w:color w:val="auto"/>
          <w:position w:val="0"/>
          <w:sz w:val="32"/>
          <w:szCs w:val="32"/>
          <w:lang w:val="zh-CN"/>
        </w:rPr>
        <w:t>资金使用管理的规范性、安全性和有效性</w:t>
      </w:r>
      <w:r>
        <w:rPr>
          <w:rFonts w:hint="default" w:ascii="宋体" w:hAnsi="宋体" w:eastAsia="仿宋_GB2312" w:cs="Times New Roman"/>
          <w:b w:val="0"/>
          <w:bCs w:val="0"/>
          <w:color w:val="auto"/>
          <w:kern w:val="0"/>
          <w:position w:val="0"/>
          <w:sz w:val="32"/>
          <w:szCs w:val="32"/>
          <w:highlight w:val="none"/>
          <w:u w:val="none"/>
          <w:shd w:val="clear" w:color="auto" w:fill="FFFFFF"/>
          <w:lang w:val="zh-CN"/>
        </w:rPr>
        <w:t>。</w:t>
      </w:r>
    </w:p>
    <w:p w14:paraId="4FCEE0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en-US" w:eastAsia="zh-CN"/>
        </w:rPr>
      </w:pPr>
      <w:r>
        <w:rPr>
          <w:rFonts w:hint="default" w:ascii="宋体" w:hAnsi="宋体" w:eastAsia="楷体_GB2312" w:cs="Times New Roman"/>
          <w:b w:val="0"/>
          <w:bCs w:val="0"/>
          <w:color w:val="auto"/>
          <w:position w:val="0"/>
          <w:sz w:val="32"/>
          <w:szCs w:val="32"/>
          <w:highlight w:val="none"/>
          <w:u w:val="none"/>
          <w:lang w:val="zh-CN" w:eastAsia="zh-CN"/>
        </w:rPr>
        <w:t>（三）</w:t>
      </w:r>
      <w:r>
        <w:rPr>
          <w:rFonts w:hint="default" w:ascii="宋体" w:hAnsi="宋体" w:eastAsia="楷体_GB2312" w:cs="Times New Roman"/>
          <w:b w:val="0"/>
          <w:bCs w:val="0"/>
          <w:color w:val="auto"/>
          <w:position w:val="0"/>
          <w:sz w:val="32"/>
          <w:szCs w:val="32"/>
          <w:highlight w:val="none"/>
          <w:u w:val="none"/>
          <w:lang w:val="en-US" w:eastAsia="zh-CN"/>
        </w:rPr>
        <w:t>预算安排及分配管理</w:t>
      </w:r>
    </w:p>
    <w:p w14:paraId="09339AC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仿宋_GB2312" w:cs="Times New Roman"/>
          <w:b w:val="0"/>
          <w:bCs w:val="0"/>
          <w:color w:val="auto"/>
          <w:kern w:val="0"/>
          <w:position w:val="0"/>
          <w:sz w:val="32"/>
          <w:szCs w:val="32"/>
          <w:highlight w:val="none"/>
          <w:u w:val="none"/>
          <w:shd w:val="clear" w:color="auto" w:fill="FFFFFF"/>
          <w:lang w:val="zh-CN"/>
        </w:rPr>
      </w:pPr>
      <w:r>
        <w:rPr>
          <w:rFonts w:hint="eastAsia" w:ascii="宋体" w:hAnsi="宋体" w:eastAsia="仿宋_GB2312" w:cs="仿宋_GB2312"/>
          <w:position w:val="0"/>
          <w:sz w:val="32"/>
          <w:szCs w:val="32"/>
          <w:lang w:val="zh-CN" w:eastAsia="zh-CN"/>
        </w:rPr>
        <w:t>根</w:t>
      </w:r>
      <w:r>
        <w:rPr>
          <w:rFonts w:hint="eastAsia" w:ascii="宋体" w:hAnsi="宋体" w:eastAsia="仿宋_GB2312" w:cs="仿宋_GB2312"/>
          <w:position w:val="0"/>
          <w:sz w:val="32"/>
          <w:szCs w:val="32"/>
          <w:lang w:val="en-US" w:eastAsia="zh-CN"/>
        </w:rPr>
        <w:t>据陕甘川宁毗邻地区经济联合会第34届年会需要，按照15万元预算，作为</w:t>
      </w:r>
      <w:r>
        <w:rPr>
          <w:rFonts w:hint="eastAsia" w:ascii="宋体" w:hAnsi="宋体" w:eastAsia="仿宋_GB2312" w:cs="仿宋_GB2312"/>
          <w:color w:val="auto"/>
          <w:kern w:val="0"/>
          <w:position w:val="0"/>
          <w:sz w:val="32"/>
          <w:szCs w:val="32"/>
          <w:lang w:val="en-US" w:eastAsia="zh-CN" w:bidi="ar-SA"/>
        </w:rPr>
        <w:t>保</w:t>
      </w:r>
      <w:r>
        <w:rPr>
          <w:rFonts w:hint="eastAsia" w:ascii="宋体" w:hAnsi="宋体" w:eastAsia="仿宋_GB2312" w:cs="仿宋_GB2312"/>
          <w:position w:val="0"/>
          <w:sz w:val="32"/>
          <w:szCs w:val="32"/>
          <w:lang w:val="en-US" w:eastAsia="zh-CN"/>
        </w:rPr>
        <w:t>障我单位举办陕甘川宁毗邻地区经济联合会第34届年会</w:t>
      </w:r>
      <w:r>
        <w:rPr>
          <w:rFonts w:hint="eastAsia" w:ascii="宋体" w:hAnsi="宋体" w:eastAsia="仿宋_GB2312" w:cs="仿宋_GB2312"/>
          <w:color w:val="auto"/>
          <w:kern w:val="0"/>
          <w:position w:val="0"/>
          <w:sz w:val="32"/>
          <w:szCs w:val="32"/>
          <w:lang w:val="en-US" w:eastAsia="zh-CN" w:bidi="ar-SA"/>
        </w:rPr>
        <w:t>，开展对</w:t>
      </w:r>
      <w:r>
        <w:rPr>
          <w:rFonts w:hint="default" w:ascii="宋体" w:hAnsi="宋体" w:eastAsia="仿宋_GB2312" w:cs="Times New Roman"/>
          <w:b w:val="0"/>
          <w:bCs w:val="0"/>
          <w:color w:val="auto"/>
          <w:position w:val="0"/>
          <w:sz w:val="32"/>
          <w:szCs w:val="32"/>
        </w:rPr>
        <w:t>陕西省宝鸡市、汉中市，甘肃省天水市、平凉市、庆阳市、陇南市，四川省绵阳市、广元市、巴中市、南充市，宁夏回族自治区吴忠市、固原市和中国铁路西安、兰州、成都局集团公司</w:t>
      </w:r>
      <w:r>
        <w:rPr>
          <w:rFonts w:hint="eastAsia" w:ascii="宋体" w:hAnsi="宋体" w:eastAsia="仿宋_GB2312" w:cs="Times New Roman"/>
          <w:b w:val="0"/>
          <w:bCs w:val="0"/>
          <w:color w:val="auto"/>
          <w:position w:val="0"/>
          <w:sz w:val="32"/>
          <w:szCs w:val="32"/>
          <w:lang w:eastAsia="zh-CN"/>
        </w:rPr>
        <w:t>等</w:t>
      </w:r>
      <w:r>
        <w:rPr>
          <w:rFonts w:hint="eastAsia" w:ascii="宋体" w:hAnsi="宋体" w:eastAsia="仿宋_GB2312" w:cs="仿宋_GB2312"/>
          <w:color w:val="auto"/>
          <w:kern w:val="0"/>
          <w:position w:val="0"/>
          <w:sz w:val="32"/>
          <w:szCs w:val="32"/>
          <w:lang w:val="en-US" w:eastAsia="zh-CN" w:bidi="ar-SA"/>
        </w:rPr>
        <w:t>重要嘉宾来广元参会、考察、洽谈及接待活动等支出。</w:t>
      </w:r>
    </w:p>
    <w:p w14:paraId="3D56953C">
      <w:pPr>
        <w:keepNext w:val="0"/>
        <w:keepLines w:val="0"/>
        <w:pageBreakBefore w:val="0"/>
        <w:widowControl w:val="0"/>
        <w:kinsoku/>
        <w:wordWrap/>
        <w:overflowPunct/>
        <w:topLinePunct w:val="0"/>
        <w:autoSpaceDE/>
        <w:autoSpaceDN/>
        <w:bidi w:val="0"/>
        <w:spacing w:before="0" w:beforeAutospacing="0" w:after="0" w:afterAutospacing="0" w:line="576" w:lineRule="exact"/>
        <w:ind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zh-CN" w:eastAsia="zh-CN"/>
        </w:rPr>
      </w:pPr>
      <w:r>
        <w:rPr>
          <w:rFonts w:hint="default" w:ascii="宋体" w:hAnsi="宋体" w:eastAsia="楷体_GB2312" w:cs="Times New Roman"/>
          <w:b w:val="0"/>
          <w:bCs w:val="0"/>
          <w:color w:val="auto"/>
          <w:position w:val="0"/>
          <w:sz w:val="32"/>
          <w:szCs w:val="32"/>
          <w:highlight w:val="none"/>
          <w:u w:val="none"/>
          <w:lang w:val="zh-CN" w:eastAsia="zh-CN"/>
        </w:rPr>
        <w:t>（四）项目绩效目标设置</w:t>
      </w:r>
    </w:p>
    <w:p w14:paraId="15414357">
      <w:pPr>
        <w:keepNext w:val="0"/>
        <w:keepLines w:val="0"/>
        <w:pageBreakBefore w:val="0"/>
        <w:widowControl w:val="0"/>
        <w:kinsoku/>
        <w:wordWrap/>
        <w:overflowPunct/>
        <w:topLinePunct w:val="0"/>
        <w:autoSpaceDE/>
        <w:autoSpaceDN/>
        <w:bidi w:val="0"/>
        <w:spacing w:before="0" w:beforeAutospacing="0" w:after="0" w:afterAutospacing="0" w:line="576" w:lineRule="exact"/>
        <w:ind w:leftChars="0" w:firstLine="640" w:firstLineChars="200"/>
        <w:jc w:val="both"/>
        <w:textAlignment w:val="auto"/>
        <w:outlineLvl w:val="9"/>
        <w:rPr>
          <w:rFonts w:hint="default" w:ascii="宋体" w:hAnsi="宋体" w:eastAsia="仿宋_GB2312" w:cs="Times New Roman"/>
          <w:b w:val="0"/>
          <w:bCs w:val="0"/>
          <w:color w:val="auto"/>
          <w:kern w:val="0"/>
          <w:position w:val="0"/>
          <w:sz w:val="32"/>
          <w:szCs w:val="32"/>
          <w:highlight w:val="none"/>
          <w:u w:val="none"/>
          <w:shd w:val="clear" w:color="auto" w:fill="FFFFFF"/>
          <w:lang w:val="zh-CN" w:eastAsia="zh-CN"/>
        </w:rPr>
      </w:pPr>
      <w:r>
        <w:rPr>
          <w:rFonts w:hint="eastAsia" w:ascii="宋体" w:hAnsi="宋体" w:eastAsia="仿宋_GB2312" w:cs="仿宋_GB2312"/>
          <w:b w:val="0"/>
          <w:bCs w:val="0"/>
          <w:color w:val="auto"/>
          <w:kern w:val="0"/>
          <w:position w:val="0"/>
          <w:sz w:val="32"/>
          <w:szCs w:val="32"/>
          <w:highlight w:val="none"/>
          <w:u w:val="none"/>
          <w:shd w:val="clear" w:color="auto" w:fill="FFFFFF"/>
          <w:lang w:val="zh-CN"/>
        </w:rPr>
        <w:t>实现的具体绩效目标，</w:t>
      </w:r>
      <w:r>
        <w:rPr>
          <w:rFonts w:hint="eastAsia" w:ascii="宋体" w:hAnsi="宋体" w:eastAsia="仿宋_GB2312" w:cs="仿宋_GB2312"/>
          <w:b w:val="0"/>
          <w:bCs w:val="0"/>
          <w:color w:val="auto"/>
          <w:kern w:val="0"/>
          <w:position w:val="0"/>
          <w:sz w:val="32"/>
          <w:szCs w:val="32"/>
          <w:highlight w:val="none"/>
          <w:u w:val="none"/>
          <w:shd w:val="clear" w:color="auto" w:fill="FFFFFF"/>
          <w:lang w:val="en-US" w:eastAsia="zh-CN"/>
        </w:rPr>
        <w:t>包括但不限于：积极推介广元优势资源，</w:t>
      </w:r>
      <w:r>
        <w:rPr>
          <w:rFonts w:hint="default" w:ascii="宋体" w:hAnsi="宋体" w:eastAsia="仿宋_GB2312" w:cs="Times New Roman"/>
          <w:b w:val="0"/>
          <w:bCs w:val="0"/>
          <w:color w:val="auto"/>
          <w:kern w:val="2"/>
          <w:position w:val="0"/>
          <w:sz w:val="32"/>
          <w:szCs w:val="32"/>
        </w:rPr>
        <w:t>推进西部大开发形成新格局战略机遇，深化合作交流，共谋区域发展，发挥经联会纽带作用，进一步推进陕甘川宁毗邻地区经济社会全面发展。</w:t>
      </w:r>
    </w:p>
    <w:p w14:paraId="49F6AED6">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outlineLvl w:val="9"/>
        <w:rPr>
          <w:rFonts w:hint="default" w:ascii="宋体" w:hAnsi="宋体" w:eastAsia="黑体" w:cs="Times New Roman"/>
          <w:b w:val="0"/>
          <w:bCs w:val="0"/>
          <w:color w:val="auto"/>
          <w:position w:val="0"/>
          <w:sz w:val="32"/>
          <w:szCs w:val="32"/>
          <w:highlight w:val="none"/>
          <w:lang w:eastAsia="zh-CN"/>
        </w:rPr>
      </w:pPr>
      <w:r>
        <w:rPr>
          <w:rFonts w:hint="default" w:ascii="宋体" w:hAnsi="宋体" w:eastAsia="黑体" w:cs="Times New Roman"/>
          <w:b w:val="0"/>
          <w:bCs w:val="0"/>
          <w:color w:val="auto"/>
          <w:position w:val="0"/>
          <w:sz w:val="32"/>
          <w:szCs w:val="32"/>
          <w:highlight w:val="none"/>
        </w:rPr>
        <w:t>二、</w:t>
      </w:r>
      <w:r>
        <w:rPr>
          <w:rFonts w:hint="default" w:ascii="宋体" w:hAnsi="宋体" w:eastAsia="黑体" w:cs="Times New Roman"/>
          <w:b w:val="0"/>
          <w:bCs w:val="0"/>
          <w:color w:val="auto"/>
          <w:position w:val="0"/>
          <w:sz w:val="32"/>
          <w:szCs w:val="32"/>
          <w:highlight w:val="none"/>
          <w:lang w:eastAsia="zh-CN"/>
        </w:rPr>
        <w:t>评价实施</w:t>
      </w:r>
    </w:p>
    <w:p w14:paraId="05F46497">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zh-CN"/>
        </w:rPr>
      </w:pPr>
      <w:r>
        <w:rPr>
          <w:rFonts w:hint="default" w:ascii="宋体" w:hAnsi="宋体" w:eastAsia="楷体_GB2312" w:cs="Times New Roman"/>
          <w:b w:val="0"/>
          <w:bCs w:val="0"/>
          <w:color w:val="auto"/>
          <w:position w:val="0"/>
          <w:sz w:val="32"/>
          <w:szCs w:val="32"/>
          <w:highlight w:val="none"/>
          <w:u w:val="none"/>
          <w:lang w:val="zh-CN"/>
        </w:rPr>
        <w:t>（一）评价目的</w:t>
      </w:r>
    </w:p>
    <w:p w14:paraId="6FD850C4">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default" w:ascii="宋体" w:hAnsi="宋体" w:eastAsia="仿宋_GB2312" w:cs="Times New Roman"/>
          <w:b w:val="0"/>
          <w:bCs w:val="0"/>
          <w:color w:val="auto"/>
          <w:position w:val="0"/>
          <w:sz w:val="32"/>
          <w:szCs w:val="32"/>
        </w:rPr>
      </w:pPr>
      <w:r>
        <w:rPr>
          <w:rFonts w:hint="eastAsia" w:ascii="宋体" w:hAnsi="宋体" w:eastAsia="仿宋_GB2312" w:cs="Times New Roman"/>
          <w:position w:val="0"/>
          <w:sz w:val="32"/>
          <w:szCs w:val="32"/>
        </w:rPr>
        <w:t>通过对</w:t>
      </w:r>
      <w:r>
        <w:rPr>
          <w:rFonts w:hint="eastAsia" w:ascii="宋体" w:hAnsi="宋体" w:eastAsia="仿宋_GB2312" w:cs="Times New Roman"/>
          <w:position w:val="0"/>
          <w:sz w:val="32"/>
          <w:szCs w:val="32"/>
          <w:lang w:val="en-US" w:eastAsia="zh-CN"/>
        </w:rPr>
        <w:t>陕甘川宁毗邻地区经济联合会第</w:t>
      </w:r>
      <w:r>
        <w:rPr>
          <w:rFonts w:hint="eastAsia" w:ascii="宋体" w:hAnsi="宋体" w:eastAsia="仿宋_GB2312" w:cs="仿宋_GB2312"/>
          <w:color w:val="auto"/>
          <w:kern w:val="0"/>
          <w:position w:val="0"/>
          <w:sz w:val="32"/>
          <w:szCs w:val="32"/>
          <w:lang w:val="en-US" w:eastAsia="zh-CN" w:bidi="ar-SA"/>
        </w:rPr>
        <w:t>34</w:t>
      </w:r>
      <w:r>
        <w:rPr>
          <w:rFonts w:hint="eastAsia" w:ascii="宋体" w:hAnsi="宋体" w:eastAsia="仿宋_GB2312" w:cs="Times New Roman"/>
          <w:position w:val="0"/>
          <w:sz w:val="32"/>
          <w:szCs w:val="32"/>
          <w:lang w:val="en-US" w:eastAsia="zh-CN"/>
        </w:rPr>
        <w:t>届年会</w:t>
      </w:r>
      <w:r>
        <w:rPr>
          <w:rFonts w:hint="eastAsia" w:ascii="宋体" w:hAnsi="宋体" w:eastAsia="仿宋_GB2312" w:cs="Times New Roman"/>
          <w:position w:val="0"/>
          <w:sz w:val="32"/>
          <w:szCs w:val="32"/>
        </w:rPr>
        <w:t>支出情况的绩效评价，促进整体上提升预算绩效管理工作水平，强化支出责任，规范资金管理行为，提高财政资金使用效益。</w:t>
      </w:r>
    </w:p>
    <w:p w14:paraId="7285BC2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zh-CN"/>
        </w:rPr>
      </w:pPr>
      <w:r>
        <w:rPr>
          <w:rFonts w:hint="default" w:ascii="宋体" w:hAnsi="宋体" w:eastAsia="楷体_GB2312" w:cs="Times New Roman"/>
          <w:b w:val="0"/>
          <w:bCs w:val="0"/>
          <w:color w:val="auto"/>
          <w:position w:val="0"/>
          <w:sz w:val="32"/>
          <w:szCs w:val="32"/>
          <w:highlight w:val="none"/>
          <w:u w:val="none"/>
          <w:lang w:val="zh-CN"/>
        </w:rPr>
        <w:t>（二）预设问题及评价重点</w:t>
      </w:r>
    </w:p>
    <w:p w14:paraId="6F8462D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宋体" w:hAnsi="宋体" w:eastAsia="仿宋_GB2312" w:cs="Times New Roman"/>
          <w:position w:val="0"/>
          <w:sz w:val="32"/>
          <w:szCs w:val="32"/>
          <w:lang w:eastAsia="zh-CN"/>
        </w:rPr>
      </w:pPr>
      <w:r>
        <w:rPr>
          <w:rFonts w:hint="default" w:ascii="宋体" w:hAnsi="宋体" w:eastAsia="仿宋_GB2312" w:cs="Times New Roman"/>
          <w:color w:val="auto"/>
          <w:kern w:val="2"/>
          <w:position w:val="0"/>
          <w:sz w:val="32"/>
          <w:szCs w:val="32"/>
          <w:lang w:val="en-US" w:eastAsia="zh-CN" w:bidi="ar-SA"/>
        </w:rPr>
        <w:t>强化对</w:t>
      </w:r>
      <w:r>
        <w:rPr>
          <w:rFonts w:hint="eastAsia" w:ascii="宋体" w:hAnsi="宋体" w:eastAsia="仿宋_GB2312" w:cs="Times New Roman"/>
          <w:color w:val="auto"/>
          <w:kern w:val="2"/>
          <w:position w:val="0"/>
          <w:sz w:val="32"/>
          <w:szCs w:val="32"/>
          <w:lang w:val="en-US" w:eastAsia="zh-CN" w:bidi="ar-SA"/>
        </w:rPr>
        <w:t>资金</w:t>
      </w:r>
      <w:r>
        <w:rPr>
          <w:rFonts w:hint="default" w:ascii="宋体" w:hAnsi="宋体" w:eastAsia="仿宋_GB2312" w:cs="Times New Roman"/>
          <w:color w:val="auto"/>
          <w:kern w:val="2"/>
          <w:position w:val="0"/>
          <w:sz w:val="32"/>
          <w:szCs w:val="32"/>
          <w:lang w:val="en-US" w:eastAsia="zh-CN" w:bidi="ar-SA"/>
        </w:rPr>
        <w:t>的管理</w:t>
      </w:r>
      <w:r>
        <w:rPr>
          <w:rFonts w:hint="eastAsia" w:ascii="宋体" w:hAnsi="宋体" w:eastAsia="仿宋_GB2312" w:cs="Times New Roman"/>
          <w:color w:val="auto"/>
          <w:kern w:val="2"/>
          <w:position w:val="0"/>
          <w:sz w:val="32"/>
          <w:szCs w:val="32"/>
          <w:lang w:val="en-US" w:eastAsia="zh-CN" w:bidi="ar-SA"/>
        </w:rPr>
        <w:t>，保证专款专用，确保高效实施。</w:t>
      </w:r>
    </w:p>
    <w:p w14:paraId="2C35012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zh-CN"/>
        </w:rPr>
      </w:pPr>
      <w:r>
        <w:rPr>
          <w:rFonts w:hint="default" w:ascii="宋体" w:hAnsi="宋体" w:eastAsia="楷体_GB2312" w:cs="Times New Roman"/>
          <w:b w:val="0"/>
          <w:bCs w:val="0"/>
          <w:color w:val="auto"/>
          <w:position w:val="0"/>
          <w:sz w:val="32"/>
          <w:szCs w:val="32"/>
          <w:highlight w:val="none"/>
          <w:u w:val="none"/>
          <w:lang w:val="zh-CN"/>
        </w:rPr>
        <w:t>（三）评价选点</w:t>
      </w:r>
    </w:p>
    <w:p w14:paraId="332E3AD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仿宋_GB2312" w:cs="Times New Roman"/>
          <w:b w:val="0"/>
          <w:bCs w:val="0"/>
          <w:color w:val="auto"/>
          <w:position w:val="0"/>
          <w:sz w:val="32"/>
          <w:szCs w:val="32"/>
          <w:lang w:val="zh-CN" w:eastAsia="zh-CN"/>
        </w:rPr>
      </w:pPr>
      <w:r>
        <w:rPr>
          <w:rFonts w:hint="eastAsia" w:ascii="宋体" w:hAnsi="宋体" w:eastAsia="仿宋_GB2312" w:cs="Times New Roman"/>
          <w:position w:val="0"/>
          <w:sz w:val="32"/>
          <w:szCs w:val="32"/>
          <w:lang w:val="zh-CN" w:eastAsia="zh-CN"/>
        </w:rPr>
        <w:t>通过对</w:t>
      </w:r>
      <w:r>
        <w:rPr>
          <w:rFonts w:hint="eastAsia" w:ascii="宋体" w:hAnsi="宋体" w:eastAsia="仿宋_GB2312" w:cs="Times New Roman"/>
          <w:position w:val="0"/>
          <w:sz w:val="32"/>
          <w:szCs w:val="32"/>
          <w:lang w:val="en-US" w:eastAsia="zh-CN"/>
        </w:rPr>
        <w:t>陕甘川宁毗邻地区经济联合会第</w:t>
      </w:r>
      <w:r>
        <w:rPr>
          <w:rFonts w:hint="eastAsia" w:ascii="宋体" w:hAnsi="宋体" w:eastAsia="仿宋_GB2312" w:cs="仿宋_GB2312"/>
          <w:color w:val="auto"/>
          <w:kern w:val="0"/>
          <w:position w:val="0"/>
          <w:sz w:val="32"/>
          <w:szCs w:val="32"/>
          <w:lang w:val="en-US" w:eastAsia="zh-CN" w:bidi="ar-SA"/>
        </w:rPr>
        <w:t>34</w:t>
      </w:r>
      <w:r>
        <w:rPr>
          <w:rFonts w:hint="eastAsia" w:ascii="宋体" w:hAnsi="宋体" w:eastAsia="仿宋_GB2312" w:cs="Times New Roman"/>
          <w:position w:val="0"/>
          <w:sz w:val="32"/>
          <w:szCs w:val="32"/>
          <w:lang w:val="en-US" w:eastAsia="zh-CN"/>
        </w:rPr>
        <w:t>届年会资金使用情况数据的抽查检验，以掌握资金运用绩效目标实现情况。</w:t>
      </w:r>
    </w:p>
    <w:p w14:paraId="72EC565F">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zh-CN"/>
        </w:rPr>
      </w:pPr>
      <w:r>
        <w:rPr>
          <w:rFonts w:hint="default" w:ascii="宋体" w:hAnsi="宋体" w:eastAsia="楷体_GB2312" w:cs="Times New Roman"/>
          <w:b w:val="0"/>
          <w:bCs w:val="0"/>
          <w:color w:val="auto"/>
          <w:position w:val="0"/>
          <w:sz w:val="32"/>
          <w:szCs w:val="32"/>
          <w:highlight w:val="none"/>
          <w:u w:val="none"/>
          <w:lang w:val="zh-CN"/>
        </w:rPr>
        <w:t>（四）评价方法</w:t>
      </w:r>
    </w:p>
    <w:p w14:paraId="07D3DCFF">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eastAsia" w:ascii="宋体" w:hAnsi="宋体" w:eastAsia="仿宋_GB2312" w:cs="Times New Roman"/>
          <w:position w:val="0"/>
          <w:sz w:val="32"/>
          <w:szCs w:val="32"/>
          <w:lang w:eastAsia="zh-CN"/>
        </w:rPr>
      </w:pPr>
      <w:r>
        <w:rPr>
          <w:rFonts w:hint="eastAsia" w:ascii="宋体" w:hAnsi="宋体" w:eastAsia="仿宋_GB2312" w:cs="Times New Roman"/>
          <w:position w:val="0"/>
          <w:sz w:val="32"/>
          <w:szCs w:val="32"/>
          <w:lang w:val="en-US" w:eastAsia="zh-CN"/>
        </w:rPr>
        <w:t>根据</w:t>
      </w:r>
      <w:r>
        <w:rPr>
          <w:rFonts w:hint="eastAsia" w:ascii="宋体" w:hAnsi="宋体" w:eastAsia="仿宋_GB2312" w:cs="Times New Roman"/>
          <w:position w:val="0"/>
          <w:sz w:val="32"/>
          <w:szCs w:val="32"/>
          <w:lang w:eastAsia="zh-CN"/>
        </w:rPr>
        <w:t>年初绩效申报数据及评价标准，进行数据综合分析，对项目绩效进行自评价，撰写部门自评价报告。</w:t>
      </w:r>
    </w:p>
    <w:p w14:paraId="25114236">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zh-CN"/>
        </w:rPr>
      </w:pPr>
      <w:r>
        <w:rPr>
          <w:rFonts w:hint="default" w:ascii="宋体" w:hAnsi="宋体" w:eastAsia="楷体_GB2312" w:cs="Times New Roman"/>
          <w:b w:val="0"/>
          <w:bCs w:val="0"/>
          <w:color w:val="auto"/>
          <w:position w:val="0"/>
          <w:sz w:val="32"/>
          <w:szCs w:val="32"/>
          <w:highlight w:val="none"/>
          <w:u w:val="none"/>
          <w:lang w:val="zh-CN"/>
        </w:rPr>
        <w:t>（五）评价组织</w:t>
      </w:r>
    </w:p>
    <w:p w14:paraId="5105BC2F">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default" w:ascii="宋体" w:hAnsi="宋体" w:eastAsia="仿宋_GB2312" w:cs="Times New Roman"/>
          <w:b w:val="0"/>
          <w:bCs w:val="0"/>
          <w:color w:val="auto"/>
          <w:position w:val="0"/>
          <w:sz w:val="32"/>
          <w:szCs w:val="32"/>
          <w:lang w:eastAsia="zh-CN"/>
        </w:rPr>
      </w:pPr>
      <w:r>
        <w:rPr>
          <w:rFonts w:hint="eastAsia" w:ascii="宋体" w:hAnsi="宋体" w:eastAsia="仿宋_GB2312" w:cs="Times New Roman"/>
          <w:position w:val="0"/>
          <w:sz w:val="32"/>
          <w:szCs w:val="32"/>
          <w:lang w:eastAsia="zh-CN"/>
        </w:rPr>
        <w:t>成立以局主要领导为组长，分管领导为副组长，各科室、中心负责人为组员，办公室承担小组办公室日常工作。</w:t>
      </w:r>
    </w:p>
    <w:p w14:paraId="4844D1B2">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outlineLvl w:val="9"/>
        <w:rPr>
          <w:rFonts w:hint="default" w:ascii="宋体" w:hAnsi="宋体" w:eastAsia="仿宋_GB2312" w:cs="Times New Roman"/>
          <w:b w:val="0"/>
          <w:bCs w:val="0"/>
          <w:color w:val="auto"/>
          <w:position w:val="0"/>
          <w:sz w:val="32"/>
          <w:szCs w:val="32"/>
          <w:highlight w:val="none"/>
          <w:u w:val="none"/>
          <w:lang w:val="zh-CN"/>
        </w:rPr>
      </w:pPr>
      <w:r>
        <w:rPr>
          <w:rFonts w:hint="default" w:ascii="宋体" w:hAnsi="宋体" w:eastAsia="黑体" w:cs="Times New Roman"/>
          <w:b w:val="0"/>
          <w:bCs w:val="0"/>
          <w:color w:val="auto"/>
          <w:position w:val="0"/>
          <w:sz w:val="32"/>
          <w:szCs w:val="32"/>
          <w:highlight w:val="none"/>
          <w:u w:val="none"/>
        </w:rPr>
        <w:t>三、</w:t>
      </w:r>
      <w:r>
        <w:rPr>
          <w:rFonts w:hint="default" w:ascii="宋体" w:hAnsi="宋体" w:eastAsia="黑体" w:cs="Times New Roman"/>
          <w:b w:val="0"/>
          <w:bCs w:val="0"/>
          <w:color w:val="auto"/>
          <w:position w:val="0"/>
          <w:sz w:val="32"/>
          <w:szCs w:val="32"/>
          <w:highlight w:val="none"/>
          <w:u w:val="none"/>
          <w:lang w:eastAsia="zh-CN"/>
        </w:rPr>
        <w:t>绩效分析</w:t>
      </w:r>
      <w:r>
        <w:rPr>
          <w:rFonts w:hint="default" w:ascii="宋体" w:hAnsi="宋体" w:eastAsia="仿宋_GB2312" w:cs="Times New Roman"/>
          <w:b w:val="0"/>
          <w:bCs w:val="0"/>
          <w:color w:val="auto"/>
          <w:position w:val="0"/>
          <w:sz w:val="32"/>
          <w:szCs w:val="32"/>
          <w:highlight w:val="none"/>
          <w:u w:val="none"/>
          <w:lang w:val="zh-CN"/>
        </w:rPr>
        <w:tab/>
      </w:r>
    </w:p>
    <w:p w14:paraId="146049E6">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en-US" w:eastAsia="zh-CN"/>
        </w:rPr>
      </w:pPr>
      <w:r>
        <w:rPr>
          <w:rFonts w:hint="default" w:ascii="宋体" w:hAnsi="宋体" w:eastAsia="楷体_GB2312" w:cs="Times New Roman"/>
          <w:b w:val="0"/>
          <w:bCs w:val="0"/>
          <w:color w:val="auto"/>
          <w:position w:val="0"/>
          <w:sz w:val="32"/>
          <w:szCs w:val="32"/>
          <w:highlight w:val="none"/>
          <w:u w:val="none"/>
          <w:lang w:val="zh-CN"/>
        </w:rPr>
        <w:t>（一）</w:t>
      </w:r>
      <w:r>
        <w:rPr>
          <w:rFonts w:hint="default" w:ascii="宋体" w:hAnsi="宋体" w:eastAsia="楷体_GB2312" w:cs="Times New Roman"/>
          <w:b w:val="0"/>
          <w:bCs w:val="0"/>
          <w:color w:val="auto"/>
          <w:position w:val="0"/>
          <w:sz w:val="32"/>
          <w:szCs w:val="32"/>
          <w:highlight w:val="none"/>
          <w:u w:val="none"/>
          <w:lang w:val="en-US" w:eastAsia="zh-CN"/>
        </w:rPr>
        <w:t>通用指标</w:t>
      </w:r>
      <w:r>
        <w:rPr>
          <w:rFonts w:hint="default" w:ascii="宋体" w:hAnsi="宋体" w:eastAsia="楷体_GB2312" w:cs="Times New Roman"/>
          <w:b w:val="0"/>
          <w:bCs w:val="0"/>
          <w:color w:val="auto"/>
          <w:kern w:val="0"/>
          <w:position w:val="0"/>
          <w:sz w:val="32"/>
          <w:szCs w:val="32"/>
          <w:highlight w:val="none"/>
          <w:shd w:val="clear" w:color="auto" w:fill="FFFFFF"/>
          <w:lang w:val="zh-CN"/>
        </w:rPr>
        <w:t>绩效分析</w:t>
      </w:r>
    </w:p>
    <w:p w14:paraId="6ACD8B7D">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9"/>
        <w:rPr>
          <w:rFonts w:hint="eastAsia" w:ascii="宋体" w:hAnsi="宋体" w:eastAsia="仿宋_GB2312" w:cs="Times New Roman"/>
          <w:color w:val="auto"/>
          <w:position w:val="0"/>
          <w:sz w:val="32"/>
          <w:szCs w:val="32"/>
          <w:lang w:eastAsia="zh-CN"/>
        </w:rPr>
      </w:pPr>
      <w:r>
        <w:rPr>
          <w:rFonts w:hint="eastAsia" w:ascii="宋体" w:hAnsi="宋体" w:eastAsia="仿宋_GB2312" w:cs="仿宋_GB2312"/>
          <w:b w:val="0"/>
          <w:bCs w:val="0"/>
          <w:color w:val="auto"/>
          <w:position w:val="0"/>
          <w:sz w:val="32"/>
          <w:szCs w:val="32"/>
          <w:lang w:val="en-US" w:eastAsia="zh-CN"/>
        </w:rPr>
        <w:t>1.</w:t>
      </w:r>
      <w:r>
        <w:rPr>
          <w:rFonts w:hint="eastAsia" w:ascii="宋体" w:hAnsi="宋体" w:eastAsia="仿宋_GB2312" w:cs="仿宋_GB2312"/>
          <w:b w:val="0"/>
          <w:bCs w:val="0"/>
          <w:color w:val="auto"/>
          <w:position w:val="0"/>
          <w:sz w:val="32"/>
          <w:szCs w:val="32"/>
          <w:lang w:eastAsia="zh-CN"/>
        </w:rPr>
        <w:t>项目决策。</w:t>
      </w:r>
      <w:r>
        <w:rPr>
          <w:rFonts w:hint="eastAsia" w:ascii="宋体" w:hAnsi="宋体" w:eastAsia="仿宋_GB2312" w:cs="Times New Roman"/>
          <w:color w:val="auto"/>
          <w:position w:val="0"/>
          <w:sz w:val="32"/>
          <w:szCs w:val="32"/>
          <w:lang w:eastAsia="zh-CN"/>
        </w:rPr>
        <w:t>立项依据基本充分，均设定了各项目绩效目标，资金配置均有明确的测算。</w:t>
      </w:r>
    </w:p>
    <w:p w14:paraId="27C516B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宋体" w:hAnsi="宋体" w:eastAsia="仿宋_GB2312" w:cs="Times New Roman"/>
          <w:b w:val="0"/>
          <w:bCs w:val="0"/>
          <w:color w:val="auto"/>
          <w:position w:val="0"/>
          <w:sz w:val="32"/>
          <w:szCs w:val="32"/>
          <w:lang w:val="zh-CN"/>
        </w:rPr>
      </w:pPr>
      <w:r>
        <w:rPr>
          <w:rFonts w:hint="eastAsia" w:ascii="宋体" w:hAnsi="宋体" w:eastAsia="仿宋_GB2312" w:cs="仿宋_GB2312"/>
          <w:b w:val="0"/>
          <w:bCs w:val="0"/>
          <w:color w:val="auto"/>
          <w:position w:val="0"/>
          <w:sz w:val="32"/>
          <w:szCs w:val="32"/>
          <w:lang w:val="en-US" w:eastAsia="zh-CN"/>
        </w:rPr>
        <w:t>2.</w:t>
      </w:r>
      <w:r>
        <w:rPr>
          <w:rFonts w:hint="eastAsia" w:ascii="宋体" w:hAnsi="宋体" w:eastAsia="仿宋_GB2312" w:cs="仿宋_GB2312"/>
          <w:b w:val="0"/>
          <w:bCs w:val="0"/>
          <w:color w:val="auto"/>
          <w:position w:val="0"/>
          <w:sz w:val="32"/>
          <w:szCs w:val="32"/>
          <w:lang w:eastAsia="zh-CN"/>
        </w:rPr>
        <w:t>项目管理。</w:t>
      </w:r>
      <w:r>
        <w:rPr>
          <w:rFonts w:hint="eastAsia" w:ascii="宋体" w:hAnsi="宋体" w:eastAsia="仿宋_GB2312" w:cs="Times New Roman"/>
          <w:b w:val="0"/>
          <w:bCs w:val="0"/>
          <w:color w:val="auto"/>
          <w:position w:val="0"/>
          <w:sz w:val="32"/>
          <w:szCs w:val="32"/>
          <w:lang w:val="en-US" w:eastAsia="zh-CN"/>
        </w:rPr>
        <w:t>我单位严格</w:t>
      </w:r>
      <w:r>
        <w:rPr>
          <w:rFonts w:hint="eastAsia" w:ascii="宋体" w:hAnsi="宋体" w:eastAsia="仿宋_GB2312" w:cs="Times New Roman"/>
          <w:b w:val="0"/>
          <w:bCs w:val="0"/>
          <w:color w:val="auto"/>
          <w:position w:val="0"/>
          <w:sz w:val="32"/>
          <w:szCs w:val="32"/>
          <w:lang w:val="zh-CN"/>
        </w:rPr>
        <w:t>落实资金专款专用，</w:t>
      </w:r>
      <w:r>
        <w:rPr>
          <w:rFonts w:hint="eastAsia" w:ascii="宋体" w:hAnsi="宋体" w:eastAsia="仿宋_GB2312" w:cs="Times New Roman"/>
          <w:position w:val="0"/>
          <w:sz w:val="32"/>
          <w:szCs w:val="32"/>
          <w:lang w:eastAsia="zh-CN"/>
        </w:rPr>
        <w:t>对</w:t>
      </w:r>
      <w:r>
        <w:rPr>
          <w:rFonts w:hint="eastAsia" w:ascii="宋体" w:hAnsi="宋体" w:eastAsia="仿宋_GB2312" w:cs="Times New Roman"/>
          <w:position w:val="0"/>
          <w:sz w:val="32"/>
          <w:szCs w:val="32"/>
          <w:lang w:val="en-US" w:eastAsia="zh-CN"/>
        </w:rPr>
        <w:t>陕甘川宁毗邻地区经济联合会第</w:t>
      </w:r>
      <w:r>
        <w:rPr>
          <w:rFonts w:hint="eastAsia" w:ascii="宋体" w:hAnsi="宋体" w:eastAsia="仿宋_GB2312" w:cs="仿宋_GB2312"/>
          <w:color w:val="auto"/>
          <w:kern w:val="0"/>
          <w:position w:val="0"/>
          <w:sz w:val="32"/>
          <w:szCs w:val="32"/>
          <w:lang w:val="en-US" w:eastAsia="zh-CN" w:bidi="ar-SA"/>
        </w:rPr>
        <w:t>34届</w:t>
      </w:r>
      <w:r>
        <w:rPr>
          <w:rFonts w:hint="eastAsia" w:ascii="宋体" w:hAnsi="宋体" w:eastAsia="仿宋_GB2312" w:cs="Times New Roman"/>
          <w:position w:val="0"/>
          <w:sz w:val="32"/>
          <w:szCs w:val="32"/>
          <w:lang w:val="en-US" w:eastAsia="zh-CN"/>
        </w:rPr>
        <w:t>年会预算进行党组会审议，对项目结束后的结算经费由党组会逐笔审议。</w:t>
      </w:r>
      <w:r>
        <w:rPr>
          <w:rFonts w:hint="eastAsia" w:ascii="宋体" w:hAnsi="宋体" w:eastAsia="仿宋_GB2312" w:cs="Times New Roman"/>
          <w:b w:val="0"/>
          <w:bCs w:val="0"/>
          <w:color w:val="auto"/>
          <w:position w:val="0"/>
          <w:sz w:val="32"/>
          <w:szCs w:val="32"/>
          <w:lang w:val="zh-CN"/>
        </w:rPr>
        <w:t>同时</w:t>
      </w:r>
      <w:r>
        <w:rPr>
          <w:rFonts w:hint="eastAsia" w:ascii="宋体" w:hAnsi="宋体" w:eastAsia="仿宋_GB2312" w:cs="Times New Roman"/>
          <w:b w:val="0"/>
          <w:bCs w:val="0"/>
          <w:position w:val="0"/>
          <w:sz w:val="32"/>
          <w:szCs w:val="32"/>
          <w:lang w:val="en-US" w:eastAsia="zh-CN"/>
        </w:rPr>
        <w:t>还配合市纪委监委派驻市政府办纪检组不定期抽查监督</w:t>
      </w:r>
      <w:r>
        <w:rPr>
          <w:rFonts w:hint="eastAsia" w:ascii="宋体" w:hAnsi="宋体" w:eastAsia="仿宋_GB2312" w:cs="Times New Roman"/>
          <w:b w:val="0"/>
          <w:bCs w:val="0"/>
          <w:position w:val="0"/>
          <w:sz w:val="32"/>
          <w:szCs w:val="32"/>
          <w:lang w:val="zh-CN"/>
        </w:rPr>
        <w:t>。</w:t>
      </w:r>
      <w:r>
        <w:rPr>
          <w:rFonts w:hint="eastAsia" w:ascii="宋体" w:hAnsi="宋体" w:eastAsia="仿宋_GB2312" w:cs="Times New Roman"/>
          <w:b w:val="0"/>
          <w:bCs w:val="0"/>
          <w:color w:val="auto"/>
          <w:position w:val="0"/>
          <w:sz w:val="32"/>
          <w:szCs w:val="32"/>
          <w:lang w:val="zh-CN"/>
        </w:rPr>
        <w:t>严格执行财务管理制度，按照“专款专用，注重实效”的原则进行管理。严格控制资金支付制度，从制度上为规范资金管理提供保障，促进了资金使用管理的规范性、安全性和有效性。</w:t>
      </w:r>
    </w:p>
    <w:p w14:paraId="4FFA8F73">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9"/>
        <w:rPr>
          <w:rFonts w:hint="eastAsia" w:ascii="宋体" w:hAnsi="宋体" w:eastAsia="仿宋_GB2312" w:cs="仿宋_GB2312"/>
          <w:b w:val="0"/>
          <w:bCs w:val="0"/>
          <w:color w:val="auto"/>
          <w:position w:val="0"/>
          <w:sz w:val="32"/>
          <w:szCs w:val="32"/>
          <w:lang w:eastAsia="zh-CN"/>
        </w:rPr>
      </w:pPr>
      <w:r>
        <w:rPr>
          <w:rFonts w:hint="eastAsia" w:ascii="宋体" w:hAnsi="宋体" w:eastAsia="仿宋_GB2312" w:cs="仿宋_GB2312"/>
          <w:b w:val="0"/>
          <w:bCs w:val="0"/>
          <w:color w:val="auto"/>
          <w:position w:val="0"/>
          <w:sz w:val="32"/>
          <w:szCs w:val="32"/>
          <w:lang w:val="en-US" w:eastAsia="zh-CN"/>
        </w:rPr>
        <w:t>3.项目实施。</w:t>
      </w:r>
      <w:r>
        <w:rPr>
          <w:rFonts w:hint="eastAsia" w:ascii="宋体" w:hAnsi="宋体" w:eastAsia="仿宋_GB2312" w:cs="Times New Roman"/>
          <w:position w:val="0"/>
          <w:sz w:val="32"/>
          <w:szCs w:val="32"/>
          <w:lang w:val="en-US" w:eastAsia="zh-CN"/>
        </w:rPr>
        <w:t>陕甘川宁毗邻地区经济联合会</w:t>
      </w:r>
      <w:r>
        <w:rPr>
          <w:rFonts w:hint="eastAsia" w:ascii="宋体" w:hAnsi="宋体" w:eastAsia="仿宋_GB2312" w:cs="Times New Roman"/>
          <w:color w:val="auto"/>
          <w:position w:val="0"/>
          <w:sz w:val="32"/>
          <w:szCs w:val="32"/>
          <w:lang w:val="en-US" w:eastAsia="zh-CN"/>
        </w:rPr>
        <w:t>第</w:t>
      </w:r>
      <w:r>
        <w:rPr>
          <w:rFonts w:hint="eastAsia" w:ascii="宋体" w:hAnsi="宋体" w:eastAsia="仿宋_GB2312" w:cs="仿宋_GB2312"/>
          <w:color w:val="auto"/>
          <w:kern w:val="0"/>
          <w:position w:val="0"/>
          <w:sz w:val="32"/>
          <w:szCs w:val="32"/>
          <w:lang w:val="en-US" w:eastAsia="zh-CN" w:bidi="ar-SA"/>
        </w:rPr>
        <w:t>34</w:t>
      </w:r>
      <w:r>
        <w:rPr>
          <w:rFonts w:hint="eastAsia" w:ascii="宋体" w:hAnsi="宋体" w:eastAsia="仿宋_GB2312" w:cs="Times New Roman"/>
          <w:color w:val="auto"/>
          <w:position w:val="0"/>
          <w:sz w:val="32"/>
          <w:szCs w:val="32"/>
          <w:lang w:val="en-US" w:eastAsia="zh-CN"/>
        </w:rPr>
        <w:t>届年会支出</w:t>
      </w:r>
      <w:r>
        <w:rPr>
          <w:rFonts w:hint="eastAsia" w:ascii="宋体" w:hAnsi="宋体" w:eastAsia="仿宋_GB2312" w:cs="仿宋_GB2312"/>
          <w:color w:val="auto"/>
          <w:kern w:val="0"/>
          <w:position w:val="0"/>
          <w:sz w:val="32"/>
          <w:szCs w:val="32"/>
          <w:lang w:val="en-US" w:eastAsia="zh-CN" w:bidi="ar-SA"/>
        </w:rPr>
        <w:t>13.71万元</w:t>
      </w:r>
      <w:r>
        <w:rPr>
          <w:rFonts w:hint="eastAsia" w:ascii="宋体" w:hAnsi="宋体" w:eastAsia="仿宋_GB2312" w:cs="Times New Roman"/>
          <w:color w:val="auto"/>
          <w:position w:val="0"/>
          <w:sz w:val="32"/>
          <w:szCs w:val="32"/>
          <w:lang w:val="en-US" w:eastAsia="zh-CN"/>
        </w:rPr>
        <w:t>，预算执行率</w:t>
      </w:r>
      <w:r>
        <w:rPr>
          <w:rFonts w:hint="eastAsia" w:ascii="宋体" w:hAnsi="宋体" w:eastAsia="仿宋_GB2312" w:cs="仿宋_GB2312"/>
          <w:color w:val="auto"/>
          <w:kern w:val="0"/>
          <w:position w:val="0"/>
          <w:sz w:val="32"/>
          <w:szCs w:val="32"/>
          <w:lang w:val="en-US" w:eastAsia="zh-CN" w:bidi="ar-SA"/>
        </w:rPr>
        <w:t>90.64%</w:t>
      </w:r>
      <w:r>
        <w:rPr>
          <w:rFonts w:hint="eastAsia" w:ascii="宋体" w:hAnsi="宋体" w:eastAsia="仿宋_GB2312" w:cs="Times New Roman"/>
          <w:color w:val="auto"/>
          <w:position w:val="0"/>
          <w:sz w:val="32"/>
          <w:szCs w:val="32"/>
          <w:lang w:val="en-US" w:eastAsia="zh-CN"/>
        </w:rPr>
        <w:t>。主要原因为我单位秉承厉行节约的原则，费用开支严格压缩。在预算执行过程中严格按照相关管理制度，</w:t>
      </w:r>
      <w:r>
        <w:rPr>
          <w:rFonts w:hint="eastAsia" w:ascii="宋体" w:hAnsi="宋体" w:eastAsia="仿宋_GB2312" w:cs="Times New Roman"/>
          <w:color w:val="auto"/>
          <w:position w:val="0"/>
          <w:sz w:val="32"/>
          <w:szCs w:val="32"/>
          <w:lang w:val="zh-CN" w:eastAsia="zh-CN"/>
        </w:rPr>
        <w:t>严控资</w:t>
      </w:r>
      <w:r>
        <w:rPr>
          <w:rFonts w:hint="eastAsia" w:ascii="宋体" w:hAnsi="宋体" w:eastAsia="仿宋_GB2312" w:cs="Times New Roman"/>
          <w:color w:val="auto"/>
          <w:spacing w:val="-6"/>
          <w:position w:val="0"/>
          <w:sz w:val="32"/>
          <w:szCs w:val="32"/>
          <w:lang w:val="zh-CN" w:eastAsia="zh-CN"/>
        </w:rPr>
        <w:t>金支付范围和支付标准，</w:t>
      </w:r>
      <w:r>
        <w:rPr>
          <w:rFonts w:hint="eastAsia" w:ascii="宋体" w:hAnsi="宋体" w:eastAsia="仿宋_GB2312" w:cs="Times New Roman"/>
          <w:color w:val="auto"/>
          <w:spacing w:val="-6"/>
          <w:position w:val="0"/>
          <w:sz w:val="32"/>
          <w:szCs w:val="32"/>
          <w:lang w:val="en-US" w:eastAsia="zh-CN"/>
        </w:rPr>
        <w:t>确保</w:t>
      </w:r>
      <w:r>
        <w:rPr>
          <w:rFonts w:hint="eastAsia" w:ascii="宋体" w:hAnsi="宋体" w:eastAsia="仿宋_GB2312" w:cs="Times New Roman"/>
          <w:color w:val="auto"/>
          <w:spacing w:val="-6"/>
          <w:position w:val="0"/>
          <w:sz w:val="32"/>
          <w:szCs w:val="32"/>
          <w:lang w:val="zh-CN" w:eastAsia="zh-CN"/>
        </w:rPr>
        <w:t>资金安全使用，支付依据等合规合法</w:t>
      </w:r>
      <w:r>
        <w:rPr>
          <w:rFonts w:hint="eastAsia" w:ascii="宋体" w:hAnsi="宋体" w:eastAsia="仿宋_GB2312" w:cs="Times New Roman"/>
          <w:color w:val="auto"/>
          <w:spacing w:val="-6"/>
          <w:position w:val="0"/>
          <w:sz w:val="32"/>
          <w:szCs w:val="32"/>
          <w:lang w:val="en-US" w:eastAsia="zh-CN"/>
        </w:rPr>
        <w:t>。</w:t>
      </w:r>
    </w:p>
    <w:p w14:paraId="5EB9BF7C">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9"/>
        <w:rPr>
          <w:rFonts w:hint="default" w:ascii="宋体" w:hAnsi="宋体" w:eastAsia="仿宋_GB2312" w:cs="Times New Roman"/>
          <w:b w:val="0"/>
          <w:bCs w:val="0"/>
          <w:color w:val="auto"/>
          <w:position w:val="0"/>
          <w:sz w:val="32"/>
          <w:szCs w:val="32"/>
          <w:lang w:eastAsia="zh-CN"/>
        </w:rPr>
      </w:pPr>
      <w:r>
        <w:rPr>
          <w:rFonts w:hint="eastAsia" w:ascii="宋体" w:hAnsi="宋体" w:eastAsia="仿宋_GB2312" w:cs="仿宋_GB2312"/>
          <w:b w:val="0"/>
          <w:bCs w:val="0"/>
          <w:color w:val="auto"/>
          <w:position w:val="0"/>
          <w:sz w:val="32"/>
          <w:szCs w:val="32"/>
          <w:lang w:val="en-US" w:eastAsia="zh-CN"/>
        </w:rPr>
        <w:t>4.项目结果。</w:t>
      </w:r>
      <w:r>
        <w:rPr>
          <w:rFonts w:hint="eastAsia" w:ascii="宋体" w:hAnsi="宋体" w:eastAsia="仿宋_GB2312" w:cs="仿宋_GB2312"/>
          <w:color w:val="auto"/>
          <w:kern w:val="0"/>
          <w:position w:val="0"/>
          <w:sz w:val="32"/>
          <w:szCs w:val="32"/>
          <w:lang w:val="en-US" w:eastAsia="zh-CN" w:bidi="ar-SA"/>
        </w:rPr>
        <w:t>完成了年初预算申报目标绩效任务，保障了陕</w:t>
      </w:r>
      <w:r>
        <w:rPr>
          <w:rFonts w:hint="eastAsia" w:ascii="宋体" w:hAnsi="宋体" w:eastAsia="仿宋_GB2312" w:cs="Times New Roman"/>
          <w:position w:val="0"/>
          <w:sz w:val="32"/>
          <w:szCs w:val="32"/>
          <w:lang w:val="en-US" w:eastAsia="zh-CN"/>
        </w:rPr>
        <w:t>甘川宁毗邻地区经济联合会第34届年会</w:t>
      </w:r>
      <w:r>
        <w:rPr>
          <w:rFonts w:hint="eastAsia" w:ascii="宋体" w:hAnsi="宋体" w:eastAsia="仿宋_GB2312" w:cs="仿宋_GB2312"/>
          <w:color w:val="auto"/>
          <w:kern w:val="0"/>
          <w:position w:val="0"/>
          <w:sz w:val="32"/>
          <w:szCs w:val="32"/>
          <w:lang w:val="en-US" w:eastAsia="zh-CN" w:bidi="ar-SA"/>
        </w:rPr>
        <w:t>顺利召开。我市作为执行主席作了经联会第34届（2024-2025）工作安排意见，各成员方代表围绕“新时代推进经济新发展形成新格局”“共同推进经济区生物医药产业协同发展”“商定经联会年会和西交会举办方调整”等三项议案进行了交流。以本次大会为契机，进一步深化交流互动、共商发展，加强沟通协调、推进务实合作，携手共创陕甘川宁毗邻地区经济发展的美好未来。</w:t>
      </w:r>
    </w:p>
    <w:p w14:paraId="492DEC16">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9"/>
        <w:rPr>
          <w:rFonts w:hint="default" w:ascii="宋体" w:hAnsi="宋体" w:eastAsia="楷体_GB2312" w:cs="Times New Roman"/>
          <w:b w:val="0"/>
          <w:bCs w:val="0"/>
          <w:color w:val="auto"/>
          <w:position w:val="0"/>
          <w:sz w:val="32"/>
          <w:szCs w:val="32"/>
          <w:lang w:val="zh-CN" w:eastAsia="zh-CN"/>
        </w:rPr>
      </w:pPr>
      <w:r>
        <w:rPr>
          <w:rFonts w:hint="default" w:ascii="宋体" w:hAnsi="宋体" w:eastAsia="楷体_GB2312" w:cs="Times New Roman"/>
          <w:b w:val="0"/>
          <w:bCs w:val="0"/>
          <w:color w:val="auto"/>
          <w:position w:val="0"/>
          <w:sz w:val="32"/>
          <w:szCs w:val="32"/>
          <w:highlight w:val="none"/>
          <w:u w:val="none"/>
          <w:lang w:val="zh-CN"/>
        </w:rPr>
        <w:t>（二）</w:t>
      </w:r>
      <w:r>
        <w:rPr>
          <w:rFonts w:hint="default" w:ascii="宋体" w:hAnsi="宋体" w:eastAsia="楷体_GB2312" w:cs="Times New Roman"/>
          <w:b w:val="0"/>
          <w:bCs w:val="0"/>
          <w:color w:val="auto"/>
          <w:position w:val="0"/>
          <w:sz w:val="32"/>
          <w:szCs w:val="32"/>
          <w:highlight w:val="none"/>
          <w:u w:val="none"/>
          <w:lang w:val="en-US" w:eastAsia="zh-CN"/>
        </w:rPr>
        <w:t>专用指标</w:t>
      </w:r>
      <w:r>
        <w:rPr>
          <w:rFonts w:hint="default" w:ascii="宋体" w:hAnsi="宋体" w:eastAsia="楷体_GB2312" w:cs="Times New Roman"/>
          <w:b w:val="0"/>
          <w:bCs w:val="0"/>
          <w:color w:val="auto"/>
          <w:kern w:val="0"/>
          <w:position w:val="0"/>
          <w:sz w:val="32"/>
          <w:szCs w:val="32"/>
          <w:highlight w:val="none"/>
          <w:shd w:val="clear" w:color="auto" w:fill="FFFFFF"/>
          <w:lang w:val="zh-CN"/>
        </w:rPr>
        <w:t>绩效分析</w:t>
      </w:r>
    </w:p>
    <w:p w14:paraId="6267C3C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宋体" w:hAnsi="宋体" w:eastAsia="仿宋_GB2312" w:cs="Times New Roman"/>
          <w:color w:val="auto"/>
          <w:position w:val="0"/>
          <w:sz w:val="32"/>
          <w:szCs w:val="32"/>
          <w:lang w:eastAsia="zh-CN"/>
        </w:rPr>
      </w:pPr>
      <w:r>
        <w:rPr>
          <w:rFonts w:hint="eastAsia" w:ascii="宋体" w:hAnsi="宋体" w:eastAsia="仿宋_GB2312" w:cs="仿宋_GB2312"/>
          <w:b w:val="0"/>
          <w:bCs w:val="0"/>
          <w:color w:val="auto"/>
          <w:position w:val="0"/>
          <w:sz w:val="32"/>
          <w:szCs w:val="32"/>
          <w:lang w:val="en-US" w:eastAsia="zh-CN"/>
        </w:rPr>
        <w:t>1.产业发展类。</w:t>
      </w:r>
      <w:r>
        <w:rPr>
          <w:rFonts w:hint="eastAsia" w:ascii="宋体" w:hAnsi="宋体" w:eastAsia="仿宋_GB2312" w:cs="Times New Roman"/>
          <w:position w:val="0"/>
          <w:sz w:val="32"/>
          <w:szCs w:val="32"/>
          <w:lang w:eastAsia="zh-CN"/>
        </w:rPr>
        <w:t>通过</w:t>
      </w:r>
      <w:r>
        <w:rPr>
          <w:rFonts w:hint="eastAsia" w:ascii="宋体" w:hAnsi="宋体" w:eastAsia="仿宋_GB2312" w:cs="Times New Roman"/>
          <w:position w:val="0"/>
          <w:sz w:val="32"/>
          <w:szCs w:val="32"/>
          <w:lang w:val="en-US" w:eastAsia="zh-CN"/>
        </w:rPr>
        <w:t>陕甘川宁毗邻地区经济联合会第34届年会活动</w:t>
      </w:r>
      <w:r>
        <w:rPr>
          <w:rFonts w:hint="eastAsia" w:ascii="宋体" w:hAnsi="宋体" w:eastAsia="仿宋_GB2312" w:cs="Times New Roman"/>
          <w:color w:val="auto"/>
          <w:position w:val="0"/>
          <w:sz w:val="32"/>
          <w:szCs w:val="32"/>
          <w:lang w:eastAsia="zh-CN"/>
        </w:rPr>
        <w:t>实施，加强了陕甘川宁毗邻地区</w:t>
      </w:r>
      <w:r>
        <w:rPr>
          <w:rFonts w:hint="eastAsia" w:ascii="宋体" w:hAnsi="宋体" w:eastAsia="仿宋_GB2312" w:cs="仿宋_GB2312"/>
          <w:color w:val="auto"/>
          <w:kern w:val="0"/>
          <w:position w:val="0"/>
          <w:sz w:val="32"/>
          <w:szCs w:val="32"/>
          <w:lang w:val="en-US" w:eastAsia="zh-CN" w:bidi="ar-SA"/>
        </w:rPr>
        <w:t>沟通协调，共同推进经济区生物医药产业协同发展、商定经联会年会和西交会举办方调整事宜。</w:t>
      </w:r>
    </w:p>
    <w:p w14:paraId="2C17F6B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宋体" w:hAnsi="宋体" w:eastAsia="仿宋_GB2312" w:cs="Times New Roman"/>
          <w:position w:val="0"/>
          <w:sz w:val="32"/>
          <w:szCs w:val="32"/>
          <w:lang w:val="zh-CN" w:eastAsia="zh-CN"/>
        </w:rPr>
      </w:pPr>
      <w:r>
        <w:rPr>
          <w:rFonts w:hint="eastAsia" w:ascii="宋体" w:hAnsi="宋体" w:eastAsia="仿宋_GB2312" w:cs="仿宋_GB2312"/>
          <w:b w:val="0"/>
          <w:bCs w:val="0"/>
          <w:color w:val="auto"/>
          <w:position w:val="0"/>
          <w:sz w:val="32"/>
          <w:szCs w:val="32"/>
          <w:lang w:val="en-US" w:eastAsia="zh-CN"/>
        </w:rPr>
        <w:t>2.</w:t>
      </w:r>
      <w:r>
        <w:rPr>
          <w:rFonts w:hint="eastAsia" w:ascii="宋体" w:hAnsi="宋体" w:eastAsia="仿宋_GB2312" w:cs="仿宋_GB2312"/>
          <w:b w:val="0"/>
          <w:bCs w:val="0"/>
          <w:color w:val="auto"/>
          <w:position w:val="0"/>
          <w:sz w:val="32"/>
          <w:szCs w:val="32"/>
          <w:lang w:val="zh-CN" w:eastAsia="zh-CN"/>
        </w:rPr>
        <w:t>经济效益</w:t>
      </w:r>
      <w:r>
        <w:rPr>
          <w:rFonts w:hint="eastAsia" w:ascii="宋体" w:hAnsi="宋体" w:eastAsia="仿宋_GB2312" w:cs="仿宋_GB2312"/>
          <w:b w:val="0"/>
          <w:bCs w:val="0"/>
          <w:color w:val="auto"/>
          <w:position w:val="0"/>
          <w:sz w:val="32"/>
          <w:szCs w:val="32"/>
          <w:lang w:val="en-US" w:eastAsia="zh-CN"/>
        </w:rPr>
        <w:t>类</w:t>
      </w:r>
      <w:r>
        <w:rPr>
          <w:rFonts w:hint="eastAsia" w:ascii="宋体" w:hAnsi="宋体" w:eastAsia="仿宋_GB2312" w:cs="仿宋_GB2312"/>
          <w:b w:val="0"/>
          <w:bCs w:val="0"/>
          <w:color w:val="auto"/>
          <w:position w:val="0"/>
          <w:sz w:val="32"/>
          <w:szCs w:val="32"/>
          <w:lang w:val="zh-CN" w:eastAsia="zh-CN"/>
        </w:rPr>
        <w:t>。</w:t>
      </w:r>
      <w:r>
        <w:rPr>
          <w:rFonts w:hint="eastAsia" w:ascii="宋体" w:hAnsi="宋体" w:eastAsia="仿宋_GB2312" w:cs="Times New Roman"/>
          <w:position w:val="0"/>
          <w:sz w:val="32"/>
          <w:szCs w:val="32"/>
          <w:lang w:val="zh-CN" w:eastAsia="zh-CN"/>
        </w:rPr>
        <w:t>通过</w:t>
      </w:r>
      <w:r>
        <w:rPr>
          <w:rFonts w:hint="eastAsia" w:ascii="宋体" w:hAnsi="宋体" w:eastAsia="仿宋_GB2312" w:cs="Times New Roman"/>
          <w:position w:val="0"/>
          <w:sz w:val="32"/>
          <w:szCs w:val="32"/>
          <w:lang w:val="en-US" w:eastAsia="zh-CN"/>
        </w:rPr>
        <w:t>陕甘川宁毗邻地区经济联合会第34届年会活动</w:t>
      </w:r>
      <w:r>
        <w:rPr>
          <w:rFonts w:hint="eastAsia" w:ascii="宋体" w:hAnsi="宋体" w:eastAsia="仿宋_GB2312" w:cs="Times New Roman"/>
          <w:position w:val="0"/>
          <w:sz w:val="32"/>
          <w:szCs w:val="32"/>
          <w:lang w:val="zh-CN" w:eastAsia="zh-CN"/>
        </w:rPr>
        <w:t>实施，促进跨省跨区域的对外开放合作，深化合作交流，共谋区域发展。</w:t>
      </w:r>
    </w:p>
    <w:p w14:paraId="317AFEF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default" w:ascii="宋体" w:hAnsi="宋体" w:eastAsia="仿宋_GB2312" w:cs="Times New Roman"/>
          <w:b w:val="0"/>
          <w:bCs w:val="0"/>
          <w:color w:val="auto"/>
          <w:position w:val="0"/>
          <w:sz w:val="32"/>
          <w:szCs w:val="32"/>
          <w:lang w:val="en-US" w:eastAsia="zh-CN"/>
        </w:rPr>
      </w:pPr>
      <w:r>
        <w:rPr>
          <w:rFonts w:hint="eastAsia" w:ascii="宋体" w:hAnsi="宋体" w:eastAsia="仿宋_GB2312" w:cs="仿宋_GB2312"/>
          <w:b w:val="0"/>
          <w:bCs w:val="0"/>
          <w:color w:val="auto"/>
          <w:position w:val="0"/>
          <w:sz w:val="32"/>
          <w:szCs w:val="32"/>
          <w:lang w:val="en-US" w:eastAsia="zh-CN"/>
        </w:rPr>
        <w:t>3.</w:t>
      </w:r>
      <w:r>
        <w:rPr>
          <w:rFonts w:hint="eastAsia" w:ascii="宋体" w:hAnsi="宋体" w:eastAsia="仿宋_GB2312" w:cs="仿宋_GB2312"/>
          <w:b w:val="0"/>
          <w:bCs w:val="0"/>
          <w:color w:val="auto"/>
          <w:position w:val="0"/>
          <w:sz w:val="32"/>
          <w:szCs w:val="32"/>
          <w:lang w:val="zh-CN" w:eastAsia="zh-CN"/>
        </w:rPr>
        <w:t>行政运转</w:t>
      </w:r>
      <w:r>
        <w:rPr>
          <w:rFonts w:hint="eastAsia" w:ascii="宋体" w:hAnsi="宋体" w:eastAsia="仿宋_GB2312" w:cs="仿宋_GB2312"/>
          <w:b w:val="0"/>
          <w:bCs w:val="0"/>
          <w:color w:val="auto"/>
          <w:position w:val="0"/>
          <w:sz w:val="32"/>
          <w:szCs w:val="32"/>
          <w:lang w:val="en-US" w:eastAsia="zh-CN"/>
        </w:rPr>
        <w:t>类</w:t>
      </w:r>
      <w:r>
        <w:rPr>
          <w:rFonts w:hint="eastAsia" w:ascii="宋体" w:hAnsi="宋体" w:eastAsia="仿宋_GB2312" w:cs="仿宋_GB2312"/>
          <w:b w:val="0"/>
          <w:bCs w:val="0"/>
          <w:color w:val="auto"/>
          <w:position w:val="0"/>
          <w:sz w:val="32"/>
          <w:szCs w:val="32"/>
          <w:lang w:val="zh-CN" w:eastAsia="zh-CN"/>
        </w:rPr>
        <w:t>。</w:t>
      </w:r>
      <w:r>
        <w:rPr>
          <w:rFonts w:hint="eastAsia" w:ascii="宋体" w:hAnsi="宋体" w:eastAsia="仿宋_GB2312" w:cs="Times New Roman"/>
          <w:position w:val="0"/>
          <w:sz w:val="32"/>
          <w:szCs w:val="32"/>
          <w:lang w:eastAsia="zh-CN"/>
        </w:rPr>
        <w:t>严格按照财政要求对</w:t>
      </w:r>
      <w:r>
        <w:rPr>
          <w:rFonts w:hint="eastAsia" w:ascii="宋体" w:hAnsi="宋体" w:eastAsia="仿宋_GB2312" w:cs="Times New Roman"/>
          <w:position w:val="0"/>
          <w:sz w:val="32"/>
          <w:szCs w:val="32"/>
          <w:lang w:val="en-US" w:eastAsia="zh-CN"/>
        </w:rPr>
        <w:t>陕甘川宁毗邻地区经济联合会第34届年会</w:t>
      </w:r>
      <w:r>
        <w:rPr>
          <w:rFonts w:hint="eastAsia" w:ascii="宋体" w:hAnsi="宋体" w:eastAsia="仿宋_GB2312" w:cs="Times New Roman"/>
          <w:position w:val="0"/>
          <w:sz w:val="32"/>
          <w:szCs w:val="32"/>
          <w:lang w:eastAsia="zh-CN"/>
        </w:rPr>
        <w:t>进行事前绩效评估。通过评估，</w:t>
      </w:r>
      <w:r>
        <w:rPr>
          <w:rFonts w:hint="eastAsia" w:ascii="宋体" w:hAnsi="宋体" w:eastAsia="仿宋_GB2312" w:cs="Times New Roman"/>
          <w:position w:val="0"/>
          <w:sz w:val="32"/>
          <w:szCs w:val="32"/>
        </w:rPr>
        <w:t>该项目</w:t>
      </w:r>
      <w:r>
        <w:rPr>
          <w:rFonts w:hint="eastAsia" w:ascii="宋体" w:hAnsi="宋体" w:eastAsia="仿宋_GB2312" w:cs="Times New Roman"/>
          <w:position w:val="0"/>
          <w:sz w:val="32"/>
          <w:szCs w:val="32"/>
          <w:lang w:eastAsia="zh-CN"/>
        </w:rPr>
        <w:t>具有</w:t>
      </w:r>
      <w:r>
        <w:rPr>
          <w:rFonts w:hint="eastAsia" w:ascii="宋体" w:hAnsi="宋体" w:eastAsia="仿宋_GB2312" w:cs="Times New Roman"/>
          <w:position w:val="0"/>
          <w:sz w:val="32"/>
          <w:szCs w:val="32"/>
        </w:rPr>
        <w:t>立项必要性</w:t>
      </w:r>
      <w:r>
        <w:rPr>
          <w:rFonts w:hint="eastAsia" w:ascii="宋体" w:hAnsi="宋体" w:eastAsia="仿宋_GB2312" w:cs="Times New Roman"/>
          <w:position w:val="0"/>
          <w:sz w:val="32"/>
          <w:szCs w:val="32"/>
          <w:lang w:eastAsia="zh-CN"/>
        </w:rPr>
        <w:t>且</w:t>
      </w:r>
      <w:r>
        <w:rPr>
          <w:rFonts w:hint="eastAsia" w:ascii="宋体" w:hAnsi="宋体" w:eastAsia="仿宋_GB2312" w:cs="Times New Roman"/>
          <w:position w:val="0"/>
          <w:sz w:val="32"/>
          <w:szCs w:val="32"/>
        </w:rPr>
        <w:t>依据充分</w:t>
      </w:r>
      <w:r>
        <w:rPr>
          <w:rFonts w:hint="eastAsia" w:ascii="宋体" w:hAnsi="宋体" w:eastAsia="仿宋_GB2312" w:cs="Times New Roman"/>
          <w:position w:val="0"/>
          <w:sz w:val="32"/>
          <w:szCs w:val="32"/>
          <w:lang w:eastAsia="zh-CN"/>
        </w:rPr>
        <w:t>，</w:t>
      </w:r>
      <w:r>
        <w:rPr>
          <w:rFonts w:hint="eastAsia" w:ascii="宋体" w:hAnsi="宋体" w:eastAsia="仿宋_GB2312" w:cs="Times New Roman"/>
          <w:position w:val="0"/>
          <w:sz w:val="32"/>
          <w:szCs w:val="32"/>
        </w:rPr>
        <w:t>绩效目标明确，具备实施条件，具有公共性，符合财政资金支持方向</w:t>
      </w:r>
      <w:r>
        <w:rPr>
          <w:rFonts w:hint="eastAsia" w:ascii="宋体" w:hAnsi="宋体" w:eastAsia="仿宋_GB2312" w:cs="仿宋_GB2312"/>
          <w:b w:val="0"/>
          <w:bCs w:val="0"/>
          <w:color w:val="auto"/>
          <w:kern w:val="0"/>
          <w:position w:val="0"/>
          <w:sz w:val="32"/>
          <w:szCs w:val="32"/>
          <w:highlight w:val="none"/>
          <w:u w:val="none"/>
          <w:shd w:val="clear" w:color="auto" w:fill="FFFFFF"/>
          <w:lang w:val="en-US" w:eastAsia="zh-CN"/>
        </w:rPr>
        <w:t>。</w:t>
      </w:r>
    </w:p>
    <w:p w14:paraId="578B7E40">
      <w:pPr>
        <w:keepNext w:val="0"/>
        <w:keepLines w:val="0"/>
        <w:pageBreakBefore w:val="0"/>
        <w:widowControl w:val="0"/>
        <w:numPr>
          <w:ilvl w:val="0"/>
          <w:numId w:val="0"/>
        </w:numPr>
        <w:kinsoku/>
        <w:wordWrap/>
        <w:overflowPunct/>
        <w:topLinePunct w:val="0"/>
        <w:autoSpaceDE/>
        <w:autoSpaceDN/>
        <w:bidi w:val="0"/>
        <w:adjustRightInd/>
        <w:spacing w:line="576" w:lineRule="exact"/>
        <w:ind w:leftChars="0" w:firstLine="640" w:firstLineChars="200"/>
        <w:jc w:val="both"/>
        <w:textAlignment w:val="auto"/>
        <w:outlineLvl w:val="9"/>
        <w:rPr>
          <w:rFonts w:hint="default" w:ascii="宋体" w:hAnsi="宋体" w:eastAsia="黑体" w:cs="Times New Roman"/>
          <w:b w:val="0"/>
          <w:bCs w:val="0"/>
          <w:color w:val="auto"/>
          <w:kern w:val="0"/>
          <w:position w:val="0"/>
          <w:sz w:val="32"/>
          <w:szCs w:val="32"/>
          <w:highlight w:val="none"/>
          <w:u w:val="none"/>
          <w:lang w:val="en-US" w:eastAsia="en-US" w:bidi="ar-SA"/>
        </w:rPr>
      </w:pPr>
      <w:r>
        <w:rPr>
          <w:rFonts w:hint="default" w:ascii="宋体" w:hAnsi="宋体" w:eastAsia="黑体" w:cs="Times New Roman"/>
          <w:b w:val="0"/>
          <w:bCs w:val="0"/>
          <w:color w:val="auto"/>
          <w:kern w:val="0"/>
          <w:position w:val="0"/>
          <w:sz w:val="32"/>
          <w:szCs w:val="32"/>
          <w:highlight w:val="none"/>
          <w:u w:val="none"/>
          <w:lang w:val="en-US" w:eastAsia="zh-CN" w:bidi="ar-SA"/>
        </w:rPr>
        <w:t>四</w:t>
      </w:r>
      <w:r>
        <w:rPr>
          <w:rFonts w:hint="default" w:ascii="宋体" w:hAnsi="宋体" w:eastAsia="黑体" w:cs="Times New Roman"/>
          <w:b w:val="0"/>
          <w:bCs w:val="0"/>
          <w:color w:val="auto"/>
          <w:kern w:val="0"/>
          <w:position w:val="0"/>
          <w:sz w:val="32"/>
          <w:szCs w:val="32"/>
          <w:highlight w:val="none"/>
          <w:u w:val="none"/>
          <w:lang w:val="en-US" w:eastAsia="en-US" w:bidi="ar-SA"/>
        </w:rPr>
        <w:t>、评价结论</w:t>
      </w:r>
    </w:p>
    <w:p w14:paraId="52AA32E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u w:val="none"/>
          <w:shd w:val="clear" w:color="auto" w:fill="FFFFFF"/>
          <w:lang w:val="zh-CN"/>
        </w:rPr>
      </w:pPr>
      <w:r>
        <w:rPr>
          <w:rFonts w:hint="eastAsia" w:ascii="宋体" w:hAnsi="宋体" w:eastAsia="仿宋_GB2312" w:cs="Times New Roman"/>
          <w:position w:val="0"/>
          <w:sz w:val="32"/>
          <w:szCs w:val="32"/>
          <w:lang w:val="en-US" w:eastAsia="zh-CN"/>
        </w:rPr>
        <w:t>陕甘川宁毗邻地区经济联合会第34届年会</w:t>
      </w:r>
      <w:r>
        <w:rPr>
          <w:rFonts w:hint="eastAsia" w:ascii="宋体" w:hAnsi="宋体" w:eastAsia="仿宋_GB2312" w:cs="宋体"/>
          <w:color w:val="auto"/>
          <w:kern w:val="0"/>
          <w:position w:val="0"/>
          <w:sz w:val="32"/>
          <w:szCs w:val="32"/>
          <w:shd w:val="clear" w:color="auto" w:fill="FFFFFF"/>
          <w:lang w:val="zh-CN" w:eastAsia="zh-CN"/>
        </w:rPr>
        <w:t>支出绩效自查自评结果良好，项目经费支出保证了年会顺利召开，按照</w:t>
      </w:r>
      <w:r>
        <w:rPr>
          <w:rFonts w:hint="eastAsia" w:ascii="宋体" w:hAnsi="宋体" w:eastAsia="仿宋_GB2312" w:cs="Times New Roman"/>
          <w:position w:val="0"/>
          <w:sz w:val="32"/>
          <w:szCs w:val="32"/>
          <w:lang w:val="en-US" w:eastAsia="zh-CN"/>
        </w:rPr>
        <w:t>陕甘川宁毗邻地区经济联合会第34届年会</w:t>
      </w:r>
      <w:r>
        <w:rPr>
          <w:rFonts w:hint="eastAsia" w:ascii="宋体" w:hAnsi="宋体" w:eastAsia="仿宋_GB2312" w:cs="宋体"/>
          <w:color w:val="auto"/>
          <w:kern w:val="0"/>
          <w:position w:val="0"/>
          <w:sz w:val="32"/>
          <w:szCs w:val="32"/>
          <w:shd w:val="clear" w:color="auto" w:fill="FFFFFF"/>
          <w:lang w:val="zh-CN" w:eastAsia="zh-CN"/>
        </w:rPr>
        <w:t>支出绩效评价指标体系对我单位预算编制、预算执行、完成结果、信息公开、整改反馈等方面进行了自评，最终得分</w:t>
      </w:r>
      <w:r>
        <w:rPr>
          <w:rFonts w:hint="eastAsia" w:ascii="宋体" w:hAnsi="宋体" w:eastAsia="仿宋_GB2312" w:cs="宋体"/>
          <w:color w:val="auto"/>
          <w:kern w:val="0"/>
          <w:position w:val="0"/>
          <w:sz w:val="32"/>
          <w:szCs w:val="32"/>
          <w:shd w:val="clear" w:color="auto" w:fill="FFFFFF"/>
          <w:lang w:val="en-US" w:eastAsia="zh-CN"/>
        </w:rPr>
        <w:t>100</w:t>
      </w:r>
      <w:r>
        <w:rPr>
          <w:rFonts w:hint="eastAsia" w:ascii="宋体" w:hAnsi="宋体" w:eastAsia="仿宋_GB2312" w:cs="宋体"/>
          <w:color w:val="auto"/>
          <w:kern w:val="0"/>
          <w:position w:val="0"/>
          <w:sz w:val="32"/>
          <w:szCs w:val="32"/>
          <w:shd w:val="clear" w:color="auto" w:fill="FFFFFF"/>
          <w:lang w:val="zh-CN" w:eastAsia="zh-CN"/>
        </w:rPr>
        <w:t>分。</w:t>
      </w:r>
    </w:p>
    <w:p w14:paraId="6F499FE5">
      <w:pPr>
        <w:keepNext w:val="0"/>
        <w:keepLines w:val="0"/>
        <w:pageBreakBefore w:val="0"/>
        <w:widowControl w:val="0"/>
        <w:numPr>
          <w:ilvl w:val="0"/>
          <w:numId w:val="0"/>
        </w:numPr>
        <w:kinsoku/>
        <w:wordWrap/>
        <w:overflowPunct/>
        <w:topLinePunct w:val="0"/>
        <w:autoSpaceDE/>
        <w:autoSpaceDN/>
        <w:bidi w:val="0"/>
        <w:adjustRightInd/>
        <w:spacing w:line="576" w:lineRule="exact"/>
        <w:ind w:leftChars="0" w:firstLine="640" w:firstLineChars="200"/>
        <w:jc w:val="both"/>
        <w:textAlignment w:val="auto"/>
        <w:outlineLvl w:val="9"/>
        <w:rPr>
          <w:rFonts w:hint="default" w:ascii="宋体" w:hAnsi="宋体" w:eastAsia="黑体" w:cs="Times New Roman"/>
          <w:b w:val="0"/>
          <w:bCs w:val="0"/>
          <w:color w:val="auto"/>
          <w:kern w:val="0"/>
          <w:position w:val="0"/>
          <w:sz w:val="32"/>
          <w:szCs w:val="32"/>
          <w:highlight w:val="none"/>
          <w:u w:val="none"/>
          <w:lang w:val="en-US" w:eastAsia="zh-CN" w:bidi="ar-SA"/>
        </w:rPr>
      </w:pPr>
      <w:r>
        <w:rPr>
          <w:rFonts w:hint="default" w:ascii="宋体" w:hAnsi="宋体" w:eastAsia="黑体" w:cs="Times New Roman"/>
          <w:b w:val="0"/>
          <w:bCs w:val="0"/>
          <w:color w:val="auto"/>
          <w:kern w:val="0"/>
          <w:position w:val="0"/>
          <w:sz w:val="32"/>
          <w:szCs w:val="32"/>
          <w:highlight w:val="none"/>
          <w:u w:val="none"/>
          <w:lang w:val="en-US" w:eastAsia="zh-CN" w:bidi="ar-SA"/>
        </w:rPr>
        <w:t>五、存在主要问题</w:t>
      </w:r>
    </w:p>
    <w:p w14:paraId="39D010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19" w:firstLineChars="208"/>
        <w:jc w:val="both"/>
        <w:textAlignment w:val="auto"/>
        <w:outlineLvl w:val="9"/>
        <w:rPr>
          <w:rFonts w:hint="eastAsia" w:ascii="宋体" w:hAnsi="宋体" w:eastAsia="仿宋_GB2312" w:cs="黑体"/>
          <w:b w:val="0"/>
          <w:bCs w:val="0"/>
          <w:spacing w:val="-11"/>
          <w:kern w:val="2"/>
          <w:position w:val="0"/>
          <w:sz w:val="32"/>
          <w:szCs w:val="32"/>
          <w:highlight w:val="none"/>
          <w:lang w:val="en-US" w:eastAsia="zh-CN" w:bidi="ar-SA"/>
        </w:rPr>
      </w:pPr>
      <w:r>
        <w:rPr>
          <w:rFonts w:hint="eastAsia" w:ascii="宋体" w:hAnsi="宋体" w:eastAsia="仿宋_GB2312" w:cs="仿宋_GB2312"/>
          <w:b w:val="0"/>
          <w:bCs w:val="0"/>
          <w:color w:val="auto"/>
          <w:spacing w:val="-11"/>
          <w:kern w:val="0"/>
          <w:position w:val="0"/>
          <w:sz w:val="32"/>
          <w:szCs w:val="32"/>
          <w:lang w:val="zh-CN" w:eastAsia="zh-CN" w:bidi="ar-SA"/>
        </w:rPr>
        <w:t>预算绩效管理需进一步加强，设定的绩效目标还不够科学精准</w:t>
      </w:r>
      <w:r>
        <w:rPr>
          <w:rFonts w:hint="eastAsia" w:ascii="宋体" w:hAnsi="宋体" w:eastAsia="仿宋_GB2312" w:cs="仿宋_GB2312"/>
          <w:b w:val="0"/>
          <w:bCs w:val="0"/>
          <w:spacing w:val="-11"/>
          <w:kern w:val="0"/>
          <w:position w:val="0"/>
          <w:sz w:val="32"/>
          <w:szCs w:val="32"/>
          <w:highlight w:val="none"/>
          <w:lang w:val="en-US" w:eastAsia="zh-CN" w:bidi="ar-SA"/>
        </w:rPr>
        <w:t>。</w:t>
      </w:r>
    </w:p>
    <w:p w14:paraId="1F7C7849">
      <w:pPr>
        <w:keepNext w:val="0"/>
        <w:keepLines w:val="0"/>
        <w:pageBreakBefore w:val="0"/>
        <w:widowControl w:val="0"/>
        <w:numPr>
          <w:ilvl w:val="0"/>
          <w:numId w:val="0"/>
        </w:numPr>
        <w:kinsoku/>
        <w:wordWrap/>
        <w:overflowPunct/>
        <w:topLinePunct w:val="0"/>
        <w:autoSpaceDE/>
        <w:autoSpaceDN/>
        <w:bidi w:val="0"/>
        <w:adjustRightInd/>
        <w:spacing w:line="576" w:lineRule="exact"/>
        <w:ind w:leftChars="0" w:firstLine="640" w:firstLineChars="200"/>
        <w:jc w:val="both"/>
        <w:textAlignment w:val="auto"/>
        <w:outlineLvl w:val="9"/>
        <w:rPr>
          <w:rFonts w:hint="default" w:ascii="宋体" w:hAnsi="宋体" w:eastAsia="黑体" w:cs="Times New Roman"/>
          <w:b w:val="0"/>
          <w:bCs w:val="0"/>
          <w:color w:val="auto"/>
          <w:kern w:val="0"/>
          <w:position w:val="0"/>
          <w:sz w:val="32"/>
          <w:szCs w:val="32"/>
          <w:highlight w:val="none"/>
          <w:u w:val="none"/>
          <w:lang w:val="zh-CN" w:eastAsia="zh-CN" w:bidi="ar-SA"/>
        </w:rPr>
      </w:pPr>
      <w:r>
        <w:rPr>
          <w:rFonts w:hint="default" w:ascii="宋体" w:hAnsi="宋体" w:eastAsia="黑体" w:cs="Times New Roman"/>
          <w:b w:val="0"/>
          <w:bCs w:val="0"/>
          <w:color w:val="auto"/>
          <w:kern w:val="0"/>
          <w:position w:val="0"/>
          <w:sz w:val="32"/>
          <w:szCs w:val="32"/>
          <w:highlight w:val="none"/>
          <w:u w:val="none"/>
          <w:lang w:val="zh-CN" w:eastAsia="zh-CN" w:bidi="ar-SA"/>
        </w:rPr>
        <w:t>六、改进建议</w:t>
      </w:r>
    </w:p>
    <w:p w14:paraId="2FCD513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仿宋_GB2312" w:cs="仿宋_GB2312"/>
          <w:i w:val="0"/>
          <w:iCs w:val="0"/>
          <w:caps w:val="0"/>
          <w:color w:val="auto"/>
          <w:spacing w:val="0"/>
          <w:position w:val="0"/>
          <w:sz w:val="32"/>
          <w:szCs w:val="32"/>
          <w:shd w:val="clear" w:color="auto" w:fill="FFFFFF"/>
        </w:rPr>
      </w:pPr>
      <w:bookmarkStart w:id="69" w:name="_Hlk110546638"/>
      <w:r>
        <w:rPr>
          <w:rFonts w:hint="default" w:ascii="宋体" w:hAnsi="宋体" w:eastAsia="仿宋_GB2312" w:cs="仿宋_GB2312"/>
          <w:i w:val="0"/>
          <w:iCs w:val="0"/>
          <w:caps w:val="0"/>
          <w:color w:val="auto"/>
          <w:spacing w:val="0"/>
          <w:position w:val="0"/>
          <w:sz w:val="32"/>
          <w:szCs w:val="32"/>
          <w:shd w:val="clear" w:color="auto" w:fill="FFFFFF"/>
        </w:rPr>
        <w:t>进一步健全和完善</w:t>
      </w:r>
      <w:r>
        <w:rPr>
          <w:rFonts w:hint="eastAsia" w:ascii="宋体" w:hAnsi="宋体" w:eastAsia="仿宋_GB2312" w:cs="仿宋_GB2312"/>
          <w:i w:val="0"/>
          <w:iCs w:val="0"/>
          <w:caps w:val="0"/>
          <w:color w:val="auto"/>
          <w:spacing w:val="0"/>
          <w:position w:val="0"/>
          <w:sz w:val="32"/>
          <w:szCs w:val="32"/>
          <w:shd w:val="clear" w:color="auto" w:fill="FFFFFF"/>
          <w:lang w:eastAsia="zh-CN"/>
        </w:rPr>
        <w:t>绩效</w:t>
      </w:r>
      <w:r>
        <w:rPr>
          <w:rFonts w:hint="default" w:ascii="宋体" w:hAnsi="宋体" w:eastAsia="仿宋_GB2312" w:cs="仿宋_GB2312"/>
          <w:i w:val="0"/>
          <w:iCs w:val="0"/>
          <w:caps w:val="0"/>
          <w:color w:val="auto"/>
          <w:spacing w:val="0"/>
          <w:position w:val="0"/>
          <w:sz w:val="32"/>
          <w:szCs w:val="32"/>
          <w:shd w:val="clear" w:color="auto" w:fill="FFFFFF"/>
        </w:rPr>
        <w:t>管理制度及内部控制制度，创新管理手段，用新思路、新方法，改进完善财务管理方法。</w:t>
      </w:r>
    </w:p>
    <w:bookmarkEnd w:id="69"/>
    <w:p w14:paraId="1C4D6396">
      <w:pPr>
        <w:spacing w:line="578" w:lineRule="exact"/>
        <w:ind w:firstLine="640"/>
        <w:rPr>
          <w:rFonts w:eastAsia="仿宋_GB2312" w:cs="仿宋_GB2312"/>
          <w:kern w:val="0"/>
          <w:sz w:val="32"/>
          <w:szCs w:val="32"/>
        </w:rPr>
      </w:pPr>
    </w:p>
    <w:p w14:paraId="2648284E">
      <w:pPr>
        <w:spacing w:line="578" w:lineRule="exact"/>
        <w:ind w:firstLine="640"/>
        <w:rPr>
          <w:rFonts w:hint="eastAsia" w:eastAsia="仿宋_GB2312" w:cs="仿宋_GB2312"/>
          <w:kern w:val="0"/>
          <w:sz w:val="32"/>
          <w:szCs w:val="32"/>
        </w:rPr>
      </w:pPr>
      <w:bookmarkStart w:id="70" w:name="_Toc15396618"/>
      <w:r>
        <w:rPr>
          <w:rFonts w:hint="eastAsia" w:eastAsia="仿宋_GB2312" w:cs="仿宋_GB2312"/>
          <w:kern w:val="0"/>
          <w:sz w:val="32"/>
          <w:szCs w:val="32"/>
        </w:rPr>
        <w:br w:type="page"/>
      </w:r>
    </w:p>
    <w:p w14:paraId="267B003D">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宋体" w:hAnsi="宋体" w:eastAsia="方正小标宋简体" w:cs="Times New Roman"/>
          <w:color w:val="auto"/>
          <w:spacing w:val="0"/>
          <w:kern w:val="2"/>
          <w:position w:val="0"/>
          <w:sz w:val="44"/>
          <w:szCs w:val="44"/>
          <w:highlight w:val="none"/>
          <w:lang w:val="en-US" w:eastAsia="zh-CN" w:bidi="ar-SA"/>
        </w:rPr>
      </w:pPr>
    </w:p>
    <w:p w14:paraId="35EEE68A">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default" w:ascii="宋体" w:hAnsi="宋体" w:eastAsia="方正小标宋简体" w:cs="Times New Roman"/>
          <w:color w:val="auto"/>
          <w:spacing w:val="0"/>
          <w:kern w:val="2"/>
          <w:position w:val="0"/>
          <w:sz w:val="44"/>
          <w:szCs w:val="44"/>
          <w:highlight w:val="none"/>
          <w:lang w:val="en-US" w:eastAsia="zh-CN" w:bidi="ar-SA"/>
        </w:rPr>
      </w:pPr>
      <w:r>
        <w:rPr>
          <w:rFonts w:hint="eastAsia" w:ascii="宋体" w:hAnsi="宋体" w:eastAsia="方正小标宋简体" w:cs="Times New Roman"/>
          <w:color w:val="auto"/>
          <w:spacing w:val="0"/>
          <w:kern w:val="2"/>
          <w:position w:val="0"/>
          <w:sz w:val="44"/>
          <w:szCs w:val="44"/>
          <w:highlight w:val="none"/>
          <w:lang w:val="en-US" w:eastAsia="zh-CN" w:bidi="ar-SA"/>
        </w:rPr>
        <w:t>广元市经济合作和外事局</w:t>
      </w:r>
    </w:p>
    <w:p w14:paraId="169ED8C2">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宋体" w:hAnsi="宋体" w:eastAsia="方正小标宋简体" w:cs="Times New Roman"/>
          <w:color w:val="auto"/>
          <w:spacing w:val="0"/>
          <w:kern w:val="2"/>
          <w:position w:val="0"/>
          <w:sz w:val="44"/>
          <w:szCs w:val="44"/>
          <w:highlight w:val="none"/>
          <w:lang w:val="en-US" w:eastAsia="zh-CN" w:bidi="ar-SA"/>
        </w:rPr>
      </w:pPr>
      <w:r>
        <w:rPr>
          <w:rFonts w:hint="eastAsia" w:ascii="宋体" w:hAnsi="宋体" w:eastAsia="方正小标宋简体" w:cs="Times New Roman"/>
          <w:color w:val="auto"/>
          <w:spacing w:val="0"/>
          <w:kern w:val="2"/>
          <w:position w:val="0"/>
          <w:sz w:val="44"/>
          <w:szCs w:val="44"/>
          <w:highlight w:val="none"/>
          <w:lang w:val="en-US" w:eastAsia="zh-CN" w:bidi="ar-SA"/>
        </w:rPr>
        <w:t>关</w:t>
      </w:r>
      <w:r>
        <w:rPr>
          <w:rFonts w:hint="eastAsia" w:ascii="方正小标宋简体" w:hAnsi="方正小标宋简体" w:eastAsia="方正小标宋简体" w:cs="方正小标宋简体"/>
          <w:color w:val="auto"/>
          <w:spacing w:val="0"/>
          <w:kern w:val="2"/>
          <w:position w:val="0"/>
          <w:sz w:val="44"/>
          <w:szCs w:val="44"/>
          <w:highlight w:val="none"/>
          <w:lang w:val="en-US" w:eastAsia="zh-CN" w:bidi="ar-SA"/>
        </w:rPr>
        <w:t>于2024年</w:t>
      </w:r>
      <w:r>
        <w:rPr>
          <w:rFonts w:hint="eastAsia" w:ascii="宋体" w:hAnsi="宋体" w:eastAsia="方正小标宋简体" w:cs="Times New Roman"/>
          <w:color w:val="auto"/>
          <w:spacing w:val="0"/>
          <w:kern w:val="2"/>
          <w:position w:val="0"/>
          <w:sz w:val="44"/>
          <w:szCs w:val="44"/>
          <w:highlight w:val="none"/>
          <w:lang w:val="en-US" w:eastAsia="zh-CN" w:bidi="ar-SA"/>
        </w:rPr>
        <w:t>中国西部（广元）食品饮料产业</w:t>
      </w:r>
    </w:p>
    <w:p w14:paraId="49EF13F5">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default" w:ascii="宋体" w:hAnsi="宋体" w:eastAsia="方正小标宋简体" w:cs="Times New Roman"/>
          <w:color w:val="auto"/>
          <w:spacing w:val="0"/>
          <w:kern w:val="2"/>
          <w:position w:val="0"/>
          <w:sz w:val="44"/>
          <w:szCs w:val="44"/>
          <w:highlight w:val="none"/>
          <w:lang w:val="en-US" w:eastAsia="zh-CN" w:bidi="ar-SA"/>
        </w:rPr>
      </w:pPr>
      <w:r>
        <w:rPr>
          <w:rFonts w:hint="eastAsia" w:ascii="宋体" w:hAnsi="宋体" w:eastAsia="方正小标宋简体" w:cs="Times New Roman"/>
          <w:color w:val="auto"/>
          <w:spacing w:val="0"/>
          <w:kern w:val="2"/>
          <w:position w:val="0"/>
          <w:sz w:val="44"/>
          <w:szCs w:val="44"/>
          <w:highlight w:val="none"/>
          <w:lang w:val="en-US" w:eastAsia="zh-CN" w:bidi="ar-SA"/>
        </w:rPr>
        <w:t>发展大会及食品饮料产业投资推介</w:t>
      </w:r>
      <w:r>
        <w:rPr>
          <w:rFonts w:hint="default" w:ascii="宋体" w:hAnsi="宋体" w:eastAsia="方正小标宋简体" w:cs="Times New Roman"/>
          <w:color w:val="auto"/>
          <w:spacing w:val="0"/>
          <w:kern w:val="2"/>
          <w:position w:val="0"/>
          <w:sz w:val="44"/>
          <w:szCs w:val="44"/>
          <w:highlight w:val="none"/>
          <w:lang w:val="en-US" w:eastAsia="zh-CN" w:bidi="ar-SA"/>
        </w:rPr>
        <w:t>专项预算</w:t>
      </w:r>
    </w:p>
    <w:p w14:paraId="2E686202">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default" w:ascii="宋体" w:hAnsi="宋体" w:eastAsia="方正小标宋简体" w:cs="Times New Roman"/>
          <w:color w:val="auto"/>
          <w:spacing w:val="0"/>
          <w:kern w:val="2"/>
          <w:position w:val="0"/>
          <w:sz w:val="44"/>
          <w:szCs w:val="44"/>
          <w:highlight w:val="none"/>
          <w:lang w:val="en-US" w:eastAsia="zh-CN" w:bidi="ar-SA"/>
        </w:rPr>
      </w:pPr>
      <w:r>
        <w:rPr>
          <w:rFonts w:hint="default" w:ascii="宋体" w:hAnsi="宋体" w:eastAsia="方正小标宋简体" w:cs="Times New Roman"/>
          <w:color w:val="auto"/>
          <w:spacing w:val="0"/>
          <w:kern w:val="2"/>
          <w:position w:val="0"/>
          <w:sz w:val="44"/>
          <w:szCs w:val="44"/>
          <w:highlight w:val="none"/>
          <w:lang w:val="en-US" w:eastAsia="zh-CN" w:bidi="ar-SA"/>
        </w:rPr>
        <w:t>绩效自评报告</w:t>
      </w:r>
    </w:p>
    <w:p w14:paraId="4B7ADA6B">
      <w:pPr>
        <w:keepNext w:val="0"/>
        <w:keepLines w:val="0"/>
        <w:pageBreakBefore w:val="0"/>
        <w:widowControl w:val="0"/>
        <w:kinsoku/>
        <w:wordWrap/>
        <w:overflowPunct/>
        <w:topLinePunct w:val="0"/>
        <w:autoSpaceDE/>
        <w:autoSpaceDN/>
        <w:bidi w:val="0"/>
        <w:spacing w:line="576" w:lineRule="exact"/>
        <w:ind w:left="0" w:leftChars="0" w:firstLine="640"/>
        <w:jc w:val="center"/>
        <w:textAlignment w:val="auto"/>
        <w:rPr>
          <w:rFonts w:hint="default" w:ascii="宋体" w:hAnsi="宋体" w:eastAsia="宋体" w:cs="Times New Roman"/>
          <w:color w:val="auto"/>
          <w:spacing w:val="0"/>
          <w:kern w:val="2"/>
          <w:position w:val="0"/>
          <w:sz w:val="32"/>
          <w:szCs w:val="32"/>
          <w:highlight w:val="none"/>
          <w:lang w:val="zh-CN" w:eastAsia="zh-CN" w:bidi="ar-SA"/>
        </w:rPr>
      </w:pPr>
    </w:p>
    <w:p w14:paraId="76093EE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宋体" w:hAnsi="宋体" w:eastAsia="黑体" w:cs="Times New Roman"/>
          <w:b w:val="0"/>
          <w:bCs w:val="0"/>
          <w:color w:val="auto"/>
          <w:spacing w:val="0"/>
          <w:position w:val="0"/>
          <w:sz w:val="32"/>
          <w:szCs w:val="32"/>
          <w:highlight w:val="none"/>
          <w:lang w:val="zh-CN"/>
        </w:rPr>
      </w:pPr>
      <w:r>
        <w:rPr>
          <w:rFonts w:hint="default" w:ascii="宋体" w:hAnsi="宋体" w:eastAsia="黑体" w:cs="Times New Roman"/>
          <w:b w:val="0"/>
          <w:bCs w:val="0"/>
          <w:color w:val="auto"/>
          <w:spacing w:val="0"/>
          <w:position w:val="0"/>
          <w:sz w:val="32"/>
          <w:szCs w:val="32"/>
          <w:highlight w:val="none"/>
        </w:rPr>
        <w:t>一、</w:t>
      </w:r>
      <w:r>
        <w:rPr>
          <w:rFonts w:hint="default" w:ascii="宋体" w:hAnsi="宋体" w:eastAsia="黑体" w:cs="Times New Roman"/>
          <w:b w:val="0"/>
          <w:bCs w:val="0"/>
          <w:color w:val="auto"/>
          <w:spacing w:val="0"/>
          <w:position w:val="0"/>
          <w:sz w:val="32"/>
          <w:szCs w:val="32"/>
          <w:highlight w:val="none"/>
          <w:lang w:val="zh-CN"/>
        </w:rPr>
        <w:t>项目概况</w:t>
      </w:r>
    </w:p>
    <w:p w14:paraId="566FFB3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宋体" w:hAnsi="宋体" w:eastAsia="楷体_GB2312" w:cs="Times New Roman"/>
          <w:b w:val="0"/>
          <w:bCs w:val="0"/>
          <w:color w:val="auto"/>
          <w:spacing w:val="0"/>
          <w:position w:val="0"/>
          <w:sz w:val="32"/>
          <w:szCs w:val="32"/>
          <w:highlight w:val="none"/>
          <w:u w:val="none"/>
          <w:lang w:val="zh-CN"/>
        </w:rPr>
      </w:pPr>
      <w:r>
        <w:rPr>
          <w:rFonts w:hint="default" w:ascii="宋体" w:hAnsi="宋体" w:eastAsia="楷体_GB2312" w:cs="Times New Roman"/>
          <w:b w:val="0"/>
          <w:bCs w:val="0"/>
          <w:color w:val="auto"/>
          <w:spacing w:val="0"/>
          <w:position w:val="0"/>
          <w:sz w:val="32"/>
          <w:szCs w:val="32"/>
          <w:highlight w:val="none"/>
          <w:u w:val="none"/>
          <w:lang w:val="zh-CN"/>
        </w:rPr>
        <w:t>（一）设立背景及基本情况</w:t>
      </w:r>
    </w:p>
    <w:p w14:paraId="0C9E274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宋体" w:hAnsi="宋体" w:eastAsia="仿宋_GB2312" w:cs="仿宋_GB2312"/>
          <w:color w:val="auto"/>
          <w:spacing w:val="0"/>
          <w:kern w:val="2"/>
          <w:position w:val="0"/>
          <w:sz w:val="32"/>
          <w:szCs w:val="32"/>
          <w:lang w:val="en-US" w:eastAsia="zh-CN" w:bidi="ar-SA"/>
        </w:rPr>
      </w:pPr>
      <w:r>
        <w:rPr>
          <w:rFonts w:hint="eastAsia" w:ascii="宋体" w:hAnsi="宋体" w:eastAsia="仿宋_GB2312" w:cs="仿宋_GB2312"/>
          <w:color w:val="auto"/>
          <w:spacing w:val="0"/>
          <w:position w:val="0"/>
          <w:sz w:val="32"/>
          <w:szCs w:val="32"/>
          <w:lang w:val="en-US" w:eastAsia="zh-CN" w:bidi="ar-SA"/>
        </w:rPr>
        <w:t>为进一步深化广元市与中国轻工业联合会的合作，加快打造川陕甘渝食品饮料及预制食材生产基地、助推广元食品饮料产业高质量发展，根据市委、市政府工作部署，2024年4月8日前后，将举行2024年中国西部（广元）食品饮料产业发展大会</w:t>
      </w:r>
      <w:r>
        <w:rPr>
          <w:rFonts w:hint="eastAsia" w:ascii="宋体" w:hAnsi="宋体" w:eastAsia="仿宋_GB2312" w:cs="Times New Roman"/>
          <w:color w:val="auto"/>
          <w:spacing w:val="0"/>
          <w:kern w:val="2"/>
          <w:position w:val="0"/>
          <w:sz w:val="32"/>
          <w:szCs w:val="32"/>
          <w:lang w:val="en-US" w:eastAsia="zh-CN"/>
        </w:rPr>
        <w:t>（以下简称“食品饮料产业发展大会”）。</w:t>
      </w:r>
      <w:r>
        <w:rPr>
          <w:rFonts w:hint="eastAsia" w:ascii="宋体" w:hAnsi="宋体" w:eastAsia="仿宋_GB2312" w:cs="仿宋_GB2312"/>
          <w:color w:val="auto"/>
          <w:spacing w:val="0"/>
          <w:position w:val="0"/>
          <w:sz w:val="32"/>
          <w:szCs w:val="32"/>
          <w:lang w:val="en-US" w:eastAsia="zh-CN" w:bidi="ar-SA"/>
        </w:rPr>
        <w:t>市委、市政府领导高度重视这次大会的项目招商工作，亲自谋划、亲自推动、亲自招商。</w:t>
      </w:r>
      <w:r>
        <w:rPr>
          <w:rFonts w:hint="eastAsia" w:ascii="宋体" w:hAnsi="宋体" w:eastAsia="仿宋_GB2312" w:cs="Times New Roman"/>
          <w:color w:val="auto"/>
          <w:spacing w:val="0"/>
          <w:kern w:val="2"/>
          <w:position w:val="0"/>
          <w:sz w:val="32"/>
          <w:szCs w:val="32"/>
          <w:lang w:val="en-US" w:eastAsia="zh-CN"/>
        </w:rPr>
        <w:t>2024年2月</w:t>
      </w:r>
      <w:r>
        <w:rPr>
          <w:rFonts w:hint="eastAsia" w:ascii="宋体" w:hAnsi="宋体" w:eastAsia="仿宋_GB2312" w:cs="仿宋_GB2312"/>
          <w:color w:val="auto"/>
          <w:spacing w:val="0"/>
          <w:position w:val="0"/>
          <w:sz w:val="32"/>
          <w:szCs w:val="32"/>
          <w:lang w:val="en-US" w:eastAsia="zh-CN" w:bidi="ar-SA"/>
        </w:rPr>
        <w:t>21日，</w:t>
      </w:r>
      <w:r>
        <w:rPr>
          <w:rFonts w:hint="eastAsia" w:ascii="宋体" w:hAnsi="宋体" w:eastAsia="仿宋_GB2312" w:cs="Times New Roman"/>
          <w:color w:val="auto"/>
          <w:spacing w:val="0"/>
          <w:kern w:val="2"/>
          <w:position w:val="0"/>
          <w:sz w:val="32"/>
          <w:szCs w:val="32"/>
          <w:lang w:val="en-US" w:eastAsia="zh-CN"/>
        </w:rPr>
        <w:t>食品饮料产业发展大会</w:t>
      </w:r>
      <w:r>
        <w:rPr>
          <w:rFonts w:hint="eastAsia" w:ascii="宋体" w:hAnsi="宋体" w:eastAsia="仿宋_GB2312" w:cs="仿宋_GB2312"/>
          <w:color w:val="auto"/>
          <w:spacing w:val="0"/>
          <w:position w:val="0"/>
          <w:sz w:val="32"/>
          <w:szCs w:val="32"/>
          <w:lang w:val="en-US" w:eastAsia="zh-CN" w:bidi="ar-SA"/>
        </w:rPr>
        <w:t>第一次筹备工作会议召开后，就推动</w:t>
      </w:r>
      <w:r>
        <w:rPr>
          <w:rFonts w:hint="eastAsia" w:ascii="宋体" w:hAnsi="宋体" w:eastAsia="仿宋_GB2312" w:cs="仿宋_GB2312"/>
          <w:color w:val="auto"/>
          <w:spacing w:val="0"/>
          <w:kern w:val="2"/>
          <w:position w:val="0"/>
          <w:sz w:val="32"/>
          <w:szCs w:val="32"/>
          <w:lang w:eastAsia="zh-CN" w:bidi="ar-SA"/>
        </w:rPr>
        <w:t>印发《市领导带队开展食品饮料产业专题招商活动工作方案》《中国轻工业联合会五届四次、中华全国手工业合作总社八届四次理事会暨2024年中国西部（广元）食品饮料产业发展大会工作方案》等材料，进一步明确了</w:t>
      </w:r>
      <w:r>
        <w:rPr>
          <w:rFonts w:hint="eastAsia" w:ascii="宋体" w:hAnsi="宋体" w:eastAsia="仿宋_GB2312" w:cs="仿宋_GB2312"/>
          <w:color w:val="auto"/>
          <w:spacing w:val="0"/>
          <w:kern w:val="2"/>
          <w:position w:val="0"/>
          <w:sz w:val="32"/>
          <w:szCs w:val="32"/>
          <w:lang w:val="zh-CN" w:eastAsia="zh-CN" w:bidi="ar-SA"/>
        </w:rPr>
        <w:t>广元市经济合作和外事局作为项目招商组成员单位的牵头单位，负责</w:t>
      </w:r>
      <w:r>
        <w:rPr>
          <w:rFonts w:hint="eastAsia" w:ascii="宋体" w:hAnsi="宋体" w:eastAsia="仿宋_GB2312" w:cs="仿宋_GB2312"/>
          <w:color w:val="auto"/>
          <w:spacing w:val="0"/>
          <w:kern w:val="2"/>
          <w:position w:val="0"/>
          <w:sz w:val="32"/>
          <w:szCs w:val="32"/>
          <w:lang w:val="en-US" w:eastAsia="zh-CN" w:bidi="ar-SA"/>
        </w:rPr>
        <w:t>制作广元市招商引</w:t>
      </w:r>
    </w:p>
    <w:p w14:paraId="3E1A0E95">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textAlignment w:val="auto"/>
        <w:rPr>
          <w:rFonts w:hint="eastAsia"/>
          <w:lang w:val="en-US" w:eastAsia="zh-CN"/>
        </w:rPr>
        <w:sectPr>
          <w:pgSz w:w="11906" w:h="16838"/>
          <w:pgMar w:top="2098" w:right="1474" w:bottom="1247" w:left="1587" w:header="851" w:footer="1247"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501D5F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contextualSpacing/>
        <w:jc w:val="both"/>
        <w:textAlignment w:val="auto"/>
        <w:rPr>
          <w:rFonts w:hint="default" w:ascii="宋体" w:hAnsi="宋体" w:eastAsia="仿宋_GB2312" w:cs="仿宋_GB2312"/>
          <w:b w:val="0"/>
          <w:bCs w:val="0"/>
          <w:color w:val="auto"/>
          <w:spacing w:val="0"/>
          <w:position w:val="0"/>
          <w:sz w:val="32"/>
          <w:szCs w:val="32"/>
          <w:highlight w:val="none"/>
          <w:u w:val="none"/>
          <w:lang w:val="en-US" w:eastAsia="zh-CN"/>
        </w:rPr>
      </w:pPr>
      <w:r>
        <w:rPr>
          <w:rFonts w:hint="eastAsia" w:ascii="宋体" w:hAnsi="宋体" w:eastAsia="仿宋_GB2312" w:cs="仿宋_GB2312"/>
          <w:color w:val="auto"/>
          <w:spacing w:val="0"/>
          <w:kern w:val="2"/>
          <w:position w:val="0"/>
          <w:sz w:val="32"/>
          <w:szCs w:val="32"/>
          <w:lang w:val="en-US" w:eastAsia="zh-CN" w:bidi="ar-SA"/>
        </w:rPr>
        <w:t>资宣传片、招商推介PPT等工作任务，全力为这次大会顺利召开提供有力支撑。</w:t>
      </w:r>
    </w:p>
    <w:p w14:paraId="11DA0BD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宋体" w:hAnsi="宋体" w:eastAsia="楷体_GB2312" w:cs="Times New Roman"/>
          <w:b w:val="0"/>
          <w:bCs w:val="0"/>
          <w:color w:val="auto"/>
          <w:spacing w:val="0"/>
          <w:position w:val="0"/>
          <w:sz w:val="32"/>
          <w:szCs w:val="32"/>
          <w:highlight w:val="none"/>
          <w:u w:val="none"/>
          <w:lang w:val="zh-CN"/>
        </w:rPr>
      </w:pPr>
      <w:r>
        <w:rPr>
          <w:rFonts w:hint="default" w:ascii="宋体" w:hAnsi="宋体" w:eastAsia="楷体_GB2312" w:cs="Times New Roman"/>
          <w:b w:val="0"/>
          <w:bCs w:val="0"/>
          <w:color w:val="auto"/>
          <w:spacing w:val="0"/>
          <w:position w:val="0"/>
          <w:sz w:val="32"/>
          <w:szCs w:val="32"/>
          <w:highlight w:val="none"/>
          <w:u w:val="none"/>
          <w:lang w:val="zh-CN"/>
        </w:rPr>
        <w:t>（二）</w:t>
      </w:r>
      <w:r>
        <w:rPr>
          <w:rFonts w:hint="default" w:ascii="宋体" w:hAnsi="宋体" w:eastAsia="楷体_GB2312" w:cs="Times New Roman"/>
          <w:b w:val="0"/>
          <w:bCs w:val="0"/>
          <w:color w:val="auto"/>
          <w:spacing w:val="0"/>
          <w:position w:val="0"/>
          <w:sz w:val="32"/>
          <w:szCs w:val="32"/>
          <w:highlight w:val="none"/>
          <w:u w:val="none"/>
          <w:lang w:val="en-US" w:eastAsia="zh-CN"/>
        </w:rPr>
        <w:t>实施目的及支持方向</w:t>
      </w:r>
    </w:p>
    <w:p w14:paraId="054F6BA4">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宋体" w:hAnsi="宋体" w:eastAsia="仿宋_GB2312" w:cs="Times New Roman"/>
          <w:color w:val="auto"/>
          <w:spacing w:val="0"/>
          <w:kern w:val="2"/>
          <w:position w:val="0"/>
          <w:sz w:val="32"/>
          <w:szCs w:val="32"/>
          <w:lang w:val="en-US" w:eastAsia="zh-CN" w:bidi="ar-SA"/>
        </w:rPr>
      </w:pPr>
      <w:r>
        <w:rPr>
          <w:rFonts w:hint="eastAsia" w:ascii="宋体" w:hAnsi="宋体" w:eastAsia="仿宋_GB2312" w:cs="仿宋_GB2312"/>
          <w:b w:val="0"/>
          <w:bCs w:val="0"/>
          <w:color w:val="auto"/>
          <w:spacing w:val="0"/>
          <w:position w:val="0"/>
          <w:sz w:val="32"/>
          <w:szCs w:val="32"/>
          <w:highlight w:val="none"/>
          <w:u w:val="none"/>
          <w:lang w:val="zh-CN" w:eastAsia="zh-CN"/>
        </w:rPr>
        <w:t>本项目实施过程严格执行我市现有项目资金管理有关规定，未新制定其他管理办法。项目实施的主要目的就是为</w:t>
      </w:r>
      <w:r>
        <w:rPr>
          <w:rFonts w:hint="eastAsia" w:ascii="宋体" w:hAnsi="宋体" w:eastAsia="仿宋_GB2312" w:cs="Times New Roman"/>
          <w:color w:val="auto"/>
          <w:spacing w:val="0"/>
          <w:kern w:val="2"/>
          <w:position w:val="0"/>
          <w:sz w:val="32"/>
          <w:szCs w:val="32"/>
          <w:lang w:bidi="ar-SA"/>
        </w:rPr>
        <w:t>进一步深化“会地”合作、增强“中国食品产业名城”“中国特色天然饮用水之乡”影响力和美誉度，</w:t>
      </w:r>
      <w:r>
        <w:rPr>
          <w:rFonts w:hint="eastAsia" w:ascii="宋体" w:hAnsi="宋体" w:eastAsia="仿宋_GB2312" w:cs="Times New Roman"/>
          <w:color w:val="auto"/>
          <w:spacing w:val="0"/>
          <w:kern w:val="2"/>
          <w:position w:val="0"/>
          <w:sz w:val="32"/>
          <w:szCs w:val="32"/>
          <w:lang w:eastAsia="zh-CN" w:bidi="ar-SA"/>
        </w:rPr>
        <w:t>该项目</w:t>
      </w:r>
      <w:r>
        <w:rPr>
          <w:rFonts w:hint="eastAsia" w:ascii="宋体" w:hAnsi="宋体" w:eastAsia="仿宋_GB2312" w:cs="Times New Roman"/>
          <w:color w:val="auto"/>
          <w:spacing w:val="0"/>
          <w:kern w:val="2"/>
          <w:position w:val="0"/>
          <w:sz w:val="32"/>
          <w:szCs w:val="32"/>
          <w:lang w:bidi="ar-SA"/>
        </w:rPr>
        <w:t>是</w:t>
      </w:r>
      <w:r>
        <w:rPr>
          <w:rFonts w:hint="eastAsia" w:ascii="宋体" w:hAnsi="宋体" w:eastAsia="仿宋_GB2312" w:cs="Times New Roman"/>
          <w:color w:val="auto"/>
          <w:spacing w:val="0"/>
          <w:kern w:val="2"/>
          <w:position w:val="0"/>
          <w:sz w:val="32"/>
          <w:szCs w:val="32"/>
          <w:lang w:eastAsia="zh-CN" w:bidi="ar-SA"/>
        </w:rPr>
        <w:t>我市</w:t>
      </w:r>
      <w:r>
        <w:rPr>
          <w:rFonts w:hint="eastAsia" w:ascii="宋体" w:hAnsi="宋体" w:eastAsia="仿宋_GB2312" w:cs="Times New Roman"/>
          <w:color w:val="auto"/>
          <w:spacing w:val="0"/>
          <w:kern w:val="2"/>
          <w:position w:val="0"/>
          <w:sz w:val="32"/>
          <w:szCs w:val="32"/>
          <w:lang w:bidi="ar-SA"/>
        </w:rPr>
        <w:t>加快打造川陕甘渝食品饮料及预制食材生产基地、助推广元食品饮料产业高质量发展的有力举措，</w:t>
      </w:r>
      <w:r>
        <w:rPr>
          <w:rFonts w:hint="eastAsia" w:ascii="宋体" w:hAnsi="宋体" w:eastAsia="仿宋_GB2312" w:cs="Times New Roman"/>
          <w:color w:val="auto"/>
          <w:spacing w:val="0"/>
          <w:kern w:val="2"/>
          <w:position w:val="0"/>
          <w:sz w:val="32"/>
          <w:szCs w:val="32"/>
          <w:lang w:eastAsia="zh-CN" w:bidi="ar-SA"/>
        </w:rPr>
        <w:t>也</w:t>
      </w:r>
      <w:r>
        <w:rPr>
          <w:rFonts w:hint="eastAsia" w:ascii="宋体" w:hAnsi="宋体" w:eastAsia="仿宋_GB2312" w:cs="Times New Roman"/>
          <w:color w:val="auto"/>
          <w:spacing w:val="0"/>
          <w:kern w:val="2"/>
          <w:position w:val="0"/>
          <w:sz w:val="32"/>
          <w:szCs w:val="32"/>
          <w:lang w:bidi="ar-SA"/>
        </w:rPr>
        <w:t>为确保</w:t>
      </w:r>
      <w:r>
        <w:rPr>
          <w:rFonts w:hint="eastAsia" w:ascii="宋体" w:hAnsi="宋体" w:eastAsia="仿宋_GB2312" w:cs="Times New Roman"/>
          <w:color w:val="auto"/>
          <w:spacing w:val="0"/>
          <w:kern w:val="2"/>
          <w:position w:val="0"/>
          <w:sz w:val="32"/>
          <w:szCs w:val="32"/>
          <w:lang w:val="en-US" w:eastAsia="zh-CN"/>
        </w:rPr>
        <w:t>食品饮料产业发展大会</w:t>
      </w:r>
      <w:r>
        <w:rPr>
          <w:rFonts w:hint="eastAsia" w:ascii="宋体" w:hAnsi="宋体" w:eastAsia="仿宋_GB2312" w:cs="Times New Roman"/>
          <w:color w:val="auto"/>
          <w:spacing w:val="0"/>
          <w:kern w:val="2"/>
          <w:position w:val="0"/>
          <w:sz w:val="32"/>
          <w:szCs w:val="32"/>
          <w:lang w:bidi="ar-SA"/>
        </w:rPr>
        <w:t>顺利圆满召开</w:t>
      </w:r>
      <w:r>
        <w:rPr>
          <w:rFonts w:hint="eastAsia" w:ascii="宋体" w:hAnsi="宋体" w:eastAsia="仿宋_GB2312" w:cs="Times New Roman"/>
          <w:color w:val="auto"/>
          <w:spacing w:val="0"/>
          <w:kern w:val="2"/>
          <w:position w:val="0"/>
          <w:sz w:val="32"/>
          <w:szCs w:val="32"/>
          <w:lang w:eastAsia="zh-CN" w:bidi="ar-SA"/>
        </w:rPr>
        <w:t>奠定基础。项目的主要任务就是通过视频、</w:t>
      </w:r>
      <w:r>
        <w:rPr>
          <w:rFonts w:hint="eastAsia" w:ascii="宋体" w:hAnsi="宋体" w:eastAsia="仿宋_GB2312" w:cs="Times New Roman"/>
          <w:color w:val="auto"/>
          <w:spacing w:val="0"/>
          <w:kern w:val="2"/>
          <w:position w:val="0"/>
          <w:sz w:val="32"/>
          <w:szCs w:val="32"/>
          <w:lang w:val="en-US" w:eastAsia="zh-CN" w:bidi="ar-SA"/>
        </w:rPr>
        <w:t>PPT等灵活方式全面展现广元市情、食品饮料产业发展基础和现状、未来发展空间、以及拟重点招引的食品饮料产业项目。</w:t>
      </w:r>
    </w:p>
    <w:p w14:paraId="6D073B9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default" w:ascii="宋体" w:hAnsi="宋体" w:eastAsia="仿宋_GB2312" w:cs="Times New Roman"/>
          <w:b w:val="0"/>
          <w:bCs w:val="0"/>
          <w:color w:val="auto"/>
          <w:spacing w:val="0"/>
          <w:kern w:val="0"/>
          <w:position w:val="0"/>
          <w:sz w:val="32"/>
          <w:szCs w:val="32"/>
          <w:highlight w:val="none"/>
          <w:u w:val="none"/>
          <w:shd w:val="clear" w:color="auto" w:fill="FFFFFF"/>
          <w:lang w:val="zh-CN"/>
        </w:rPr>
      </w:pPr>
      <w:r>
        <w:rPr>
          <w:rFonts w:hint="default" w:ascii="宋体" w:hAnsi="宋体" w:eastAsia="楷体_GB2312" w:cs="Times New Roman"/>
          <w:b w:val="0"/>
          <w:bCs w:val="0"/>
          <w:color w:val="auto"/>
          <w:spacing w:val="0"/>
          <w:position w:val="0"/>
          <w:sz w:val="32"/>
          <w:szCs w:val="32"/>
          <w:highlight w:val="none"/>
          <w:u w:val="none"/>
          <w:lang w:val="zh-CN" w:eastAsia="zh-CN"/>
        </w:rPr>
        <w:t>（三）</w:t>
      </w:r>
      <w:r>
        <w:rPr>
          <w:rFonts w:hint="default" w:ascii="宋体" w:hAnsi="宋体" w:eastAsia="楷体_GB2312" w:cs="Times New Roman"/>
          <w:b w:val="0"/>
          <w:bCs w:val="0"/>
          <w:color w:val="auto"/>
          <w:spacing w:val="0"/>
          <w:position w:val="0"/>
          <w:sz w:val="32"/>
          <w:szCs w:val="32"/>
          <w:highlight w:val="none"/>
          <w:u w:val="none"/>
          <w:lang w:val="en-US" w:eastAsia="zh-CN"/>
        </w:rPr>
        <w:t>预算安排及分配管理</w:t>
      </w:r>
    </w:p>
    <w:p w14:paraId="3F86DFE5">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宋体" w:hAnsi="宋体" w:eastAsia="楷体_GB2312" w:cs="Times New Roman"/>
          <w:b w:val="0"/>
          <w:bCs w:val="0"/>
          <w:color w:val="auto"/>
          <w:spacing w:val="0"/>
          <w:position w:val="0"/>
          <w:sz w:val="32"/>
          <w:szCs w:val="32"/>
          <w:highlight w:val="none"/>
          <w:u w:val="none"/>
          <w:lang w:val="zh-CN" w:eastAsia="zh-CN"/>
        </w:rPr>
      </w:pPr>
      <w:r>
        <w:rPr>
          <w:rFonts w:hint="eastAsia" w:ascii="宋体" w:hAnsi="宋体" w:eastAsia="仿宋_GB2312" w:cs="Times New Roman"/>
          <w:color w:val="auto"/>
          <w:spacing w:val="0"/>
          <w:kern w:val="2"/>
          <w:position w:val="0"/>
          <w:sz w:val="32"/>
          <w:szCs w:val="32"/>
          <w:lang w:val="zh-CN" w:eastAsia="zh-CN" w:bidi="ar-SA"/>
        </w:rPr>
        <w:t>根据本项目的实际情况，由市级财政部门安排专项预算资金</w:t>
      </w:r>
      <w:r>
        <w:rPr>
          <w:rFonts w:hint="eastAsia" w:ascii="宋体" w:hAnsi="宋体" w:eastAsia="仿宋_GB2312" w:cs="Times New Roman"/>
          <w:color w:val="auto"/>
          <w:spacing w:val="0"/>
          <w:kern w:val="2"/>
          <w:position w:val="0"/>
          <w:sz w:val="32"/>
          <w:szCs w:val="32"/>
          <w:lang w:val="en-US" w:eastAsia="zh-CN" w:bidi="ar-SA"/>
        </w:rPr>
        <w:t>40000元，其中制作招商引资宣传片10000元，制作招商推介PPT30000元。</w:t>
      </w:r>
    </w:p>
    <w:p w14:paraId="64629D1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宋体" w:hAnsi="宋体" w:eastAsia="仿宋_GB2312" w:cs="Times New Roman"/>
          <w:b w:val="0"/>
          <w:bCs w:val="0"/>
          <w:color w:val="auto"/>
          <w:spacing w:val="0"/>
          <w:kern w:val="0"/>
          <w:position w:val="0"/>
          <w:sz w:val="32"/>
          <w:szCs w:val="32"/>
          <w:highlight w:val="none"/>
          <w:u w:val="none"/>
          <w:shd w:val="clear" w:color="auto" w:fill="FFFFFF"/>
          <w:lang w:val="zh-CN" w:eastAsia="zh-CN"/>
        </w:rPr>
      </w:pPr>
      <w:r>
        <w:rPr>
          <w:rFonts w:hint="default" w:ascii="宋体" w:hAnsi="宋体" w:eastAsia="楷体_GB2312" w:cs="Times New Roman"/>
          <w:b w:val="0"/>
          <w:bCs w:val="0"/>
          <w:color w:val="auto"/>
          <w:spacing w:val="0"/>
          <w:position w:val="0"/>
          <w:sz w:val="32"/>
          <w:szCs w:val="32"/>
          <w:highlight w:val="none"/>
          <w:u w:val="none"/>
          <w:lang w:val="zh-CN" w:eastAsia="zh-CN"/>
        </w:rPr>
        <w:t>（四）项目绩效目标设置</w:t>
      </w:r>
    </w:p>
    <w:p w14:paraId="36433099">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宋体" w:hAnsi="宋体" w:eastAsia="仿宋_GB2312" w:cs="仿宋_GB2312"/>
          <w:b w:val="0"/>
          <w:bCs w:val="0"/>
          <w:color w:val="auto"/>
          <w:spacing w:val="0"/>
          <w:position w:val="0"/>
          <w:sz w:val="32"/>
          <w:szCs w:val="32"/>
          <w:highlight w:val="none"/>
          <w:u w:val="none"/>
          <w:lang w:val="en-US" w:eastAsia="zh-CN"/>
        </w:rPr>
      </w:pPr>
      <w:r>
        <w:rPr>
          <w:rFonts w:hint="eastAsia" w:ascii="宋体" w:hAnsi="宋体" w:eastAsia="仿宋_GB2312" w:cs="仿宋_GB2312"/>
          <w:b w:val="0"/>
          <w:bCs w:val="0"/>
          <w:color w:val="auto"/>
          <w:spacing w:val="0"/>
          <w:position w:val="0"/>
          <w:sz w:val="32"/>
          <w:szCs w:val="32"/>
          <w:highlight w:val="none"/>
          <w:u w:val="none"/>
          <w:lang w:val="en-US" w:eastAsia="zh-CN"/>
        </w:rPr>
        <w:t>按照《部门预算项目支出绩效自评表（2024年度）》，设置了产出指标、效益指标、满意度指标、成本指标共4个一级指标，以及对应的数量指标、质量指标、经济效益指标、可持续发展指标、服务对象满意度指标、经济成本指标共6个二级指标，大会参会人数指标、保障大会顺利召开指标、签约项目指标、推介广元，促进当地经济发展指标、参会客商满意度指标、保障会议召开所需费用指标共6个指标。项目自评工作由市经济合作和外事局党组组织领导，局办公室牵头，联系业务科室开展，总体自评效果较好，大家一致认为招商引资宣传片、食品饮料产业投资推介PPT、</w:t>
      </w:r>
      <w:r>
        <w:rPr>
          <w:rFonts w:hint="eastAsia" w:ascii="宋体" w:hAnsi="宋体" w:eastAsia="仿宋_GB2312" w:cs="Times New Roman"/>
          <w:color w:val="auto"/>
          <w:spacing w:val="0"/>
          <w:kern w:val="2"/>
          <w:position w:val="0"/>
          <w:sz w:val="32"/>
          <w:szCs w:val="32"/>
          <w:lang w:val="en-US" w:eastAsia="zh-CN"/>
        </w:rPr>
        <w:t>食品饮料产业发展大会推介PPT制作精良、画面清晰，全面展示了广元的基本情况，特别是广元食品饮料产业发展的良好态势，为进一步宣传推介广元、吸引广大投资者将目光聚焦广元提供了强有力的保障。大会后，不少参会的企业家纷纷来拷贝上述宣传片和PPT，计划会后再消化，加深对广元投资环境的分析研判，进一步坚定了对广元发展食品饮料产业的信心、对投资广元和布局广元的信心。</w:t>
      </w:r>
    </w:p>
    <w:p w14:paraId="128D249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宋体" w:hAnsi="宋体" w:eastAsia="黑体" w:cs="Times New Roman"/>
          <w:b w:val="0"/>
          <w:bCs w:val="0"/>
          <w:color w:val="auto"/>
          <w:spacing w:val="0"/>
          <w:position w:val="0"/>
          <w:sz w:val="32"/>
          <w:szCs w:val="32"/>
          <w:highlight w:val="none"/>
          <w:lang w:eastAsia="zh-CN"/>
        </w:rPr>
      </w:pPr>
      <w:r>
        <w:rPr>
          <w:rFonts w:hint="default" w:ascii="宋体" w:hAnsi="宋体" w:eastAsia="黑体" w:cs="Times New Roman"/>
          <w:b w:val="0"/>
          <w:bCs w:val="0"/>
          <w:color w:val="auto"/>
          <w:spacing w:val="0"/>
          <w:position w:val="0"/>
          <w:sz w:val="32"/>
          <w:szCs w:val="32"/>
          <w:highlight w:val="none"/>
        </w:rPr>
        <w:t>二、</w:t>
      </w:r>
      <w:r>
        <w:rPr>
          <w:rFonts w:hint="default" w:ascii="宋体" w:hAnsi="宋体" w:eastAsia="黑体" w:cs="Times New Roman"/>
          <w:b w:val="0"/>
          <w:bCs w:val="0"/>
          <w:color w:val="auto"/>
          <w:spacing w:val="0"/>
          <w:position w:val="0"/>
          <w:sz w:val="32"/>
          <w:szCs w:val="32"/>
          <w:highlight w:val="none"/>
          <w:lang w:eastAsia="zh-CN"/>
        </w:rPr>
        <w:t>评价实施</w:t>
      </w:r>
    </w:p>
    <w:p w14:paraId="7E2EC99F">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outlineLvl w:val="9"/>
        <w:rPr>
          <w:rFonts w:hint="default" w:ascii="宋体" w:hAnsi="宋体" w:eastAsia="仿宋_GB2312" w:cs="Times New Roman"/>
          <w:b w:val="0"/>
          <w:bCs w:val="0"/>
          <w:color w:val="auto"/>
          <w:spacing w:val="0"/>
          <w:position w:val="0"/>
          <w:sz w:val="32"/>
          <w:szCs w:val="32"/>
        </w:rPr>
      </w:pPr>
      <w:r>
        <w:rPr>
          <w:rFonts w:hint="default" w:ascii="宋体" w:hAnsi="宋体" w:eastAsia="楷体_GB2312" w:cs="Times New Roman"/>
          <w:b w:val="0"/>
          <w:bCs w:val="0"/>
          <w:color w:val="auto"/>
          <w:spacing w:val="0"/>
          <w:position w:val="0"/>
          <w:sz w:val="32"/>
          <w:szCs w:val="32"/>
          <w:highlight w:val="none"/>
          <w:u w:val="none"/>
          <w:lang w:val="zh-CN"/>
        </w:rPr>
        <w:t>（一）评价目的</w:t>
      </w:r>
    </w:p>
    <w:p w14:paraId="654B1152">
      <w:pPr>
        <w:keepNext w:val="0"/>
        <w:keepLines w:val="0"/>
        <w:pageBreakBefore w:val="0"/>
        <w:widowControl w:val="0"/>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_GB2312" w:cs="Times New Roman"/>
          <w:color w:val="auto"/>
          <w:spacing w:val="0"/>
          <w:kern w:val="2"/>
          <w:position w:val="0"/>
          <w:sz w:val="32"/>
          <w:szCs w:val="32"/>
          <w:lang w:val="zh-CN" w:eastAsia="zh-CN"/>
        </w:rPr>
      </w:pPr>
      <w:r>
        <w:rPr>
          <w:rFonts w:hint="eastAsia" w:ascii="宋体" w:hAnsi="宋体" w:eastAsia="仿宋_GB2312" w:cs="Times New Roman"/>
          <w:color w:val="auto"/>
          <w:spacing w:val="0"/>
          <w:kern w:val="2"/>
          <w:position w:val="0"/>
          <w:sz w:val="32"/>
          <w:szCs w:val="32"/>
          <w:lang w:val="zh-CN" w:eastAsia="zh-CN"/>
        </w:rPr>
        <w:t>通过项目绩效自评，一是进一步加强对本项目执行过程中的效果掌握，看项目执行效率和质量是否符合预期。二是进一步分析本项目中</w:t>
      </w:r>
      <w:r>
        <w:rPr>
          <w:rFonts w:hint="eastAsia" w:ascii="宋体" w:hAnsi="宋体" w:eastAsia="仿宋_GB2312" w:cs="Times New Roman"/>
          <w:color w:val="auto"/>
          <w:spacing w:val="0"/>
          <w:kern w:val="2"/>
          <w:position w:val="0"/>
          <w:sz w:val="32"/>
          <w:szCs w:val="32"/>
          <w:lang w:val="en-US" w:eastAsia="zh-CN"/>
        </w:rPr>
        <w:t>宣传片和PPT的实际质量，是否为食品饮料产业发展大会提供了坚强支撑。三是为下一步加强项目绩效管理提供有益探索。</w:t>
      </w:r>
    </w:p>
    <w:p w14:paraId="785FB5A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楷体_GB2312" w:cs="Times New Roman"/>
          <w:b w:val="0"/>
          <w:bCs w:val="0"/>
          <w:color w:val="auto"/>
          <w:spacing w:val="0"/>
          <w:position w:val="0"/>
          <w:sz w:val="32"/>
          <w:szCs w:val="32"/>
          <w:highlight w:val="none"/>
          <w:u w:val="none"/>
          <w:lang w:val="zh-CN"/>
        </w:rPr>
      </w:pPr>
      <w:r>
        <w:rPr>
          <w:rFonts w:hint="default" w:ascii="宋体" w:hAnsi="宋体" w:eastAsia="楷体_GB2312" w:cs="Times New Roman"/>
          <w:b w:val="0"/>
          <w:bCs w:val="0"/>
          <w:color w:val="auto"/>
          <w:spacing w:val="0"/>
          <w:position w:val="0"/>
          <w:sz w:val="32"/>
          <w:szCs w:val="32"/>
          <w:highlight w:val="none"/>
          <w:u w:val="none"/>
          <w:lang w:val="zh-CN"/>
        </w:rPr>
        <w:t>（二）预设问题及评价重点</w:t>
      </w:r>
    </w:p>
    <w:p w14:paraId="7E71E6A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楷体_GB2312" w:cs="Times New Roman"/>
          <w:b w:val="0"/>
          <w:bCs w:val="0"/>
          <w:color w:val="auto"/>
          <w:spacing w:val="0"/>
          <w:position w:val="0"/>
          <w:sz w:val="32"/>
          <w:szCs w:val="32"/>
          <w:highlight w:val="none"/>
          <w:u w:val="none"/>
          <w:lang w:val="zh-CN"/>
        </w:rPr>
      </w:pPr>
      <w:r>
        <w:rPr>
          <w:rFonts w:hint="eastAsia" w:ascii="宋体" w:hAnsi="宋体" w:eastAsia="仿宋_GB2312" w:cs="仿宋_GB2312"/>
          <w:b w:val="0"/>
          <w:bCs w:val="0"/>
          <w:color w:val="auto"/>
          <w:spacing w:val="0"/>
          <w:position w:val="0"/>
          <w:sz w:val="32"/>
          <w:szCs w:val="32"/>
          <w:highlight w:val="none"/>
          <w:u w:val="none"/>
          <w:lang w:val="en-US" w:eastAsia="zh-CN"/>
        </w:rPr>
        <w:t>招商引资宣传片画面是否清晰、宣传的内容是否符合广元实际、是否对企业家具有吸引力？</w:t>
      </w:r>
    </w:p>
    <w:p w14:paraId="664E534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仿宋_GB2312" w:cs="Times New Roman"/>
          <w:b w:val="0"/>
          <w:bCs w:val="0"/>
          <w:color w:val="auto"/>
          <w:spacing w:val="0"/>
          <w:position w:val="0"/>
          <w:sz w:val="32"/>
          <w:szCs w:val="32"/>
        </w:rPr>
      </w:pPr>
      <w:r>
        <w:rPr>
          <w:rFonts w:hint="eastAsia" w:ascii="宋体" w:hAnsi="宋体" w:eastAsia="仿宋_GB2312" w:cs="仿宋_GB2312"/>
          <w:b w:val="0"/>
          <w:bCs w:val="0"/>
          <w:color w:val="auto"/>
          <w:spacing w:val="0"/>
          <w:position w:val="0"/>
          <w:sz w:val="32"/>
          <w:szCs w:val="32"/>
          <w:highlight w:val="none"/>
          <w:u w:val="none"/>
          <w:lang w:val="en-US" w:eastAsia="zh-CN"/>
        </w:rPr>
        <w:t>食品饮料产业投资推介PPT、</w:t>
      </w:r>
      <w:r>
        <w:rPr>
          <w:rFonts w:hint="eastAsia" w:ascii="宋体" w:hAnsi="宋体" w:eastAsia="仿宋_GB2312" w:cs="Times New Roman"/>
          <w:color w:val="auto"/>
          <w:spacing w:val="0"/>
          <w:kern w:val="2"/>
          <w:position w:val="0"/>
          <w:sz w:val="32"/>
          <w:szCs w:val="32"/>
          <w:lang w:val="en-US" w:eastAsia="zh-CN"/>
        </w:rPr>
        <w:t>食品饮料产业发展大会推介PPT的文字和图片是否清晰，是否详实和客观介绍了广元食品饮料产业，是否为企业家提供了可以合作的项目机遇？</w:t>
      </w:r>
    </w:p>
    <w:p w14:paraId="7B695A8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楷体_GB2312" w:cs="Times New Roman"/>
          <w:b w:val="0"/>
          <w:bCs w:val="0"/>
          <w:color w:val="auto"/>
          <w:spacing w:val="0"/>
          <w:position w:val="0"/>
          <w:sz w:val="32"/>
          <w:szCs w:val="32"/>
          <w:highlight w:val="none"/>
          <w:u w:val="none"/>
          <w:lang w:val="zh-CN"/>
        </w:rPr>
      </w:pPr>
      <w:r>
        <w:rPr>
          <w:rFonts w:hint="default" w:ascii="宋体" w:hAnsi="宋体" w:eastAsia="楷体_GB2312" w:cs="Times New Roman"/>
          <w:b w:val="0"/>
          <w:bCs w:val="0"/>
          <w:color w:val="auto"/>
          <w:spacing w:val="0"/>
          <w:position w:val="0"/>
          <w:sz w:val="32"/>
          <w:szCs w:val="32"/>
          <w:highlight w:val="none"/>
          <w:u w:val="none"/>
          <w:lang w:val="zh-CN"/>
        </w:rPr>
        <w:t>（三）评价选点</w:t>
      </w:r>
    </w:p>
    <w:p w14:paraId="129926F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楷体_GB2312" w:cs="Times New Roman"/>
          <w:b w:val="0"/>
          <w:bCs w:val="0"/>
          <w:color w:val="auto"/>
          <w:spacing w:val="0"/>
          <w:position w:val="0"/>
          <w:sz w:val="32"/>
          <w:szCs w:val="32"/>
          <w:highlight w:val="none"/>
          <w:u w:val="none"/>
          <w:lang w:val="zh-CN"/>
        </w:rPr>
      </w:pPr>
      <w:r>
        <w:rPr>
          <w:rFonts w:hint="eastAsia" w:ascii="宋体" w:hAnsi="宋体" w:eastAsia="仿宋_GB2312" w:cs="Times New Roman"/>
          <w:color w:val="auto"/>
          <w:spacing w:val="0"/>
          <w:position w:val="0"/>
          <w:sz w:val="32"/>
          <w:szCs w:val="32"/>
          <w:lang w:val="zh-CN" w:eastAsia="zh-CN"/>
        </w:rPr>
        <w:t>通过对2024年中国西部（广元）食品饮料产业发展大会及食品饮料产业投资推介</w:t>
      </w:r>
      <w:r>
        <w:rPr>
          <w:rFonts w:hint="eastAsia" w:ascii="宋体" w:hAnsi="宋体" w:eastAsia="仿宋_GB2312" w:cs="Times New Roman"/>
          <w:color w:val="auto"/>
          <w:spacing w:val="0"/>
          <w:position w:val="0"/>
          <w:sz w:val="32"/>
          <w:szCs w:val="32"/>
          <w:lang w:val="en-US" w:eastAsia="zh-CN"/>
        </w:rPr>
        <w:t>资金使用情况数据的抽查检验，以掌握资金运用绩效目标实现情况。</w:t>
      </w:r>
    </w:p>
    <w:p w14:paraId="1F649C59">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outlineLvl w:val="9"/>
        <w:rPr>
          <w:rFonts w:hint="default" w:ascii="宋体" w:hAnsi="宋体" w:eastAsia="楷体_GB2312" w:cs="Times New Roman"/>
          <w:b w:val="0"/>
          <w:bCs w:val="0"/>
          <w:color w:val="auto"/>
          <w:spacing w:val="0"/>
          <w:position w:val="0"/>
          <w:sz w:val="32"/>
          <w:szCs w:val="32"/>
          <w:highlight w:val="none"/>
          <w:u w:val="none"/>
          <w:lang w:val="zh-CN"/>
        </w:rPr>
      </w:pPr>
      <w:r>
        <w:rPr>
          <w:rFonts w:hint="default" w:ascii="宋体" w:hAnsi="宋体" w:eastAsia="楷体_GB2312" w:cs="Times New Roman"/>
          <w:b w:val="0"/>
          <w:bCs w:val="0"/>
          <w:color w:val="auto"/>
          <w:spacing w:val="0"/>
          <w:position w:val="0"/>
          <w:sz w:val="32"/>
          <w:szCs w:val="32"/>
          <w:highlight w:val="none"/>
          <w:u w:val="none"/>
          <w:lang w:val="zh-CN"/>
        </w:rPr>
        <w:t>（四）评价方法</w:t>
      </w:r>
    </w:p>
    <w:p w14:paraId="2D572E9A">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outlineLvl w:val="9"/>
        <w:rPr>
          <w:rFonts w:hint="eastAsia" w:ascii="宋体" w:hAnsi="宋体" w:eastAsia="仿宋_GB2312" w:cs="仿宋_GB2312"/>
          <w:b w:val="0"/>
          <w:bCs w:val="0"/>
          <w:color w:val="auto"/>
          <w:spacing w:val="0"/>
          <w:position w:val="0"/>
          <w:sz w:val="32"/>
          <w:szCs w:val="32"/>
          <w:highlight w:val="none"/>
          <w:u w:val="none"/>
          <w:lang w:val="zh-CN" w:eastAsia="zh-CN"/>
        </w:rPr>
      </w:pPr>
      <w:r>
        <w:rPr>
          <w:rFonts w:hint="eastAsia" w:ascii="宋体" w:hAnsi="宋体" w:eastAsia="仿宋_GB2312" w:cs="Times New Roman"/>
          <w:color w:val="auto"/>
          <w:spacing w:val="0"/>
          <w:position w:val="0"/>
          <w:sz w:val="32"/>
          <w:szCs w:val="32"/>
          <w:lang w:val="en-US" w:eastAsia="zh-CN"/>
        </w:rPr>
        <w:t>根据</w:t>
      </w:r>
      <w:r>
        <w:rPr>
          <w:rFonts w:hint="eastAsia" w:ascii="宋体" w:hAnsi="宋体" w:eastAsia="仿宋_GB2312" w:cs="Times New Roman"/>
          <w:color w:val="auto"/>
          <w:spacing w:val="0"/>
          <w:position w:val="0"/>
          <w:sz w:val="32"/>
          <w:szCs w:val="32"/>
          <w:lang w:eastAsia="zh-CN"/>
        </w:rPr>
        <w:t>年初绩效申报数据及评价标准，进行数据综合分析，对项目绩效进行自评价，撰写部门自评价报告。</w:t>
      </w:r>
    </w:p>
    <w:p w14:paraId="331FF7FF">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outlineLvl w:val="9"/>
        <w:rPr>
          <w:rFonts w:hint="default" w:ascii="宋体" w:hAnsi="宋体" w:eastAsia="楷体_GB2312" w:cs="Times New Roman"/>
          <w:b w:val="0"/>
          <w:bCs w:val="0"/>
          <w:color w:val="auto"/>
          <w:spacing w:val="0"/>
          <w:position w:val="0"/>
          <w:sz w:val="32"/>
          <w:szCs w:val="32"/>
          <w:highlight w:val="none"/>
          <w:u w:val="none"/>
          <w:lang w:val="zh-CN"/>
        </w:rPr>
      </w:pPr>
      <w:r>
        <w:rPr>
          <w:rFonts w:hint="default" w:ascii="宋体" w:hAnsi="宋体" w:eastAsia="楷体_GB2312" w:cs="Times New Roman"/>
          <w:b w:val="0"/>
          <w:bCs w:val="0"/>
          <w:color w:val="auto"/>
          <w:spacing w:val="0"/>
          <w:position w:val="0"/>
          <w:sz w:val="32"/>
          <w:szCs w:val="32"/>
          <w:highlight w:val="none"/>
          <w:u w:val="none"/>
          <w:lang w:val="zh-CN"/>
        </w:rPr>
        <w:t>（五）评价组织</w:t>
      </w:r>
    </w:p>
    <w:p w14:paraId="25E3E79B">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outlineLvl w:val="9"/>
        <w:rPr>
          <w:rFonts w:hint="default" w:ascii="宋体" w:hAnsi="宋体" w:eastAsia="黑体" w:cs="Times New Roman"/>
          <w:b w:val="0"/>
          <w:bCs w:val="0"/>
          <w:color w:val="auto"/>
          <w:spacing w:val="0"/>
          <w:position w:val="0"/>
          <w:sz w:val="32"/>
          <w:szCs w:val="32"/>
          <w:highlight w:val="none"/>
          <w:u w:val="none"/>
        </w:rPr>
      </w:pPr>
      <w:r>
        <w:rPr>
          <w:rFonts w:hint="eastAsia" w:ascii="宋体" w:hAnsi="宋体" w:eastAsia="仿宋_GB2312" w:cs="Times New Roman"/>
          <w:color w:val="auto"/>
          <w:spacing w:val="0"/>
          <w:position w:val="0"/>
          <w:sz w:val="32"/>
          <w:szCs w:val="32"/>
          <w:lang w:eastAsia="zh-CN"/>
        </w:rPr>
        <w:t>成立以局主要领导为组长，分管领导为副组长，各科室、中心负责人为组员，办公室承担小组办公室日常工作。</w:t>
      </w:r>
    </w:p>
    <w:p w14:paraId="006A894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宋体" w:hAnsi="宋体" w:eastAsia="仿宋_GB2312" w:cs="Times New Roman"/>
          <w:b w:val="0"/>
          <w:bCs w:val="0"/>
          <w:color w:val="auto"/>
          <w:spacing w:val="0"/>
          <w:position w:val="0"/>
          <w:sz w:val="32"/>
          <w:szCs w:val="32"/>
          <w:highlight w:val="none"/>
          <w:u w:val="none"/>
          <w:lang w:val="zh-CN"/>
        </w:rPr>
      </w:pPr>
      <w:r>
        <w:rPr>
          <w:rFonts w:hint="default" w:ascii="宋体" w:hAnsi="宋体" w:eastAsia="黑体" w:cs="Times New Roman"/>
          <w:b w:val="0"/>
          <w:bCs w:val="0"/>
          <w:color w:val="auto"/>
          <w:spacing w:val="0"/>
          <w:position w:val="0"/>
          <w:sz w:val="32"/>
          <w:szCs w:val="32"/>
          <w:highlight w:val="none"/>
          <w:u w:val="none"/>
        </w:rPr>
        <w:t>三、</w:t>
      </w:r>
      <w:r>
        <w:rPr>
          <w:rFonts w:hint="default" w:ascii="宋体" w:hAnsi="宋体" w:eastAsia="黑体" w:cs="Times New Roman"/>
          <w:b w:val="0"/>
          <w:bCs w:val="0"/>
          <w:color w:val="auto"/>
          <w:spacing w:val="0"/>
          <w:position w:val="0"/>
          <w:sz w:val="32"/>
          <w:szCs w:val="32"/>
          <w:highlight w:val="none"/>
          <w:u w:val="none"/>
          <w:lang w:eastAsia="zh-CN"/>
        </w:rPr>
        <w:t>绩效分析</w:t>
      </w:r>
      <w:r>
        <w:rPr>
          <w:rFonts w:hint="default" w:ascii="宋体" w:hAnsi="宋体" w:eastAsia="仿宋_GB2312" w:cs="Times New Roman"/>
          <w:b w:val="0"/>
          <w:bCs w:val="0"/>
          <w:color w:val="auto"/>
          <w:spacing w:val="0"/>
          <w:position w:val="0"/>
          <w:sz w:val="32"/>
          <w:szCs w:val="32"/>
          <w:highlight w:val="none"/>
          <w:u w:val="none"/>
          <w:lang w:val="zh-CN"/>
        </w:rPr>
        <w:tab/>
      </w:r>
    </w:p>
    <w:p w14:paraId="2103FEE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宋体" w:hAnsi="宋体" w:eastAsia="楷体_GB2312" w:cs="Times New Roman"/>
          <w:b w:val="0"/>
          <w:bCs w:val="0"/>
          <w:color w:val="auto"/>
          <w:spacing w:val="0"/>
          <w:position w:val="0"/>
          <w:sz w:val="32"/>
          <w:szCs w:val="32"/>
          <w:highlight w:val="none"/>
          <w:u w:val="none"/>
          <w:lang w:val="en-US" w:eastAsia="zh-CN"/>
        </w:rPr>
      </w:pPr>
      <w:r>
        <w:rPr>
          <w:rFonts w:hint="default" w:ascii="宋体" w:hAnsi="宋体" w:eastAsia="楷体_GB2312" w:cs="Times New Roman"/>
          <w:b w:val="0"/>
          <w:bCs w:val="0"/>
          <w:color w:val="auto"/>
          <w:spacing w:val="0"/>
          <w:position w:val="0"/>
          <w:sz w:val="32"/>
          <w:szCs w:val="32"/>
          <w:highlight w:val="none"/>
          <w:u w:val="none"/>
          <w:lang w:val="zh-CN"/>
        </w:rPr>
        <w:t>（一）</w:t>
      </w:r>
      <w:r>
        <w:rPr>
          <w:rFonts w:hint="default" w:ascii="宋体" w:hAnsi="宋体" w:eastAsia="楷体_GB2312" w:cs="Times New Roman"/>
          <w:b w:val="0"/>
          <w:bCs w:val="0"/>
          <w:color w:val="auto"/>
          <w:spacing w:val="0"/>
          <w:position w:val="0"/>
          <w:sz w:val="32"/>
          <w:szCs w:val="32"/>
          <w:highlight w:val="none"/>
          <w:u w:val="none"/>
          <w:lang w:val="en-US" w:eastAsia="zh-CN"/>
        </w:rPr>
        <w:t>通用指标</w:t>
      </w:r>
      <w:r>
        <w:rPr>
          <w:rFonts w:hint="default" w:ascii="宋体" w:hAnsi="宋体" w:eastAsia="楷体_GB2312" w:cs="Times New Roman"/>
          <w:b w:val="0"/>
          <w:bCs w:val="0"/>
          <w:color w:val="auto"/>
          <w:spacing w:val="0"/>
          <w:kern w:val="0"/>
          <w:position w:val="0"/>
          <w:sz w:val="32"/>
          <w:szCs w:val="32"/>
          <w:highlight w:val="none"/>
          <w:shd w:val="clear" w:color="auto" w:fill="FFFFFF"/>
          <w:lang w:val="zh-CN"/>
        </w:rPr>
        <w:t>绩效分析</w:t>
      </w:r>
    </w:p>
    <w:p w14:paraId="63CF4F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宋体" w:hAnsi="宋体" w:eastAsia="仿宋_GB2312" w:cs="Times New Roman"/>
          <w:color w:val="auto"/>
          <w:spacing w:val="0"/>
          <w:position w:val="0"/>
          <w:sz w:val="32"/>
          <w:szCs w:val="32"/>
          <w:lang w:eastAsia="zh-CN"/>
        </w:rPr>
      </w:pPr>
      <w:r>
        <w:rPr>
          <w:rFonts w:hint="eastAsia" w:ascii="宋体" w:hAnsi="宋体" w:eastAsia="仿宋_GB2312" w:cs="仿宋_GB2312"/>
          <w:b w:val="0"/>
          <w:bCs w:val="0"/>
          <w:color w:val="auto"/>
          <w:spacing w:val="0"/>
          <w:position w:val="0"/>
          <w:sz w:val="32"/>
          <w:szCs w:val="32"/>
          <w:lang w:val="en-US" w:eastAsia="zh-CN"/>
        </w:rPr>
        <w:t>1.</w:t>
      </w:r>
      <w:r>
        <w:rPr>
          <w:rFonts w:hint="eastAsia" w:ascii="宋体" w:hAnsi="宋体" w:eastAsia="仿宋_GB2312" w:cs="仿宋_GB2312"/>
          <w:b w:val="0"/>
          <w:bCs w:val="0"/>
          <w:color w:val="auto"/>
          <w:spacing w:val="0"/>
          <w:position w:val="0"/>
          <w:sz w:val="32"/>
          <w:szCs w:val="32"/>
          <w:lang w:eastAsia="zh-CN"/>
        </w:rPr>
        <w:t>项目决策。</w:t>
      </w:r>
      <w:r>
        <w:rPr>
          <w:rFonts w:hint="eastAsia" w:ascii="宋体" w:hAnsi="宋体" w:eastAsia="仿宋_GB2312" w:cs="Times New Roman"/>
          <w:color w:val="auto"/>
          <w:spacing w:val="0"/>
          <w:position w:val="0"/>
          <w:sz w:val="32"/>
          <w:szCs w:val="32"/>
          <w:lang w:eastAsia="zh-CN"/>
        </w:rPr>
        <w:t>立项依据基本充分，均设定了各项目绩效目标，资金配置均有明确的测算。</w:t>
      </w:r>
    </w:p>
    <w:p w14:paraId="51276804">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outlineLvl w:val="9"/>
        <w:rPr>
          <w:rFonts w:hint="eastAsia" w:ascii="宋体" w:hAnsi="宋体" w:eastAsia="仿宋_GB2312" w:cs="Times New Roman"/>
          <w:b w:val="0"/>
          <w:bCs w:val="0"/>
          <w:color w:val="auto"/>
          <w:spacing w:val="0"/>
          <w:position w:val="0"/>
          <w:sz w:val="32"/>
          <w:szCs w:val="32"/>
          <w:lang w:val="zh-CN"/>
        </w:rPr>
      </w:pPr>
      <w:r>
        <w:rPr>
          <w:rFonts w:hint="eastAsia" w:ascii="宋体" w:hAnsi="宋体" w:eastAsia="仿宋_GB2312" w:cs="仿宋_GB2312"/>
          <w:b w:val="0"/>
          <w:bCs w:val="0"/>
          <w:color w:val="auto"/>
          <w:spacing w:val="0"/>
          <w:position w:val="0"/>
          <w:sz w:val="32"/>
          <w:szCs w:val="32"/>
          <w:lang w:val="en-US" w:eastAsia="zh-CN"/>
        </w:rPr>
        <w:t>2.</w:t>
      </w:r>
      <w:r>
        <w:rPr>
          <w:rFonts w:hint="eastAsia" w:ascii="宋体" w:hAnsi="宋体" w:eastAsia="仿宋_GB2312" w:cs="仿宋_GB2312"/>
          <w:b w:val="0"/>
          <w:bCs w:val="0"/>
          <w:color w:val="auto"/>
          <w:spacing w:val="0"/>
          <w:position w:val="0"/>
          <w:sz w:val="32"/>
          <w:szCs w:val="32"/>
          <w:lang w:eastAsia="zh-CN"/>
        </w:rPr>
        <w:t>项目管理。</w:t>
      </w:r>
      <w:r>
        <w:rPr>
          <w:rFonts w:hint="eastAsia" w:ascii="宋体" w:hAnsi="宋体" w:eastAsia="仿宋_GB2312" w:cs="Times New Roman"/>
          <w:b w:val="0"/>
          <w:bCs w:val="0"/>
          <w:color w:val="auto"/>
          <w:spacing w:val="0"/>
          <w:position w:val="0"/>
          <w:sz w:val="32"/>
          <w:szCs w:val="32"/>
          <w:lang w:val="en-US" w:eastAsia="zh-CN"/>
        </w:rPr>
        <w:t>单位严格</w:t>
      </w:r>
      <w:r>
        <w:rPr>
          <w:rFonts w:hint="eastAsia" w:ascii="宋体" w:hAnsi="宋体" w:eastAsia="仿宋_GB2312" w:cs="Times New Roman"/>
          <w:b w:val="0"/>
          <w:bCs w:val="0"/>
          <w:color w:val="auto"/>
          <w:spacing w:val="0"/>
          <w:position w:val="0"/>
          <w:sz w:val="32"/>
          <w:szCs w:val="32"/>
          <w:lang w:val="zh-CN"/>
        </w:rPr>
        <w:t>落实资金专款专用，</w:t>
      </w:r>
      <w:r>
        <w:rPr>
          <w:rFonts w:hint="eastAsia" w:ascii="宋体" w:hAnsi="宋体" w:eastAsia="仿宋_GB2312" w:cs="Times New Roman"/>
          <w:color w:val="auto"/>
          <w:spacing w:val="0"/>
          <w:position w:val="0"/>
          <w:sz w:val="32"/>
          <w:szCs w:val="32"/>
          <w:lang w:eastAsia="zh-CN"/>
        </w:rPr>
        <w:t>对</w:t>
      </w:r>
      <w:r>
        <w:rPr>
          <w:rFonts w:hint="eastAsia" w:ascii="宋体" w:hAnsi="宋体" w:eastAsia="仿宋_GB2312" w:cs="Times New Roman"/>
          <w:color w:val="auto"/>
          <w:spacing w:val="0"/>
          <w:position w:val="0"/>
          <w:sz w:val="32"/>
          <w:szCs w:val="32"/>
          <w:lang w:val="zh-CN" w:eastAsia="zh-CN"/>
        </w:rPr>
        <w:t>2024年中国西部（广元）食品饮料产业发展大会及食品饮料产业投资推介</w:t>
      </w:r>
      <w:r>
        <w:rPr>
          <w:rFonts w:hint="eastAsia" w:ascii="宋体" w:hAnsi="宋体" w:eastAsia="仿宋_GB2312" w:cs="Times New Roman"/>
          <w:color w:val="auto"/>
          <w:spacing w:val="0"/>
          <w:position w:val="0"/>
          <w:sz w:val="32"/>
          <w:szCs w:val="32"/>
          <w:lang w:val="en-US" w:eastAsia="zh-CN"/>
        </w:rPr>
        <w:t>预算进行党组会审议，对项目结束后的结算经费由党组会逐笔审议。</w:t>
      </w:r>
      <w:r>
        <w:rPr>
          <w:rFonts w:hint="eastAsia" w:ascii="宋体" w:hAnsi="宋体" w:eastAsia="仿宋_GB2312" w:cs="Times New Roman"/>
          <w:b w:val="0"/>
          <w:bCs w:val="0"/>
          <w:color w:val="auto"/>
          <w:spacing w:val="0"/>
          <w:position w:val="0"/>
          <w:sz w:val="32"/>
          <w:szCs w:val="32"/>
          <w:lang w:val="zh-CN"/>
        </w:rPr>
        <w:t>同时</w:t>
      </w:r>
      <w:r>
        <w:rPr>
          <w:rFonts w:hint="eastAsia" w:ascii="宋体" w:hAnsi="宋体" w:eastAsia="仿宋_GB2312" w:cs="Times New Roman"/>
          <w:b w:val="0"/>
          <w:bCs w:val="0"/>
          <w:color w:val="auto"/>
          <w:spacing w:val="0"/>
          <w:position w:val="0"/>
          <w:sz w:val="32"/>
          <w:szCs w:val="32"/>
          <w:lang w:val="en-US" w:eastAsia="zh-CN"/>
        </w:rPr>
        <w:t>还配合市纪委监委派驻市政府办纪检组不定期抽查监督</w:t>
      </w:r>
      <w:r>
        <w:rPr>
          <w:rFonts w:hint="eastAsia" w:ascii="宋体" w:hAnsi="宋体" w:eastAsia="仿宋_GB2312" w:cs="Times New Roman"/>
          <w:b w:val="0"/>
          <w:bCs w:val="0"/>
          <w:color w:val="auto"/>
          <w:spacing w:val="0"/>
          <w:position w:val="0"/>
          <w:sz w:val="32"/>
          <w:szCs w:val="32"/>
          <w:lang w:val="zh-CN"/>
        </w:rPr>
        <w:t>。严格执行财务管理制度，按照“专款专用，注重实效”的原则进行管理。严格控制资金支付制度，从制度上为规范资金管理提供保障，促进了资金使用管理的规范性、安全性和有效性。</w:t>
      </w:r>
    </w:p>
    <w:p w14:paraId="2F88491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宋体" w:hAnsi="宋体" w:eastAsia="仿宋_GB2312" w:cs="仿宋_GB2312"/>
          <w:b w:val="0"/>
          <w:bCs w:val="0"/>
          <w:color w:val="auto"/>
          <w:spacing w:val="0"/>
          <w:position w:val="0"/>
          <w:sz w:val="32"/>
          <w:szCs w:val="32"/>
          <w:lang w:eastAsia="zh-CN"/>
        </w:rPr>
      </w:pPr>
      <w:r>
        <w:rPr>
          <w:rFonts w:hint="eastAsia" w:ascii="宋体" w:hAnsi="宋体" w:eastAsia="仿宋_GB2312" w:cs="仿宋_GB2312"/>
          <w:b w:val="0"/>
          <w:bCs w:val="0"/>
          <w:color w:val="auto"/>
          <w:spacing w:val="0"/>
          <w:position w:val="0"/>
          <w:sz w:val="32"/>
          <w:szCs w:val="32"/>
          <w:lang w:val="en-US" w:eastAsia="zh-CN"/>
        </w:rPr>
        <w:t>3.项目实施。</w:t>
      </w:r>
      <w:r>
        <w:rPr>
          <w:rFonts w:hint="eastAsia" w:ascii="宋体" w:hAnsi="宋体" w:eastAsia="仿宋_GB2312" w:cs="Times New Roman"/>
          <w:color w:val="auto"/>
          <w:spacing w:val="0"/>
          <w:position w:val="0"/>
          <w:sz w:val="32"/>
          <w:szCs w:val="32"/>
          <w:lang w:val="zh-CN" w:eastAsia="zh-CN"/>
        </w:rPr>
        <w:t>2024年中国西部（广元）食品饮料产业发展大会及食品饮料产业投资推介</w:t>
      </w:r>
      <w:r>
        <w:rPr>
          <w:rFonts w:hint="eastAsia" w:ascii="宋体" w:hAnsi="宋体" w:eastAsia="仿宋_GB2312" w:cs="Times New Roman"/>
          <w:color w:val="auto"/>
          <w:spacing w:val="0"/>
          <w:position w:val="0"/>
          <w:sz w:val="32"/>
          <w:szCs w:val="32"/>
          <w:lang w:val="en-US" w:eastAsia="zh-CN"/>
        </w:rPr>
        <w:t>支出</w:t>
      </w:r>
      <w:r>
        <w:rPr>
          <w:rFonts w:hint="eastAsia" w:ascii="宋体" w:hAnsi="宋体" w:eastAsia="仿宋_GB2312" w:cs="仿宋_GB2312"/>
          <w:color w:val="auto"/>
          <w:spacing w:val="0"/>
          <w:kern w:val="0"/>
          <w:position w:val="0"/>
          <w:sz w:val="32"/>
          <w:szCs w:val="32"/>
          <w:lang w:val="en-US" w:eastAsia="zh-CN" w:bidi="ar-SA"/>
        </w:rPr>
        <w:t>3.99万元</w:t>
      </w:r>
      <w:r>
        <w:rPr>
          <w:rFonts w:hint="eastAsia" w:ascii="宋体" w:hAnsi="宋体" w:eastAsia="仿宋_GB2312" w:cs="Times New Roman"/>
          <w:color w:val="auto"/>
          <w:spacing w:val="0"/>
          <w:position w:val="0"/>
          <w:sz w:val="32"/>
          <w:szCs w:val="32"/>
          <w:lang w:val="en-US" w:eastAsia="zh-CN"/>
        </w:rPr>
        <w:t>，预算执行率</w:t>
      </w:r>
      <w:r>
        <w:rPr>
          <w:rFonts w:hint="eastAsia" w:ascii="宋体" w:hAnsi="宋体" w:eastAsia="仿宋_GB2312" w:cs="仿宋_GB2312"/>
          <w:color w:val="auto"/>
          <w:spacing w:val="0"/>
          <w:kern w:val="0"/>
          <w:position w:val="0"/>
          <w:sz w:val="32"/>
          <w:szCs w:val="32"/>
          <w:lang w:val="en-US" w:eastAsia="zh-CN" w:bidi="ar-SA"/>
        </w:rPr>
        <w:t>99.75%</w:t>
      </w:r>
      <w:r>
        <w:rPr>
          <w:rFonts w:hint="eastAsia" w:ascii="宋体" w:hAnsi="宋体" w:eastAsia="仿宋_GB2312" w:cs="Times New Roman"/>
          <w:color w:val="auto"/>
          <w:spacing w:val="0"/>
          <w:position w:val="0"/>
          <w:sz w:val="32"/>
          <w:szCs w:val="32"/>
          <w:lang w:val="en-US" w:eastAsia="zh-CN"/>
        </w:rPr>
        <w:t>。主要原因为我单位秉承厉行节约的原则，费用开支严格压缩，特别是在</w:t>
      </w:r>
      <w:r>
        <w:rPr>
          <w:rFonts w:hint="eastAsia" w:ascii="宋体" w:hAnsi="宋体" w:eastAsia="仿宋_GB2312" w:cs="仿宋_GB2312"/>
          <w:color w:val="auto"/>
          <w:spacing w:val="0"/>
          <w:kern w:val="0"/>
          <w:position w:val="0"/>
          <w:sz w:val="32"/>
          <w:szCs w:val="32"/>
          <w:lang w:val="en-US" w:eastAsia="zh-CN" w:bidi="ar-SA"/>
        </w:rPr>
        <w:t>PPT</w:t>
      </w:r>
      <w:r>
        <w:rPr>
          <w:rFonts w:hint="eastAsia" w:ascii="宋体" w:hAnsi="宋体" w:eastAsia="仿宋_GB2312" w:cs="Times New Roman"/>
          <w:color w:val="auto"/>
          <w:spacing w:val="0"/>
          <w:position w:val="0"/>
          <w:sz w:val="32"/>
          <w:szCs w:val="32"/>
          <w:lang w:val="en-US" w:eastAsia="zh-CN"/>
        </w:rPr>
        <w:t>制作和活动资料打印方面。在预算执行过程中严格按照相关管理制度，</w:t>
      </w:r>
      <w:r>
        <w:rPr>
          <w:rFonts w:hint="eastAsia" w:ascii="宋体" w:hAnsi="宋体" w:eastAsia="仿宋_GB2312" w:cs="Times New Roman"/>
          <w:color w:val="auto"/>
          <w:spacing w:val="0"/>
          <w:position w:val="0"/>
          <w:sz w:val="32"/>
          <w:szCs w:val="32"/>
          <w:lang w:val="zh-CN" w:eastAsia="zh-CN"/>
        </w:rPr>
        <w:t>严控资金支付范围和支付标准，</w:t>
      </w:r>
      <w:r>
        <w:rPr>
          <w:rFonts w:hint="eastAsia" w:ascii="宋体" w:hAnsi="宋体" w:eastAsia="仿宋_GB2312" w:cs="Times New Roman"/>
          <w:color w:val="auto"/>
          <w:spacing w:val="0"/>
          <w:position w:val="0"/>
          <w:sz w:val="32"/>
          <w:szCs w:val="32"/>
          <w:lang w:val="en-US" w:eastAsia="zh-CN"/>
        </w:rPr>
        <w:t>确保</w:t>
      </w:r>
      <w:r>
        <w:rPr>
          <w:rFonts w:hint="eastAsia" w:ascii="宋体" w:hAnsi="宋体" w:eastAsia="仿宋_GB2312" w:cs="Times New Roman"/>
          <w:color w:val="auto"/>
          <w:spacing w:val="0"/>
          <w:position w:val="0"/>
          <w:sz w:val="32"/>
          <w:szCs w:val="32"/>
          <w:lang w:val="zh-CN" w:eastAsia="zh-CN"/>
        </w:rPr>
        <w:t>资金安全使用，支付依据等合规合法</w:t>
      </w:r>
      <w:r>
        <w:rPr>
          <w:rFonts w:hint="eastAsia" w:ascii="宋体" w:hAnsi="宋体" w:eastAsia="仿宋_GB2312" w:cs="仿宋_GB2312"/>
          <w:b w:val="0"/>
          <w:bCs w:val="0"/>
          <w:color w:val="auto"/>
          <w:spacing w:val="0"/>
          <w:position w:val="0"/>
          <w:sz w:val="32"/>
          <w:szCs w:val="32"/>
          <w:lang w:eastAsia="zh-CN"/>
        </w:rPr>
        <w:t>。</w:t>
      </w:r>
    </w:p>
    <w:p w14:paraId="50B2357B">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宋体" w:hAnsi="宋体" w:eastAsia="仿宋_GB2312" w:cs="仿宋_GB2312"/>
          <w:color w:val="auto"/>
          <w:spacing w:val="0"/>
          <w:kern w:val="0"/>
          <w:position w:val="0"/>
          <w:sz w:val="32"/>
          <w:szCs w:val="32"/>
          <w:lang w:val="en-US" w:eastAsia="zh-CN" w:bidi="ar-SA"/>
        </w:rPr>
      </w:pPr>
      <w:r>
        <w:rPr>
          <w:rFonts w:hint="eastAsia" w:ascii="宋体" w:hAnsi="宋体" w:eastAsia="仿宋_GB2312" w:cs="仿宋_GB2312"/>
          <w:b w:val="0"/>
          <w:bCs w:val="0"/>
          <w:color w:val="auto"/>
          <w:spacing w:val="0"/>
          <w:position w:val="0"/>
          <w:sz w:val="32"/>
          <w:szCs w:val="32"/>
          <w:lang w:val="en-US" w:eastAsia="zh-CN"/>
        </w:rPr>
        <w:t>4.项目结果。</w:t>
      </w:r>
      <w:r>
        <w:rPr>
          <w:rFonts w:hint="eastAsia" w:ascii="宋体" w:hAnsi="宋体" w:eastAsia="仿宋_GB2312" w:cs="仿宋_GB2312"/>
          <w:color w:val="auto"/>
          <w:spacing w:val="0"/>
          <w:kern w:val="0"/>
          <w:position w:val="0"/>
          <w:sz w:val="32"/>
          <w:szCs w:val="32"/>
          <w:lang w:val="en-US" w:eastAsia="zh-CN" w:bidi="ar-SA"/>
        </w:rPr>
        <w:t>大会顺利召开，并圆满完成了</w:t>
      </w:r>
      <w:r>
        <w:rPr>
          <w:rFonts w:hint="eastAsia" w:ascii="宋体" w:hAnsi="宋体" w:eastAsia="仿宋_GB2312" w:cs="Times New Roman"/>
          <w:color w:val="auto"/>
          <w:spacing w:val="0"/>
          <w:position w:val="0"/>
          <w:sz w:val="32"/>
          <w:szCs w:val="32"/>
          <w:lang w:val="zh-CN" w:eastAsia="zh-CN"/>
        </w:rPr>
        <w:t>2024年中国西部（广元）食品饮料产业发展大会及食品饮料产业投资推介</w:t>
      </w:r>
      <w:r>
        <w:rPr>
          <w:rFonts w:hint="eastAsia" w:ascii="宋体" w:hAnsi="宋体" w:eastAsia="仿宋_GB2312" w:cs="仿宋_GB2312"/>
          <w:color w:val="auto"/>
          <w:spacing w:val="0"/>
          <w:kern w:val="0"/>
          <w:position w:val="0"/>
          <w:sz w:val="32"/>
          <w:szCs w:val="32"/>
          <w:lang w:val="en-US" w:eastAsia="zh-CN" w:bidi="ar-SA"/>
        </w:rPr>
        <w:t>年初预算申报目标绩效任务。</w:t>
      </w:r>
    </w:p>
    <w:p w14:paraId="12962330">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outlineLvl w:val="9"/>
        <w:rPr>
          <w:rFonts w:hint="default" w:ascii="宋体" w:hAnsi="宋体" w:eastAsia="楷体_GB2312" w:cs="Times New Roman"/>
          <w:b w:val="0"/>
          <w:bCs w:val="0"/>
          <w:color w:val="auto"/>
          <w:spacing w:val="0"/>
          <w:position w:val="0"/>
          <w:sz w:val="32"/>
          <w:szCs w:val="32"/>
          <w:lang w:val="zh-CN" w:eastAsia="zh-CN"/>
        </w:rPr>
      </w:pPr>
      <w:r>
        <w:rPr>
          <w:rFonts w:hint="default" w:ascii="宋体" w:hAnsi="宋体" w:eastAsia="楷体_GB2312" w:cs="Times New Roman"/>
          <w:b w:val="0"/>
          <w:bCs w:val="0"/>
          <w:color w:val="auto"/>
          <w:spacing w:val="0"/>
          <w:position w:val="0"/>
          <w:sz w:val="32"/>
          <w:szCs w:val="32"/>
          <w:highlight w:val="none"/>
          <w:u w:val="none"/>
          <w:lang w:val="zh-CN"/>
        </w:rPr>
        <w:t>（二）</w:t>
      </w:r>
      <w:r>
        <w:rPr>
          <w:rFonts w:hint="default" w:ascii="宋体" w:hAnsi="宋体" w:eastAsia="楷体_GB2312" w:cs="Times New Roman"/>
          <w:b w:val="0"/>
          <w:bCs w:val="0"/>
          <w:color w:val="auto"/>
          <w:spacing w:val="0"/>
          <w:position w:val="0"/>
          <w:sz w:val="32"/>
          <w:szCs w:val="32"/>
          <w:highlight w:val="none"/>
          <w:u w:val="none"/>
          <w:lang w:val="en-US" w:eastAsia="zh-CN"/>
        </w:rPr>
        <w:t>专用指标</w:t>
      </w:r>
      <w:r>
        <w:rPr>
          <w:rFonts w:hint="default" w:ascii="宋体" w:hAnsi="宋体" w:eastAsia="楷体_GB2312" w:cs="Times New Roman"/>
          <w:b w:val="0"/>
          <w:bCs w:val="0"/>
          <w:color w:val="auto"/>
          <w:spacing w:val="0"/>
          <w:kern w:val="0"/>
          <w:position w:val="0"/>
          <w:sz w:val="32"/>
          <w:szCs w:val="32"/>
          <w:highlight w:val="none"/>
          <w:shd w:val="clear" w:color="auto" w:fill="FFFFFF"/>
          <w:lang w:val="zh-CN"/>
        </w:rPr>
        <w:t>绩效分析</w:t>
      </w:r>
    </w:p>
    <w:p w14:paraId="7EC5030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宋体" w:hAnsi="宋体" w:eastAsia="仿宋_GB2312" w:cs="Times New Roman"/>
          <w:color w:val="auto"/>
          <w:spacing w:val="0"/>
          <w:position w:val="0"/>
          <w:sz w:val="32"/>
          <w:szCs w:val="32"/>
        </w:rPr>
      </w:pPr>
      <w:r>
        <w:rPr>
          <w:rFonts w:hint="eastAsia" w:ascii="宋体" w:hAnsi="宋体" w:eastAsia="仿宋_GB2312" w:cs="仿宋_GB2312"/>
          <w:b w:val="0"/>
          <w:bCs w:val="0"/>
          <w:color w:val="auto"/>
          <w:spacing w:val="0"/>
          <w:position w:val="0"/>
          <w:sz w:val="32"/>
          <w:szCs w:val="32"/>
          <w:lang w:val="en-US" w:eastAsia="zh-CN"/>
        </w:rPr>
        <w:t>1.产业发展类。</w:t>
      </w:r>
      <w:r>
        <w:rPr>
          <w:rFonts w:hint="eastAsia" w:ascii="宋体" w:hAnsi="宋体" w:eastAsia="仿宋_GB2312" w:cs="Times New Roman"/>
          <w:color w:val="auto"/>
          <w:spacing w:val="0"/>
          <w:position w:val="0"/>
          <w:sz w:val="32"/>
          <w:szCs w:val="32"/>
          <w:lang w:eastAsia="zh-CN"/>
        </w:rPr>
        <w:t>通过项目实施，</w:t>
      </w:r>
      <w:r>
        <w:rPr>
          <w:rFonts w:hint="eastAsia" w:ascii="宋体" w:hAnsi="宋体" w:eastAsia="仿宋_GB2312" w:cs="Times New Roman"/>
          <w:color w:val="auto"/>
          <w:spacing w:val="0"/>
          <w:position w:val="0"/>
          <w:sz w:val="32"/>
          <w:szCs w:val="32"/>
        </w:rPr>
        <w:t>全面推动全市招商工作，促进广元本地经济发展，提高劳动就业率，促进社会稳定、和谐。</w:t>
      </w:r>
    </w:p>
    <w:p w14:paraId="4A1F760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宋体" w:hAnsi="宋体" w:eastAsia="仿宋_GB2312" w:cs="Times New Roman"/>
          <w:b w:val="0"/>
          <w:bCs w:val="0"/>
          <w:color w:val="auto"/>
          <w:spacing w:val="0"/>
          <w:position w:val="0"/>
          <w:sz w:val="32"/>
          <w:szCs w:val="32"/>
          <w:lang w:val="en-US" w:eastAsia="zh-CN"/>
        </w:rPr>
      </w:pPr>
      <w:r>
        <w:rPr>
          <w:rFonts w:hint="eastAsia" w:ascii="宋体" w:hAnsi="宋体" w:eastAsia="仿宋_GB2312" w:cs="仿宋_GB2312"/>
          <w:b w:val="0"/>
          <w:bCs w:val="0"/>
          <w:color w:val="auto"/>
          <w:spacing w:val="0"/>
          <w:position w:val="0"/>
          <w:sz w:val="32"/>
          <w:szCs w:val="32"/>
          <w:lang w:val="en-US" w:eastAsia="zh-CN"/>
        </w:rPr>
        <w:t>2.</w:t>
      </w:r>
      <w:r>
        <w:rPr>
          <w:rFonts w:hint="eastAsia" w:ascii="宋体" w:hAnsi="宋体" w:eastAsia="仿宋_GB2312" w:cs="仿宋_GB2312"/>
          <w:b w:val="0"/>
          <w:bCs w:val="0"/>
          <w:color w:val="auto"/>
          <w:spacing w:val="0"/>
          <w:position w:val="0"/>
          <w:sz w:val="32"/>
          <w:szCs w:val="32"/>
          <w:lang w:val="zh-CN" w:eastAsia="zh-CN"/>
        </w:rPr>
        <w:t>民生保障</w:t>
      </w:r>
      <w:r>
        <w:rPr>
          <w:rFonts w:hint="eastAsia" w:ascii="宋体" w:hAnsi="宋体" w:eastAsia="仿宋_GB2312" w:cs="仿宋_GB2312"/>
          <w:b w:val="0"/>
          <w:bCs w:val="0"/>
          <w:color w:val="auto"/>
          <w:spacing w:val="0"/>
          <w:position w:val="0"/>
          <w:sz w:val="32"/>
          <w:szCs w:val="32"/>
          <w:lang w:val="en-US" w:eastAsia="zh-CN"/>
        </w:rPr>
        <w:t>类</w:t>
      </w:r>
      <w:r>
        <w:rPr>
          <w:rFonts w:hint="eastAsia" w:ascii="宋体" w:hAnsi="宋体" w:eastAsia="仿宋_GB2312" w:cs="仿宋_GB2312"/>
          <w:b w:val="0"/>
          <w:bCs w:val="0"/>
          <w:color w:val="auto"/>
          <w:spacing w:val="0"/>
          <w:position w:val="0"/>
          <w:sz w:val="32"/>
          <w:szCs w:val="32"/>
          <w:lang w:val="zh-CN" w:eastAsia="zh-CN"/>
        </w:rPr>
        <w:t>。</w:t>
      </w:r>
      <w:r>
        <w:rPr>
          <w:rFonts w:hint="eastAsia" w:ascii="宋体" w:hAnsi="宋体" w:eastAsia="仿宋_GB2312" w:cs="Times New Roman"/>
          <w:color w:val="auto"/>
          <w:spacing w:val="0"/>
          <w:position w:val="0"/>
          <w:sz w:val="32"/>
          <w:szCs w:val="32"/>
          <w:lang w:val="zh-CN" w:eastAsia="zh-CN"/>
        </w:rPr>
        <w:t>通过该项目实施，促进项目投资落地，促进</w:t>
      </w:r>
      <w:r>
        <w:rPr>
          <w:rFonts w:hint="eastAsia" w:ascii="宋体" w:hAnsi="宋体" w:eastAsia="仿宋_GB2312" w:cs="Times New Roman"/>
          <w:color w:val="auto"/>
          <w:spacing w:val="-6"/>
          <w:position w:val="0"/>
          <w:sz w:val="32"/>
          <w:szCs w:val="32"/>
          <w:lang w:val="zh-CN" w:eastAsia="zh-CN"/>
        </w:rPr>
        <w:t>当地经济发展，提高当地居民生活水平，提高群众生活质量满意度。</w:t>
      </w:r>
    </w:p>
    <w:p w14:paraId="1C512416">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宋体" w:hAnsi="宋体" w:eastAsia="黑体" w:cs="Times New Roman"/>
          <w:b w:val="0"/>
          <w:bCs w:val="0"/>
          <w:color w:val="auto"/>
          <w:spacing w:val="0"/>
          <w:kern w:val="0"/>
          <w:position w:val="0"/>
          <w:sz w:val="32"/>
          <w:szCs w:val="32"/>
          <w:highlight w:val="none"/>
          <w:u w:val="none"/>
          <w:lang w:val="en-US" w:eastAsia="en-US" w:bidi="ar-SA"/>
        </w:rPr>
      </w:pPr>
      <w:r>
        <w:rPr>
          <w:rFonts w:hint="default" w:ascii="宋体" w:hAnsi="宋体" w:eastAsia="黑体" w:cs="Times New Roman"/>
          <w:b w:val="0"/>
          <w:bCs w:val="0"/>
          <w:color w:val="auto"/>
          <w:spacing w:val="0"/>
          <w:kern w:val="0"/>
          <w:position w:val="0"/>
          <w:sz w:val="32"/>
          <w:szCs w:val="32"/>
          <w:highlight w:val="none"/>
          <w:u w:val="none"/>
          <w:lang w:val="en-US" w:eastAsia="zh-CN" w:bidi="ar-SA"/>
        </w:rPr>
        <w:t>四</w:t>
      </w:r>
      <w:r>
        <w:rPr>
          <w:rFonts w:hint="default" w:ascii="宋体" w:hAnsi="宋体" w:eastAsia="黑体" w:cs="Times New Roman"/>
          <w:b w:val="0"/>
          <w:bCs w:val="0"/>
          <w:color w:val="auto"/>
          <w:spacing w:val="0"/>
          <w:kern w:val="0"/>
          <w:position w:val="0"/>
          <w:sz w:val="32"/>
          <w:szCs w:val="32"/>
          <w:highlight w:val="none"/>
          <w:u w:val="none"/>
          <w:lang w:val="en-US" w:eastAsia="en-US" w:bidi="ar-SA"/>
        </w:rPr>
        <w:t>、评价结论</w:t>
      </w:r>
    </w:p>
    <w:p w14:paraId="3C915C0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contextualSpacing/>
        <w:jc w:val="both"/>
        <w:textAlignment w:val="auto"/>
        <w:outlineLvl w:val="9"/>
        <w:rPr>
          <w:rFonts w:hint="eastAsia" w:ascii="宋体" w:hAnsi="宋体" w:eastAsia="仿宋_GB2312" w:cs="仿宋_GB2312"/>
          <w:b w:val="0"/>
          <w:bCs w:val="0"/>
          <w:color w:val="auto"/>
          <w:spacing w:val="0"/>
          <w:kern w:val="0"/>
          <w:position w:val="0"/>
          <w:sz w:val="32"/>
          <w:szCs w:val="32"/>
          <w:highlight w:val="none"/>
          <w:u w:val="none"/>
          <w:shd w:val="clear" w:color="auto" w:fill="FFFFFF"/>
          <w:lang w:val="zh-CN"/>
        </w:rPr>
      </w:pPr>
      <w:r>
        <w:rPr>
          <w:rFonts w:hint="eastAsia" w:ascii="宋体" w:hAnsi="宋体" w:eastAsia="仿宋_GB2312" w:cs="宋体"/>
          <w:color w:val="auto"/>
          <w:spacing w:val="0"/>
          <w:kern w:val="0"/>
          <w:position w:val="0"/>
          <w:sz w:val="32"/>
          <w:szCs w:val="32"/>
          <w:shd w:val="clear" w:color="auto" w:fill="FFFFFF"/>
          <w:lang w:val="zh-CN" w:eastAsia="zh-CN"/>
        </w:rPr>
        <w:t>202</w:t>
      </w:r>
      <w:r>
        <w:rPr>
          <w:rFonts w:hint="eastAsia" w:ascii="宋体" w:hAnsi="宋体" w:eastAsia="仿宋_GB2312" w:cs="宋体"/>
          <w:color w:val="auto"/>
          <w:spacing w:val="0"/>
          <w:kern w:val="0"/>
          <w:position w:val="0"/>
          <w:sz w:val="32"/>
          <w:szCs w:val="32"/>
          <w:shd w:val="clear" w:color="auto" w:fill="FFFFFF"/>
          <w:lang w:val="en-US" w:eastAsia="zh-CN"/>
        </w:rPr>
        <w:t>4</w:t>
      </w:r>
      <w:r>
        <w:rPr>
          <w:rFonts w:hint="eastAsia" w:ascii="宋体" w:hAnsi="宋体" w:eastAsia="仿宋_GB2312" w:cs="宋体"/>
          <w:color w:val="auto"/>
          <w:spacing w:val="0"/>
          <w:kern w:val="0"/>
          <w:position w:val="0"/>
          <w:sz w:val="32"/>
          <w:szCs w:val="32"/>
          <w:shd w:val="clear" w:color="auto" w:fill="FFFFFF"/>
          <w:lang w:val="zh-CN" w:eastAsia="zh-CN"/>
        </w:rPr>
        <w:t>年我单位</w:t>
      </w:r>
      <w:r>
        <w:rPr>
          <w:rFonts w:hint="eastAsia" w:ascii="宋体" w:hAnsi="宋体" w:eastAsia="仿宋_GB2312" w:cs="Times New Roman"/>
          <w:color w:val="auto"/>
          <w:spacing w:val="0"/>
          <w:position w:val="0"/>
          <w:sz w:val="32"/>
          <w:szCs w:val="32"/>
          <w:lang w:val="zh-CN" w:eastAsia="zh-CN"/>
        </w:rPr>
        <w:t>2024年中国西部（广元）食品饮料产业发展大会及食品饮料产业投资推介</w:t>
      </w:r>
      <w:r>
        <w:rPr>
          <w:rFonts w:hint="eastAsia" w:ascii="宋体" w:hAnsi="宋体" w:eastAsia="仿宋_GB2312" w:cs="宋体"/>
          <w:color w:val="auto"/>
          <w:spacing w:val="0"/>
          <w:kern w:val="0"/>
          <w:position w:val="0"/>
          <w:sz w:val="32"/>
          <w:szCs w:val="32"/>
          <w:shd w:val="clear" w:color="auto" w:fill="FFFFFF"/>
          <w:lang w:val="zh-CN" w:eastAsia="zh-CN"/>
        </w:rPr>
        <w:t>专项资金支出绩效自查自评结果良好，基本支出保证了大会的顺利召开，保障了重点专项工作的开展，按照202</w:t>
      </w:r>
      <w:r>
        <w:rPr>
          <w:rFonts w:hint="eastAsia" w:ascii="宋体" w:hAnsi="宋体" w:eastAsia="仿宋_GB2312" w:cs="宋体"/>
          <w:color w:val="auto"/>
          <w:spacing w:val="0"/>
          <w:kern w:val="0"/>
          <w:position w:val="0"/>
          <w:sz w:val="32"/>
          <w:szCs w:val="32"/>
          <w:shd w:val="clear" w:color="auto" w:fill="FFFFFF"/>
          <w:lang w:val="en-US" w:eastAsia="zh-CN"/>
        </w:rPr>
        <w:t>4</w:t>
      </w:r>
      <w:r>
        <w:rPr>
          <w:rFonts w:hint="eastAsia" w:ascii="宋体" w:hAnsi="宋体" w:eastAsia="仿宋_GB2312" w:cs="宋体"/>
          <w:color w:val="auto"/>
          <w:spacing w:val="0"/>
          <w:kern w:val="0"/>
          <w:position w:val="0"/>
          <w:sz w:val="32"/>
          <w:szCs w:val="32"/>
          <w:shd w:val="clear" w:color="auto" w:fill="FFFFFF"/>
          <w:lang w:val="zh-CN" w:eastAsia="zh-CN"/>
        </w:rPr>
        <w:t>年度部门</w:t>
      </w:r>
      <w:r>
        <w:rPr>
          <w:rFonts w:hint="eastAsia" w:ascii="宋体" w:hAnsi="宋体" w:eastAsia="仿宋_GB2312" w:cs="Times New Roman"/>
          <w:color w:val="auto"/>
          <w:spacing w:val="0"/>
          <w:position w:val="0"/>
          <w:sz w:val="32"/>
          <w:szCs w:val="32"/>
          <w:lang w:val="zh-CN" w:eastAsia="zh-CN"/>
        </w:rPr>
        <w:t>2024年中国西部（广元）食品饮料产业发展大会及食品饮料产业投资推介</w:t>
      </w:r>
      <w:r>
        <w:rPr>
          <w:rFonts w:hint="eastAsia" w:ascii="宋体" w:hAnsi="宋体" w:eastAsia="仿宋_GB2312" w:cs="宋体"/>
          <w:color w:val="auto"/>
          <w:spacing w:val="0"/>
          <w:kern w:val="0"/>
          <w:position w:val="0"/>
          <w:sz w:val="32"/>
          <w:szCs w:val="32"/>
          <w:shd w:val="clear" w:color="auto" w:fill="FFFFFF"/>
          <w:lang w:val="zh-CN" w:eastAsia="zh-CN"/>
        </w:rPr>
        <w:t>专项资金支出绩效评价指标体系对我单位预算编制、预算执行、完成结果、信息公开、整改反馈等方面进行了自评，最终得分</w:t>
      </w:r>
      <w:r>
        <w:rPr>
          <w:rFonts w:hint="eastAsia" w:ascii="宋体" w:hAnsi="宋体" w:eastAsia="仿宋_GB2312" w:cs="宋体"/>
          <w:color w:val="auto"/>
          <w:spacing w:val="0"/>
          <w:kern w:val="0"/>
          <w:position w:val="0"/>
          <w:sz w:val="32"/>
          <w:szCs w:val="32"/>
          <w:shd w:val="clear" w:color="auto" w:fill="FFFFFF"/>
          <w:lang w:val="en-US" w:eastAsia="zh-CN"/>
        </w:rPr>
        <w:t>100</w:t>
      </w:r>
      <w:r>
        <w:rPr>
          <w:rFonts w:hint="eastAsia" w:ascii="宋体" w:hAnsi="宋体" w:eastAsia="仿宋_GB2312" w:cs="宋体"/>
          <w:color w:val="auto"/>
          <w:spacing w:val="0"/>
          <w:kern w:val="0"/>
          <w:position w:val="0"/>
          <w:sz w:val="32"/>
          <w:szCs w:val="32"/>
          <w:shd w:val="clear" w:color="auto" w:fill="FFFFFF"/>
          <w:lang w:val="zh-CN" w:eastAsia="zh-CN"/>
        </w:rPr>
        <w:t>分。</w:t>
      </w:r>
    </w:p>
    <w:p w14:paraId="3E48142F">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宋体" w:hAnsi="宋体" w:eastAsia="黑体" w:cs="Times New Roman"/>
          <w:b w:val="0"/>
          <w:bCs w:val="0"/>
          <w:color w:val="auto"/>
          <w:spacing w:val="0"/>
          <w:kern w:val="0"/>
          <w:position w:val="0"/>
          <w:sz w:val="32"/>
          <w:szCs w:val="32"/>
          <w:highlight w:val="none"/>
          <w:u w:val="none"/>
          <w:lang w:val="en-US" w:eastAsia="zh-CN" w:bidi="ar-SA"/>
        </w:rPr>
      </w:pPr>
      <w:r>
        <w:rPr>
          <w:rFonts w:hint="default" w:ascii="宋体" w:hAnsi="宋体" w:eastAsia="黑体" w:cs="Times New Roman"/>
          <w:b w:val="0"/>
          <w:bCs w:val="0"/>
          <w:color w:val="auto"/>
          <w:spacing w:val="0"/>
          <w:kern w:val="0"/>
          <w:position w:val="0"/>
          <w:sz w:val="32"/>
          <w:szCs w:val="32"/>
          <w:highlight w:val="none"/>
          <w:u w:val="none"/>
          <w:lang w:val="en-US" w:eastAsia="zh-CN" w:bidi="ar-SA"/>
        </w:rPr>
        <w:t>五、存在主要问题</w:t>
      </w:r>
    </w:p>
    <w:p w14:paraId="4103F4E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19" w:firstLineChars="208"/>
        <w:jc w:val="both"/>
        <w:textAlignment w:val="auto"/>
        <w:outlineLvl w:val="9"/>
        <w:rPr>
          <w:rFonts w:hint="eastAsia" w:ascii="宋体" w:hAnsi="宋体" w:eastAsia="仿宋_GB2312" w:cs="黑体"/>
          <w:b w:val="0"/>
          <w:bCs w:val="0"/>
          <w:color w:val="auto"/>
          <w:spacing w:val="-11"/>
          <w:kern w:val="2"/>
          <w:position w:val="0"/>
          <w:sz w:val="32"/>
          <w:szCs w:val="32"/>
          <w:highlight w:val="none"/>
          <w:lang w:val="en-US" w:eastAsia="zh-CN" w:bidi="ar-SA"/>
        </w:rPr>
      </w:pPr>
      <w:r>
        <w:rPr>
          <w:rFonts w:hint="eastAsia" w:ascii="宋体" w:hAnsi="宋体" w:eastAsia="仿宋_GB2312" w:cs="仿宋_GB2312"/>
          <w:b w:val="0"/>
          <w:bCs w:val="0"/>
          <w:color w:val="auto"/>
          <w:spacing w:val="-11"/>
          <w:kern w:val="0"/>
          <w:position w:val="0"/>
          <w:sz w:val="32"/>
          <w:szCs w:val="32"/>
          <w:lang w:val="zh-CN" w:eastAsia="zh-CN" w:bidi="ar-SA"/>
        </w:rPr>
        <w:t>预算绩效管理需进一步加强，设定的绩效目标还不够科学精准</w:t>
      </w:r>
      <w:r>
        <w:rPr>
          <w:rFonts w:hint="eastAsia" w:ascii="宋体" w:hAnsi="宋体" w:eastAsia="仿宋_GB2312" w:cs="仿宋_GB2312"/>
          <w:b w:val="0"/>
          <w:bCs w:val="0"/>
          <w:color w:val="auto"/>
          <w:spacing w:val="-11"/>
          <w:kern w:val="0"/>
          <w:position w:val="0"/>
          <w:sz w:val="32"/>
          <w:szCs w:val="32"/>
          <w:highlight w:val="none"/>
          <w:lang w:val="en-US" w:eastAsia="zh-CN" w:bidi="ar-SA"/>
        </w:rPr>
        <w:t>。</w:t>
      </w:r>
    </w:p>
    <w:p w14:paraId="7D1D7995">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default" w:ascii="宋体" w:hAnsi="宋体" w:eastAsia="黑体" w:cs="Times New Roman"/>
          <w:b w:val="0"/>
          <w:bCs w:val="0"/>
          <w:color w:val="auto"/>
          <w:spacing w:val="0"/>
          <w:kern w:val="0"/>
          <w:position w:val="0"/>
          <w:sz w:val="32"/>
          <w:szCs w:val="32"/>
          <w:highlight w:val="none"/>
          <w:u w:val="none"/>
          <w:lang w:val="zh-CN" w:eastAsia="zh-CN" w:bidi="ar-SA"/>
        </w:rPr>
      </w:pPr>
      <w:r>
        <w:rPr>
          <w:rFonts w:hint="default" w:ascii="宋体" w:hAnsi="宋体" w:eastAsia="黑体" w:cs="Times New Roman"/>
          <w:b w:val="0"/>
          <w:bCs w:val="0"/>
          <w:color w:val="auto"/>
          <w:spacing w:val="0"/>
          <w:kern w:val="0"/>
          <w:position w:val="0"/>
          <w:sz w:val="32"/>
          <w:szCs w:val="32"/>
          <w:highlight w:val="none"/>
          <w:u w:val="none"/>
          <w:lang w:val="zh-CN" w:eastAsia="zh-CN" w:bidi="ar-SA"/>
        </w:rPr>
        <w:t>六、改进建议</w:t>
      </w:r>
    </w:p>
    <w:p w14:paraId="6FC074D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仿宋_GB2312" w:cs="仿宋_GB2312"/>
          <w:i w:val="0"/>
          <w:iCs w:val="0"/>
          <w:caps w:val="0"/>
          <w:color w:val="auto"/>
          <w:spacing w:val="0"/>
          <w:position w:val="0"/>
          <w:sz w:val="32"/>
          <w:szCs w:val="32"/>
          <w:shd w:val="clear" w:color="auto" w:fill="FFFFFF"/>
        </w:rPr>
      </w:pPr>
      <w:r>
        <w:rPr>
          <w:rFonts w:hint="default" w:ascii="宋体" w:hAnsi="宋体" w:eastAsia="仿宋_GB2312" w:cs="仿宋_GB2312"/>
          <w:i w:val="0"/>
          <w:iCs w:val="0"/>
          <w:caps w:val="0"/>
          <w:color w:val="auto"/>
          <w:spacing w:val="0"/>
          <w:position w:val="0"/>
          <w:sz w:val="32"/>
          <w:szCs w:val="32"/>
          <w:shd w:val="clear" w:color="auto" w:fill="FFFFFF"/>
        </w:rPr>
        <w:t>进一步健全和完善财务管理制度及内部控制制度，创新管理手段，用新思路、新方法，改进完善财务管理方法。</w:t>
      </w:r>
    </w:p>
    <w:p w14:paraId="5820ECAB">
      <w:pPr>
        <w:keepNext w:val="0"/>
        <w:keepLines w:val="0"/>
        <w:pageBreakBefore w:val="0"/>
        <w:widowControl w:val="0"/>
        <w:kinsoku/>
        <w:wordWrap/>
        <w:overflowPunct/>
        <w:topLinePunct w:val="0"/>
        <w:autoSpaceDE/>
        <w:autoSpaceDN/>
        <w:bidi w:val="0"/>
        <w:adjustRightInd/>
        <w:snapToGrid w:val="0"/>
        <w:spacing w:line="576" w:lineRule="exact"/>
        <w:ind w:left="0" w:leftChars="0" w:firstLine="640" w:firstLineChars="200"/>
        <w:textAlignment w:val="auto"/>
        <w:outlineLvl w:val="9"/>
        <w:rPr>
          <w:rFonts w:hint="default" w:ascii="宋体" w:hAnsi="宋体" w:eastAsia="仿宋_GB2312" w:cs="Times New Roman"/>
          <w:b w:val="0"/>
          <w:bCs w:val="0"/>
          <w:color w:val="auto"/>
          <w:spacing w:val="0"/>
          <w:kern w:val="0"/>
          <w:position w:val="0"/>
          <w:sz w:val="32"/>
          <w:szCs w:val="32"/>
          <w:highlight w:val="none"/>
          <w:shd w:val="clear" w:color="auto" w:fill="FFFFFF"/>
          <w:lang w:val="zh-CN" w:eastAsia="zh-CN"/>
        </w:rPr>
      </w:pPr>
    </w:p>
    <w:p w14:paraId="15B0794A">
      <w:pPr>
        <w:pStyle w:val="14"/>
        <w:rPr>
          <w:rFonts w:hint="eastAsia" w:eastAsia="仿宋_GB2312" w:cs="仿宋_GB2312"/>
          <w:kern w:val="0"/>
          <w:sz w:val="32"/>
          <w:szCs w:val="32"/>
        </w:rPr>
      </w:pPr>
    </w:p>
    <w:p w14:paraId="02D26B1F">
      <w:pPr>
        <w:pStyle w:val="14"/>
        <w:rPr>
          <w:rFonts w:hint="eastAsia" w:eastAsia="仿宋_GB2312" w:cs="仿宋_GB2312"/>
          <w:kern w:val="0"/>
          <w:sz w:val="32"/>
          <w:szCs w:val="32"/>
        </w:rPr>
      </w:pPr>
    </w:p>
    <w:p w14:paraId="3A53250F">
      <w:pPr>
        <w:pStyle w:val="14"/>
        <w:rPr>
          <w:rFonts w:hint="eastAsia" w:eastAsia="仿宋_GB2312" w:cs="仿宋_GB2312"/>
          <w:kern w:val="0"/>
          <w:sz w:val="32"/>
          <w:szCs w:val="32"/>
        </w:rPr>
      </w:pPr>
    </w:p>
    <w:p w14:paraId="080C1AEB">
      <w:pPr>
        <w:pStyle w:val="14"/>
        <w:rPr>
          <w:rFonts w:hint="eastAsia" w:eastAsia="仿宋_GB2312" w:cs="仿宋_GB2312"/>
          <w:kern w:val="0"/>
          <w:sz w:val="32"/>
          <w:szCs w:val="32"/>
        </w:rPr>
      </w:pPr>
    </w:p>
    <w:p w14:paraId="615629DF">
      <w:pPr>
        <w:pStyle w:val="14"/>
        <w:rPr>
          <w:rFonts w:hint="eastAsia" w:eastAsia="仿宋_GB2312" w:cs="仿宋_GB2312"/>
          <w:kern w:val="0"/>
          <w:sz w:val="32"/>
          <w:szCs w:val="32"/>
        </w:rPr>
      </w:pPr>
    </w:p>
    <w:p w14:paraId="7A27F2E4">
      <w:pPr>
        <w:rPr>
          <w:rFonts w:hint="eastAsia" w:eastAsia="仿宋_GB2312" w:cs="仿宋_GB2312"/>
          <w:kern w:val="0"/>
          <w:sz w:val="32"/>
          <w:szCs w:val="32"/>
        </w:rPr>
      </w:pPr>
      <w:r>
        <w:rPr>
          <w:rFonts w:hint="eastAsia" w:eastAsia="仿宋_GB2312" w:cs="仿宋_GB2312"/>
          <w:kern w:val="0"/>
          <w:sz w:val="32"/>
          <w:szCs w:val="32"/>
        </w:rPr>
        <w:br w:type="page"/>
      </w:r>
    </w:p>
    <w:p w14:paraId="41416FA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74CEF25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广元市经济合作和外事局</w:t>
      </w:r>
    </w:p>
    <w:p w14:paraId="0185A2D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关于2024年度因公临时出国（境）经费项目</w:t>
      </w:r>
    </w:p>
    <w:p w14:paraId="5D75422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预算绩效自评报告</w:t>
      </w:r>
    </w:p>
    <w:p w14:paraId="1E453A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rPr>
      </w:pPr>
    </w:p>
    <w:p w14:paraId="1FDA7C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宋体" w:hAnsi="宋体" w:eastAsia="黑体" w:cs="Times New Roman"/>
          <w:b w:val="0"/>
          <w:bCs w:val="0"/>
          <w:color w:val="auto"/>
          <w:position w:val="0"/>
          <w:sz w:val="32"/>
          <w:szCs w:val="32"/>
          <w:highlight w:val="none"/>
          <w:lang w:val="zh-CN"/>
        </w:rPr>
      </w:pPr>
      <w:r>
        <w:rPr>
          <w:rFonts w:hint="default" w:ascii="宋体" w:hAnsi="宋体" w:eastAsia="黑体" w:cs="Times New Roman"/>
          <w:b w:val="0"/>
          <w:bCs w:val="0"/>
          <w:color w:val="auto"/>
          <w:position w:val="0"/>
          <w:sz w:val="32"/>
          <w:szCs w:val="32"/>
          <w:highlight w:val="none"/>
        </w:rPr>
        <w:t>一、</w:t>
      </w:r>
      <w:r>
        <w:rPr>
          <w:rFonts w:hint="default" w:ascii="宋体" w:hAnsi="宋体" w:eastAsia="黑体" w:cs="Times New Roman"/>
          <w:b w:val="0"/>
          <w:bCs w:val="0"/>
          <w:color w:val="auto"/>
          <w:position w:val="0"/>
          <w:sz w:val="32"/>
          <w:szCs w:val="32"/>
          <w:highlight w:val="none"/>
          <w:lang w:val="zh-CN"/>
        </w:rPr>
        <w:t>项目概况</w:t>
      </w:r>
    </w:p>
    <w:p w14:paraId="5FE9F378">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default" w:ascii="宋体" w:hAnsi="宋体" w:eastAsia="楷体_GB2312" w:cs="Times New Roman"/>
          <w:b w:val="0"/>
          <w:bCs w:val="0"/>
          <w:color w:val="auto"/>
          <w:position w:val="0"/>
          <w:sz w:val="32"/>
          <w:szCs w:val="32"/>
          <w:highlight w:val="none"/>
          <w:u w:val="none"/>
          <w:lang w:val="zh-CN"/>
        </w:rPr>
      </w:pPr>
      <w:r>
        <w:rPr>
          <w:rFonts w:hint="default" w:ascii="宋体" w:hAnsi="宋体" w:eastAsia="楷体_GB2312" w:cs="Times New Roman"/>
          <w:b w:val="0"/>
          <w:bCs w:val="0"/>
          <w:color w:val="auto"/>
          <w:position w:val="0"/>
          <w:sz w:val="32"/>
          <w:szCs w:val="32"/>
          <w:highlight w:val="none"/>
          <w:u w:val="none"/>
          <w:lang w:val="zh-CN"/>
        </w:rPr>
        <w:t>（一）设立背景及基本情况</w:t>
      </w:r>
    </w:p>
    <w:p w14:paraId="09DF82FB">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default" w:ascii="宋体" w:hAnsi="宋体" w:eastAsia="仿宋_GB2312" w:cs="Times New Roman"/>
          <w:color w:val="auto"/>
          <w:position w:val="0"/>
          <w:sz w:val="32"/>
          <w:szCs w:val="32"/>
          <w:lang w:val="en-US" w:eastAsia="zh-CN"/>
        </w:rPr>
      </w:pPr>
      <w:r>
        <w:rPr>
          <w:rFonts w:hint="eastAsia" w:ascii="宋体" w:hAnsi="宋体" w:eastAsia="楷体_GB2312" w:cs="Times New Roman"/>
          <w:b w:val="0"/>
          <w:bCs w:val="0"/>
          <w:color w:val="auto"/>
          <w:position w:val="0"/>
          <w:sz w:val="32"/>
          <w:szCs w:val="32"/>
          <w:highlight w:val="none"/>
          <w:u w:val="none"/>
          <w:lang w:val="zh-CN"/>
        </w:rPr>
        <w:t>根据</w:t>
      </w:r>
      <w:r>
        <w:rPr>
          <w:rFonts w:hint="eastAsia" w:ascii="宋体" w:hAnsi="宋体" w:eastAsia="仿宋_GB2312" w:cs="Times New Roman"/>
          <w:color w:val="auto"/>
          <w:position w:val="0"/>
          <w:sz w:val="32"/>
          <w:szCs w:val="32"/>
          <w:lang w:val="en-US" w:eastAsia="zh-CN"/>
        </w:rPr>
        <w:t>外事职能职责，我局承担全市厅级干部因公临时出国（境）团组经费安排与计划。根据2024年工作安排，市领导出行4个团组，访问泰国、马来西亚、奥地利、法国、荷兰等国家，并对外开展投资推介活动，以促进友好交流，推介广元，促进广元经济发展。</w:t>
      </w:r>
    </w:p>
    <w:p w14:paraId="38C1EE60">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en-US" w:eastAsia="zh-CN"/>
        </w:rPr>
      </w:pPr>
      <w:r>
        <w:rPr>
          <w:rFonts w:hint="default" w:ascii="宋体" w:hAnsi="宋体" w:eastAsia="楷体_GB2312" w:cs="Times New Roman"/>
          <w:b w:val="0"/>
          <w:bCs w:val="0"/>
          <w:color w:val="auto"/>
          <w:position w:val="0"/>
          <w:sz w:val="32"/>
          <w:szCs w:val="32"/>
          <w:highlight w:val="none"/>
          <w:u w:val="none"/>
          <w:lang w:val="zh-CN"/>
        </w:rPr>
        <w:t>（二）</w:t>
      </w:r>
      <w:r>
        <w:rPr>
          <w:rFonts w:hint="default" w:ascii="宋体" w:hAnsi="宋体" w:eastAsia="楷体_GB2312" w:cs="Times New Roman"/>
          <w:b w:val="0"/>
          <w:bCs w:val="0"/>
          <w:color w:val="auto"/>
          <w:position w:val="0"/>
          <w:sz w:val="32"/>
          <w:szCs w:val="32"/>
          <w:highlight w:val="none"/>
          <w:u w:val="none"/>
          <w:lang w:val="en-US" w:eastAsia="zh-CN"/>
        </w:rPr>
        <w:t>实施目的及支持方向</w:t>
      </w:r>
    </w:p>
    <w:p w14:paraId="7D88BC93">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宋体" w:hAnsi="宋体" w:eastAsia="仿宋_GB2312" w:cs="Times New Roman"/>
          <w:b w:val="0"/>
          <w:bCs w:val="0"/>
          <w:color w:val="auto"/>
          <w:position w:val="0"/>
          <w:sz w:val="32"/>
          <w:szCs w:val="32"/>
          <w:lang w:val="zh-CN"/>
        </w:rPr>
      </w:pPr>
      <w:r>
        <w:rPr>
          <w:rFonts w:hint="eastAsia" w:ascii="宋体" w:hAnsi="宋体" w:eastAsia="仿宋_GB2312" w:cs="仿宋_GB2312"/>
          <w:b w:val="0"/>
          <w:bCs w:val="0"/>
          <w:color w:val="auto"/>
          <w:position w:val="0"/>
          <w:sz w:val="32"/>
          <w:szCs w:val="32"/>
          <w:lang w:val="en-US" w:eastAsia="zh-CN"/>
        </w:rPr>
        <w:t>严格执行《四川省财政厅 中共四川省委外事工作委员会办公室 四川省科学技术厅关于印发&lt;四川省因公临时出国经费管理办法&gt;的通知》</w:t>
      </w:r>
      <w:r>
        <w:rPr>
          <w:rFonts w:hint="eastAsia" w:ascii="宋体" w:hAnsi="宋体" w:eastAsia="仿宋_GB2312" w:cs="Times New Roman"/>
          <w:b w:val="0"/>
          <w:bCs w:val="0"/>
          <w:color w:val="auto"/>
          <w:position w:val="0"/>
          <w:sz w:val="32"/>
          <w:szCs w:val="32"/>
          <w:lang w:val="zh-CN"/>
        </w:rPr>
        <w:t>（川</w:t>
      </w:r>
      <w:r>
        <w:rPr>
          <w:rFonts w:hint="eastAsia" w:ascii="宋体" w:hAnsi="宋体" w:eastAsia="仿宋_GB2312" w:cs="仿宋_GB2312"/>
          <w:b w:val="0"/>
          <w:bCs w:val="0"/>
          <w:color w:val="auto"/>
          <w:position w:val="0"/>
          <w:sz w:val="32"/>
          <w:szCs w:val="32"/>
          <w:lang w:val="en-US" w:eastAsia="zh-CN"/>
        </w:rPr>
        <w:t>财行</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2019</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80号）等一系列管理办法，并</w:t>
      </w:r>
      <w:r>
        <w:rPr>
          <w:rFonts w:hint="eastAsia" w:ascii="宋体" w:hAnsi="宋体" w:eastAsia="仿宋_GB2312" w:cs="Times New Roman"/>
          <w:b w:val="0"/>
          <w:bCs w:val="0"/>
          <w:color w:val="auto"/>
          <w:position w:val="0"/>
          <w:sz w:val="32"/>
          <w:szCs w:val="32"/>
          <w:lang w:val="zh-CN"/>
        </w:rPr>
        <w:t>严格按照“专款专用，注重实效”的原则进行管理。严格执行</w:t>
      </w:r>
      <w:r>
        <w:rPr>
          <w:rFonts w:hint="eastAsia" w:ascii="宋体" w:hAnsi="宋体" w:eastAsia="仿宋_GB2312" w:cs="Times New Roman"/>
          <w:b w:val="0"/>
          <w:bCs w:val="0"/>
          <w:color w:val="auto"/>
          <w:position w:val="0"/>
          <w:sz w:val="32"/>
          <w:szCs w:val="32"/>
          <w:lang w:val="en-US" w:eastAsia="zh-CN"/>
        </w:rPr>
        <w:t>财务</w:t>
      </w:r>
      <w:r>
        <w:rPr>
          <w:rFonts w:hint="eastAsia" w:ascii="宋体" w:hAnsi="宋体" w:eastAsia="仿宋_GB2312" w:cs="Times New Roman"/>
          <w:b w:val="0"/>
          <w:bCs w:val="0"/>
          <w:color w:val="auto"/>
          <w:position w:val="0"/>
          <w:sz w:val="32"/>
          <w:szCs w:val="32"/>
          <w:lang w:val="zh-CN"/>
        </w:rPr>
        <w:t>管理及资金支付制度，从制度上为规范资金管理提供保障，</w:t>
      </w:r>
      <w:r>
        <w:rPr>
          <w:rFonts w:hint="eastAsia" w:ascii="宋体" w:hAnsi="宋体" w:eastAsia="仿宋_GB2312" w:cs="Times New Roman"/>
          <w:b w:val="0"/>
          <w:bCs w:val="0"/>
          <w:color w:val="auto"/>
          <w:position w:val="0"/>
          <w:sz w:val="32"/>
          <w:szCs w:val="32"/>
          <w:lang w:val="zh-CN" w:eastAsia="zh-CN"/>
        </w:rPr>
        <w:t>保证了</w:t>
      </w:r>
      <w:r>
        <w:rPr>
          <w:rFonts w:hint="eastAsia" w:ascii="宋体" w:hAnsi="宋体" w:eastAsia="仿宋_GB2312" w:cs="Times New Roman"/>
          <w:b w:val="0"/>
          <w:bCs w:val="0"/>
          <w:color w:val="auto"/>
          <w:position w:val="0"/>
          <w:sz w:val="32"/>
          <w:szCs w:val="32"/>
          <w:lang w:val="zh-CN"/>
        </w:rPr>
        <w:t>资金使用管理的规范性、安全性和有效性。</w:t>
      </w:r>
    </w:p>
    <w:p w14:paraId="2D305B84">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default" w:ascii="宋体" w:hAnsi="宋体" w:eastAsia="楷体_GB2312" w:cs="Times New Roman"/>
          <w:b w:val="0"/>
          <w:bCs w:val="0"/>
          <w:color w:val="auto"/>
          <w:position w:val="0"/>
          <w:sz w:val="32"/>
          <w:szCs w:val="32"/>
          <w:highlight w:val="none"/>
          <w:u w:val="none"/>
          <w:lang w:val="en-US" w:eastAsia="zh-CN"/>
        </w:rPr>
      </w:pPr>
      <w:r>
        <w:rPr>
          <w:rFonts w:hint="default" w:ascii="宋体" w:hAnsi="宋体" w:eastAsia="楷体_GB2312" w:cs="Times New Roman"/>
          <w:b w:val="0"/>
          <w:bCs w:val="0"/>
          <w:color w:val="auto"/>
          <w:position w:val="0"/>
          <w:sz w:val="32"/>
          <w:szCs w:val="32"/>
          <w:highlight w:val="none"/>
          <w:u w:val="none"/>
          <w:lang w:val="zh-CN" w:eastAsia="zh-CN"/>
        </w:rPr>
        <w:t>（</w:t>
      </w:r>
      <w:r>
        <w:rPr>
          <w:rFonts w:hint="eastAsia" w:ascii="宋体" w:hAnsi="宋体" w:eastAsia="楷体_GB2312" w:cs="Times New Roman"/>
          <w:b w:val="0"/>
          <w:bCs w:val="0"/>
          <w:color w:val="auto"/>
          <w:position w:val="0"/>
          <w:sz w:val="32"/>
          <w:szCs w:val="32"/>
          <w:highlight w:val="none"/>
          <w:u w:val="none"/>
          <w:lang w:val="zh-CN" w:eastAsia="zh-CN"/>
        </w:rPr>
        <w:t>三</w:t>
      </w:r>
      <w:r>
        <w:rPr>
          <w:rFonts w:hint="default" w:ascii="宋体" w:hAnsi="宋体" w:eastAsia="楷体_GB2312" w:cs="Times New Roman"/>
          <w:b w:val="0"/>
          <w:bCs w:val="0"/>
          <w:color w:val="auto"/>
          <w:position w:val="0"/>
          <w:sz w:val="32"/>
          <w:szCs w:val="32"/>
          <w:highlight w:val="none"/>
          <w:u w:val="none"/>
          <w:lang w:val="zh-CN" w:eastAsia="zh-CN"/>
        </w:rPr>
        <w:t>）</w:t>
      </w:r>
      <w:r>
        <w:rPr>
          <w:rFonts w:hint="default" w:ascii="宋体" w:hAnsi="宋体" w:eastAsia="楷体_GB2312" w:cs="Times New Roman"/>
          <w:b w:val="0"/>
          <w:bCs w:val="0"/>
          <w:color w:val="auto"/>
          <w:position w:val="0"/>
          <w:sz w:val="32"/>
          <w:szCs w:val="32"/>
          <w:highlight w:val="none"/>
          <w:u w:val="none"/>
          <w:lang w:val="en-US" w:eastAsia="zh-CN"/>
        </w:rPr>
        <w:t>预算安排及分配管理</w:t>
      </w:r>
    </w:p>
    <w:p w14:paraId="4BF61631">
      <w:pPr>
        <w:keepNext w:val="0"/>
        <w:keepLines w:val="0"/>
        <w:pageBreakBefore w:val="0"/>
        <w:widowControl w:val="0"/>
        <w:pBdr>
          <w:top w:val="none" w:color="auto" w:sz="0" w:space="1"/>
          <w:left w:val="none" w:color="auto" w:sz="0" w:space="4"/>
          <w:bottom w:val="none" w:color="FF0000" w:sz="0" w:space="1"/>
          <w:right w:val="none" w:color="auto" w:sz="0" w:space="4"/>
          <w:between w:val="none" w:color="auto" w:sz="0" w:space="0"/>
        </w:pBdr>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eastAsia" w:ascii="宋体" w:hAnsi="宋体" w:eastAsia="仿宋_GB2312" w:cs="仿宋_GB2312"/>
          <w:b w:val="0"/>
          <w:bCs w:val="0"/>
          <w:color w:val="auto"/>
          <w:position w:val="0"/>
          <w:sz w:val="32"/>
          <w:szCs w:val="32"/>
          <w:lang w:val="en-US" w:eastAsia="zh-CN"/>
        </w:rPr>
      </w:pPr>
      <w:r>
        <w:rPr>
          <w:rFonts w:hint="eastAsia" w:ascii="宋体" w:hAnsi="宋体" w:eastAsia="仿宋_GB2312" w:cs="仿宋_GB2312"/>
          <w:color w:val="auto"/>
          <w:kern w:val="0"/>
          <w:position w:val="0"/>
          <w:sz w:val="32"/>
          <w:szCs w:val="32"/>
          <w:highlight w:val="none"/>
          <w:u w:val="none"/>
          <w:shd w:val="clear" w:color="auto" w:fill="FFFFFF"/>
          <w:lang w:val="zh-CN" w:eastAsia="zh-CN"/>
        </w:rPr>
        <w:t>根据</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《中共广元市委关于中共广元市委书记何树平等6人出访泰国马来西亚开展经贸文旅交流活动的请示》</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（广委函〔</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2024</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23号</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广元市人民政府关于董里同志等6人</w:t>
      </w:r>
      <w:r>
        <w:rPr>
          <w:rFonts w:hint="default" w:ascii="宋体" w:hAnsi="宋体" w:eastAsia="仿宋_GB2312" w:cs="Times New Roman"/>
          <w:b w:val="0"/>
          <w:bCs w:val="0"/>
          <w:color w:val="auto"/>
          <w:kern w:val="0"/>
          <w:position w:val="0"/>
          <w:sz w:val="32"/>
          <w:szCs w:val="32"/>
          <w:highlight w:val="none"/>
          <w:u w:val="none"/>
          <w:shd w:val="clear" w:color="auto" w:fill="FFFFFF"/>
          <w:lang w:val="en-US" w:eastAsia="zh-CN"/>
        </w:rPr>
        <w:t>赴</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奥地利、比利时</w:t>
      </w:r>
      <w:r>
        <w:rPr>
          <w:rFonts w:hint="default" w:ascii="宋体" w:hAnsi="宋体" w:eastAsia="仿宋_GB2312" w:cs="Times New Roman"/>
          <w:b w:val="0"/>
          <w:bCs w:val="0"/>
          <w:color w:val="auto"/>
          <w:kern w:val="0"/>
          <w:position w:val="0"/>
          <w:sz w:val="32"/>
          <w:szCs w:val="32"/>
          <w:highlight w:val="none"/>
          <w:u w:val="none"/>
          <w:shd w:val="clear" w:color="auto" w:fill="FFFFFF"/>
          <w:lang w:val="en-US"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瑞士开展经贸文旅交流活动的请示</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广府〔2024〕30号</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《中共广元市委关于中共广元市委副书记许国斌等6人赴挪威荷兰开展经贸交流活动的请示》（广委函</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2024</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14号）、《广元市人民政府关于广元市人民政府副市长吴勇等6人赴意大利、西班牙、法国开展经贸交流活动的请示》</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广府〔2024〕30号）</w:t>
      </w:r>
      <w:r>
        <w:rPr>
          <w:rFonts w:hint="eastAsia" w:ascii="宋体" w:hAnsi="宋体" w:eastAsia="仿宋_GB2312" w:cs="仿宋_GB2312"/>
          <w:color w:val="auto"/>
          <w:kern w:val="0"/>
          <w:position w:val="0"/>
          <w:sz w:val="32"/>
          <w:szCs w:val="32"/>
          <w:highlight w:val="none"/>
          <w:u w:val="none"/>
          <w:shd w:val="clear" w:color="auto" w:fill="FFFFFF"/>
          <w:lang w:val="zh-CN" w:eastAsia="zh-CN"/>
        </w:rPr>
        <w:t>精神，按照</w:t>
      </w:r>
      <w:r>
        <w:rPr>
          <w:rFonts w:hint="eastAsia" w:ascii="宋体" w:hAnsi="宋体" w:eastAsia="仿宋_GB2312" w:cs="仿宋_GB2312"/>
          <w:b w:val="0"/>
          <w:bCs w:val="0"/>
          <w:color w:val="auto"/>
          <w:position w:val="0"/>
          <w:sz w:val="32"/>
          <w:szCs w:val="32"/>
          <w:lang w:val="en-US" w:eastAsia="zh-CN"/>
        </w:rPr>
        <w:t>《四川省财政厅 中共四川省委外事工作委员会办公室 四川省科学技术厅关于印发&lt;四川省因公临时出国经费管理办法&gt;的通知》</w:t>
      </w:r>
      <w:r>
        <w:rPr>
          <w:rFonts w:hint="eastAsia" w:ascii="宋体" w:hAnsi="宋体" w:eastAsia="仿宋_GB2312" w:cs="Times New Roman"/>
          <w:b w:val="0"/>
          <w:bCs w:val="0"/>
          <w:color w:val="auto"/>
          <w:position w:val="0"/>
          <w:sz w:val="32"/>
          <w:szCs w:val="32"/>
          <w:lang w:val="zh-CN"/>
        </w:rPr>
        <w:t>（川</w:t>
      </w:r>
      <w:r>
        <w:rPr>
          <w:rFonts w:hint="eastAsia" w:ascii="宋体" w:hAnsi="宋体" w:eastAsia="仿宋_GB2312" w:cs="仿宋_GB2312"/>
          <w:b w:val="0"/>
          <w:bCs w:val="0"/>
          <w:color w:val="auto"/>
          <w:position w:val="0"/>
          <w:sz w:val="32"/>
          <w:szCs w:val="32"/>
          <w:lang w:val="en-US" w:eastAsia="zh-CN"/>
        </w:rPr>
        <w:t>财行</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2019</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80号）相关费用标准，测算项目费用明细，4个团组共计预算费用113.22万元，用于保障出国团组国际旅费、住宿费、伙食费等相关费用支出。</w:t>
      </w:r>
    </w:p>
    <w:p w14:paraId="654D732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宋体" w:hAnsi="宋体" w:eastAsia="楷体_GB2312" w:cs="Times New Roman"/>
          <w:b w:val="0"/>
          <w:bCs w:val="0"/>
          <w:color w:val="auto"/>
          <w:position w:val="0"/>
          <w:sz w:val="32"/>
          <w:szCs w:val="32"/>
          <w:highlight w:val="none"/>
          <w:u w:val="none"/>
          <w:lang w:val="zh-CN" w:eastAsia="zh-CN"/>
        </w:rPr>
      </w:pPr>
      <w:r>
        <w:rPr>
          <w:rFonts w:hint="default" w:ascii="宋体" w:hAnsi="宋体" w:eastAsia="楷体_GB2312" w:cs="Times New Roman"/>
          <w:b w:val="0"/>
          <w:bCs w:val="0"/>
          <w:color w:val="auto"/>
          <w:position w:val="0"/>
          <w:sz w:val="32"/>
          <w:szCs w:val="32"/>
          <w:highlight w:val="none"/>
          <w:u w:val="none"/>
          <w:lang w:val="zh-CN" w:eastAsia="zh-CN"/>
        </w:rPr>
        <w:t>（四）项目绩效目标设置</w:t>
      </w:r>
    </w:p>
    <w:p w14:paraId="0403D30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宋体" w:hAnsi="宋体" w:eastAsia="仿宋_GB2312" w:cs="仿宋_GB2312"/>
          <w:color w:val="auto"/>
          <w:kern w:val="0"/>
          <w:position w:val="0"/>
          <w:sz w:val="32"/>
          <w:szCs w:val="32"/>
          <w:highlight w:val="none"/>
          <w:u w:val="none"/>
          <w:shd w:val="clear" w:color="auto" w:fill="FFFFFF"/>
          <w:lang w:val="zh-CN" w:eastAsia="zh-CN"/>
        </w:rPr>
      </w:pPr>
      <w:r>
        <w:rPr>
          <w:rFonts w:hint="eastAsia" w:ascii="宋体" w:hAnsi="宋体" w:eastAsia="仿宋_GB2312" w:cs="仿宋_GB2312"/>
          <w:b w:val="0"/>
          <w:bCs w:val="0"/>
          <w:color w:val="auto"/>
          <w:kern w:val="0"/>
          <w:position w:val="0"/>
          <w:sz w:val="32"/>
          <w:szCs w:val="32"/>
          <w:highlight w:val="none"/>
          <w:u w:val="none"/>
          <w:shd w:val="clear" w:color="auto" w:fill="FFFFFF"/>
          <w:lang w:val="zh-CN"/>
        </w:rPr>
        <w:t>项目应实现的具体绩效目标，</w:t>
      </w:r>
      <w:r>
        <w:rPr>
          <w:rFonts w:hint="eastAsia" w:ascii="宋体" w:hAnsi="宋体" w:eastAsia="仿宋_GB2312" w:cs="仿宋_GB2312"/>
          <w:b w:val="0"/>
          <w:bCs w:val="0"/>
          <w:color w:val="auto"/>
          <w:kern w:val="0"/>
          <w:position w:val="0"/>
          <w:sz w:val="32"/>
          <w:szCs w:val="32"/>
          <w:highlight w:val="none"/>
          <w:u w:val="none"/>
          <w:shd w:val="clear" w:color="auto" w:fill="FFFFFF"/>
          <w:lang w:val="en-US" w:eastAsia="zh-CN"/>
        </w:rPr>
        <w:t>包括但不限于：提供出国团组15人费用保障，通过在国外开展拜访、交流，开展系列推介活动，推动涉外项目落实，</w:t>
      </w:r>
      <w:r>
        <w:rPr>
          <w:rFonts w:hint="eastAsia" w:ascii="宋体" w:hAnsi="宋体" w:eastAsia="仿宋_GB2312" w:cs="仿宋_GB2312"/>
          <w:bCs/>
          <w:color w:val="auto"/>
          <w:position w:val="0"/>
          <w:sz w:val="32"/>
          <w:szCs w:val="32"/>
          <w:lang w:val="en-US" w:eastAsia="zh-CN" w:bidi="ar-SA"/>
        </w:rPr>
        <w:t>拓展友好资源，</w:t>
      </w:r>
      <w:r>
        <w:rPr>
          <w:rFonts w:hint="eastAsia" w:ascii="宋体" w:hAnsi="宋体" w:eastAsia="仿宋_GB2312" w:cs="仿宋_GB2312"/>
          <w:b w:val="0"/>
          <w:bCs w:val="0"/>
          <w:color w:val="auto"/>
          <w:kern w:val="0"/>
          <w:position w:val="0"/>
          <w:sz w:val="32"/>
          <w:szCs w:val="32"/>
          <w:highlight w:val="none"/>
          <w:u w:val="none"/>
          <w:shd w:val="clear" w:color="auto" w:fill="FFFFFF"/>
          <w:lang w:val="en-US" w:eastAsia="zh-CN"/>
        </w:rPr>
        <w:t>促进国际交流，</w:t>
      </w:r>
      <w:r>
        <w:rPr>
          <w:rFonts w:hint="eastAsia" w:ascii="宋体" w:hAnsi="宋体" w:eastAsia="仿宋_GB2312" w:cs="仿宋_GB2312"/>
          <w:bCs/>
          <w:color w:val="auto"/>
          <w:position w:val="0"/>
          <w:sz w:val="32"/>
          <w:szCs w:val="32"/>
          <w:lang w:val="en-US" w:eastAsia="zh-CN" w:bidi="ar-SA"/>
        </w:rPr>
        <w:t>提升开放合作水平</w:t>
      </w:r>
      <w:r>
        <w:rPr>
          <w:rFonts w:hint="eastAsia" w:ascii="宋体" w:hAnsi="宋体" w:eastAsia="仿宋_GB2312" w:cs="仿宋_GB2312"/>
          <w:b w:val="0"/>
          <w:bCs w:val="0"/>
          <w:color w:val="auto"/>
          <w:kern w:val="0"/>
          <w:position w:val="0"/>
          <w:sz w:val="32"/>
          <w:szCs w:val="32"/>
          <w:highlight w:val="none"/>
          <w:u w:val="none"/>
          <w:shd w:val="clear" w:color="auto" w:fill="FFFFFF"/>
          <w:lang w:val="en-US" w:eastAsia="zh-CN"/>
        </w:rPr>
        <w:t>。</w:t>
      </w:r>
    </w:p>
    <w:p w14:paraId="5E144DF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default" w:ascii="宋体" w:hAnsi="宋体" w:eastAsia="黑体" w:cs="Times New Roman"/>
          <w:b w:val="0"/>
          <w:bCs w:val="0"/>
          <w:color w:val="auto"/>
          <w:position w:val="0"/>
          <w:sz w:val="32"/>
          <w:szCs w:val="32"/>
          <w:highlight w:val="none"/>
          <w:lang w:eastAsia="zh-CN"/>
        </w:rPr>
      </w:pPr>
      <w:r>
        <w:rPr>
          <w:rFonts w:hint="default" w:ascii="宋体" w:hAnsi="宋体" w:eastAsia="黑体" w:cs="Times New Roman"/>
          <w:b w:val="0"/>
          <w:bCs w:val="0"/>
          <w:color w:val="auto"/>
          <w:position w:val="0"/>
          <w:sz w:val="32"/>
          <w:szCs w:val="32"/>
          <w:highlight w:val="none"/>
        </w:rPr>
        <w:t>二、</w:t>
      </w:r>
      <w:r>
        <w:rPr>
          <w:rFonts w:hint="default" w:ascii="宋体" w:hAnsi="宋体" w:eastAsia="黑体" w:cs="Times New Roman"/>
          <w:b w:val="0"/>
          <w:bCs w:val="0"/>
          <w:color w:val="auto"/>
          <w:position w:val="0"/>
          <w:sz w:val="32"/>
          <w:szCs w:val="32"/>
          <w:highlight w:val="none"/>
          <w:lang w:eastAsia="zh-CN"/>
        </w:rPr>
        <w:t>评价实施</w:t>
      </w:r>
    </w:p>
    <w:p w14:paraId="514053F8">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zh-CN"/>
        </w:rPr>
      </w:pPr>
      <w:r>
        <w:rPr>
          <w:rFonts w:hint="default" w:ascii="宋体" w:hAnsi="宋体" w:eastAsia="楷体_GB2312" w:cs="Times New Roman"/>
          <w:b w:val="0"/>
          <w:bCs w:val="0"/>
          <w:color w:val="auto"/>
          <w:position w:val="0"/>
          <w:sz w:val="32"/>
          <w:szCs w:val="32"/>
          <w:highlight w:val="none"/>
          <w:u w:val="none"/>
          <w:lang w:val="zh-CN"/>
        </w:rPr>
        <w:t>（一）评价目的</w:t>
      </w:r>
    </w:p>
    <w:p w14:paraId="7DCAE196">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outlineLvl w:val="9"/>
        <w:rPr>
          <w:rFonts w:hint="eastAsia" w:ascii="宋体" w:hAnsi="宋体" w:eastAsia="仿宋_GB2312" w:cs="Times New Roman"/>
          <w:color w:val="auto"/>
          <w:position w:val="0"/>
          <w:sz w:val="32"/>
          <w:szCs w:val="32"/>
        </w:rPr>
      </w:pPr>
      <w:r>
        <w:rPr>
          <w:rFonts w:hint="eastAsia" w:ascii="宋体" w:hAnsi="宋体" w:eastAsia="仿宋_GB2312" w:cs="Times New Roman"/>
          <w:color w:val="auto"/>
          <w:position w:val="0"/>
          <w:sz w:val="32"/>
          <w:szCs w:val="32"/>
        </w:rPr>
        <w:t>通过对202</w:t>
      </w:r>
      <w:r>
        <w:rPr>
          <w:rFonts w:hint="eastAsia" w:ascii="宋体" w:hAnsi="宋体" w:eastAsia="仿宋_GB2312" w:cs="Times New Roman"/>
          <w:color w:val="auto"/>
          <w:position w:val="0"/>
          <w:sz w:val="32"/>
          <w:szCs w:val="32"/>
          <w:lang w:val="en-US" w:eastAsia="zh-CN"/>
        </w:rPr>
        <w:t>4</w:t>
      </w:r>
      <w:r>
        <w:rPr>
          <w:rFonts w:hint="eastAsia" w:ascii="宋体" w:hAnsi="宋体" w:eastAsia="仿宋_GB2312" w:cs="Times New Roman"/>
          <w:color w:val="auto"/>
          <w:position w:val="0"/>
          <w:sz w:val="32"/>
          <w:szCs w:val="32"/>
        </w:rPr>
        <w:t>年</w:t>
      </w:r>
      <w:r>
        <w:rPr>
          <w:rFonts w:hint="eastAsia" w:ascii="宋体" w:hAnsi="宋体" w:eastAsia="仿宋_GB2312" w:cs="Times New Roman"/>
          <w:color w:val="auto"/>
          <w:position w:val="0"/>
          <w:sz w:val="32"/>
          <w:szCs w:val="32"/>
          <w:lang w:eastAsia="zh-CN"/>
        </w:rPr>
        <w:t>部门预算项目预算</w:t>
      </w:r>
      <w:r>
        <w:rPr>
          <w:rFonts w:hint="eastAsia" w:ascii="宋体" w:hAnsi="宋体" w:eastAsia="仿宋_GB2312" w:cs="Times New Roman"/>
          <w:color w:val="auto"/>
          <w:position w:val="0"/>
          <w:sz w:val="32"/>
          <w:szCs w:val="32"/>
        </w:rPr>
        <w:t>情况的绩效评价，促进部门从整体上提升预算绩效管理工作水平，强化支出责任，规范资金管理行为，提高财政资金使用效益，</w:t>
      </w:r>
      <w:r>
        <w:rPr>
          <w:rFonts w:hint="eastAsia" w:ascii="宋体" w:hAnsi="宋体" w:eastAsia="仿宋_GB2312" w:cs="Times New Roman"/>
          <w:color w:val="auto"/>
          <w:position w:val="0"/>
          <w:sz w:val="32"/>
          <w:szCs w:val="32"/>
          <w:lang w:eastAsia="zh-CN"/>
        </w:rPr>
        <w:t>有力</w:t>
      </w:r>
      <w:r>
        <w:rPr>
          <w:rFonts w:hint="eastAsia" w:ascii="宋体" w:hAnsi="宋体" w:eastAsia="仿宋_GB2312" w:cs="Times New Roman"/>
          <w:color w:val="auto"/>
          <w:position w:val="0"/>
          <w:sz w:val="32"/>
          <w:szCs w:val="32"/>
        </w:rPr>
        <w:t>保障</w:t>
      </w:r>
      <w:r>
        <w:rPr>
          <w:rFonts w:hint="eastAsia" w:ascii="宋体" w:hAnsi="宋体" w:eastAsia="仿宋_GB2312" w:cs="Times New Roman"/>
          <w:color w:val="auto"/>
          <w:position w:val="0"/>
          <w:sz w:val="32"/>
          <w:szCs w:val="32"/>
          <w:lang w:eastAsia="zh-CN"/>
        </w:rPr>
        <w:t>因公出国</w:t>
      </w:r>
      <w:r>
        <w:rPr>
          <w:rFonts w:hint="eastAsia" w:ascii="宋体" w:hAnsi="宋体" w:eastAsia="仿宋_GB2312" w:cs="Times New Roman"/>
          <w:color w:val="auto"/>
          <w:position w:val="0"/>
          <w:sz w:val="32"/>
          <w:szCs w:val="32"/>
        </w:rPr>
        <w:t>各项工作稳步推进。</w:t>
      </w:r>
    </w:p>
    <w:p w14:paraId="1348E737">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宋体" w:hAnsi="宋体" w:eastAsia="仿宋_GB2312" w:cs="Times New Roman"/>
          <w:color w:val="auto"/>
          <w:kern w:val="2"/>
          <w:position w:val="0"/>
          <w:sz w:val="32"/>
          <w:szCs w:val="32"/>
          <w:lang w:val="en-US" w:eastAsia="zh-CN" w:bidi="ar-SA"/>
        </w:rPr>
      </w:pPr>
      <w:r>
        <w:rPr>
          <w:rFonts w:hint="default" w:ascii="宋体" w:hAnsi="宋体" w:eastAsia="楷体_GB2312" w:cs="Times New Roman"/>
          <w:b w:val="0"/>
          <w:bCs w:val="0"/>
          <w:color w:val="auto"/>
          <w:position w:val="0"/>
          <w:sz w:val="32"/>
          <w:szCs w:val="32"/>
          <w:highlight w:val="none"/>
          <w:u w:val="none"/>
          <w:lang w:val="zh-CN"/>
        </w:rPr>
        <w:t>预设问题及评价重点</w:t>
      </w:r>
    </w:p>
    <w:p w14:paraId="02973E3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宋体" w:hAnsi="宋体" w:eastAsia="仿宋_GB2312" w:cs="Times New Roman"/>
          <w:color w:val="auto"/>
          <w:kern w:val="2"/>
          <w:position w:val="0"/>
          <w:sz w:val="32"/>
          <w:szCs w:val="32"/>
          <w:lang w:val="en-US" w:eastAsia="zh-CN" w:bidi="ar-SA"/>
        </w:rPr>
      </w:pPr>
      <w:r>
        <w:rPr>
          <w:rFonts w:hint="eastAsia" w:ascii="宋体" w:hAnsi="宋体" w:eastAsia="仿宋_GB2312" w:cs="仿宋_GB2312"/>
          <w:color w:val="auto"/>
          <w:kern w:val="0"/>
          <w:position w:val="0"/>
          <w:sz w:val="32"/>
          <w:szCs w:val="32"/>
          <w:highlight w:val="none"/>
          <w:u w:val="none"/>
          <w:shd w:val="clear" w:color="auto" w:fill="FFFFFF"/>
          <w:lang w:val="zh-CN" w:eastAsia="zh-CN"/>
        </w:rPr>
        <w:t>根据</w:t>
      </w:r>
      <w:r>
        <w:rPr>
          <w:rFonts w:hint="eastAsia" w:ascii="宋体" w:hAnsi="宋体" w:eastAsia="仿宋_GB2312" w:cs="仿宋_GB2312"/>
          <w:b w:val="0"/>
          <w:bCs w:val="0"/>
          <w:color w:val="auto"/>
          <w:position w:val="0"/>
          <w:sz w:val="32"/>
          <w:szCs w:val="32"/>
          <w:lang w:val="en-US" w:eastAsia="zh-CN"/>
        </w:rPr>
        <w:t>《四川省财政厅 中共四川省委外事工作委员会办公室 四川省科学技术厅关于印发&lt;四川省因公临时出国经费管理办法&gt;的通知》</w:t>
      </w:r>
      <w:r>
        <w:rPr>
          <w:rFonts w:hint="eastAsia" w:ascii="宋体" w:hAnsi="宋体" w:eastAsia="仿宋_GB2312" w:cs="Times New Roman"/>
          <w:b w:val="0"/>
          <w:bCs w:val="0"/>
          <w:color w:val="auto"/>
          <w:position w:val="0"/>
          <w:sz w:val="32"/>
          <w:szCs w:val="32"/>
          <w:lang w:val="zh-CN"/>
        </w:rPr>
        <w:t>（川</w:t>
      </w:r>
      <w:r>
        <w:rPr>
          <w:rFonts w:hint="eastAsia" w:ascii="宋体" w:hAnsi="宋体" w:eastAsia="仿宋_GB2312" w:cs="仿宋_GB2312"/>
          <w:b w:val="0"/>
          <w:bCs w:val="0"/>
          <w:color w:val="auto"/>
          <w:position w:val="0"/>
          <w:sz w:val="32"/>
          <w:szCs w:val="32"/>
          <w:lang w:val="en-US" w:eastAsia="zh-CN"/>
        </w:rPr>
        <w:t>财行</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2019</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80号）精神，严格执行相关费用标准，同时按照</w:t>
      </w:r>
      <w:r>
        <w:rPr>
          <w:rFonts w:hint="eastAsia" w:ascii="宋体" w:hAnsi="宋体" w:eastAsia="仿宋_GB2312" w:cs="Times New Roman"/>
          <w:b w:val="0"/>
          <w:bCs w:val="0"/>
          <w:color w:val="auto"/>
          <w:position w:val="0"/>
          <w:sz w:val="32"/>
          <w:szCs w:val="32"/>
          <w:lang w:val="zh-CN"/>
        </w:rPr>
        <w:t>“专款专用，注重实效”的原则进行管理，</w:t>
      </w:r>
      <w:r>
        <w:rPr>
          <w:rFonts w:hint="eastAsia" w:ascii="宋体" w:hAnsi="宋体" w:eastAsia="仿宋_GB2312" w:cs="Times New Roman"/>
          <w:color w:val="auto"/>
          <w:kern w:val="2"/>
          <w:position w:val="0"/>
          <w:sz w:val="32"/>
          <w:szCs w:val="32"/>
          <w:lang w:val="en-US" w:eastAsia="zh-CN" w:bidi="ar-SA"/>
        </w:rPr>
        <w:t>确保项目高效实施。</w:t>
      </w:r>
    </w:p>
    <w:p w14:paraId="34A91B66">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宋体" w:hAnsi="宋体" w:eastAsia="仿宋_GB2312" w:cs="Times New Roman"/>
          <w:color w:val="auto"/>
          <w:position w:val="0"/>
          <w:sz w:val="32"/>
          <w:szCs w:val="32"/>
          <w:lang w:val="en-US" w:eastAsia="zh-CN"/>
        </w:rPr>
      </w:pPr>
      <w:r>
        <w:rPr>
          <w:rFonts w:hint="default" w:ascii="宋体" w:hAnsi="宋体" w:eastAsia="楷体_GB2312" w:cs="Times New Roman"/>
          <w:b w:val="0"/>
          <w:bCs w:val="0"/>
          <w:color w:val="auto"/>
          <w:position w:val="0"/>
          <w:sz w:val="32"/>
          <w:szCs w:val="32"/>
          <w:highlight w:val="none"/>
          <w:u w:val="none"/>
          <w:lang w:val="zh-CN"/>
        </w:rPr>
        <w:t>评价选点</w:t>
      </w:r>
    </w:p>
    <w:p w14:paraId="5CF4B85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宋体" w:hAnsi="宋体" w:eastAsia="仿宋_GB2312" w:cs="Times New Roman"/>
          <w:color w:val="auto"/>
          <w:position w:val="0"/>
          <w:sz w:val="32"/>
          <w:szCs w:val="32"/>
          <w:lang w:val="en-US" w:eastAsia="zh-CN"/>
        </w:rPr>
      </w:pPr>
      <w:r>
        <w:rPr>
          <w:rFonts w:hint="eastAsia" w:ascii="宋体" w:hAnsi="宋体" w:eastAsia="仿宋_GB2312" w:cs="Times New Roman"/>
          <w:color w:val="auto"/>
          <w:position w:val="0"/>
          <w:sz w:val="32"/>
          <w:szCs w:val="32"/>
          <w:lang w:val="en-US" w:eastAsia="zh-CN"/>
        </w:rPr>
        <w:t>2024年通过出国友好交流情况、事后报告情况、对外推介宣传情况、出国团组满意度情况等的抽查检验，以掌握全年资金运用绩效目标实现情况。</w:t>
      </w:r>
    </w:p>
    <w:p w14:paraId="6CB566F1">
      <w:pPr>
        <w:keepNext w:val="0"/>
        <w:keepLines w:val="0"/>
        <w:pageBreakBefore w:val="0"/>
        <w:widowControl w:val="0"/>
        <w:numPr>
          <w:ilvl w:val="0"/>
          <w:numId w:val="4"/>
        </w:numPr>
        <w:kinsoku/>
        <w:wordWrap/>
        <w:overflowPunct/>
        <w:topLinePunct w:val="0"/>
        <w:autoSpaceDE/>
        <w:autoSpaceDN/>
        <w:bidi w:val="0"/>
        <w:spacing w:line="576" w:lineRule="exact"/>
        <w:ind w:left="0"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zh-CN"/>
        </w:rPr>
      </w:pPr>
      <w:r>
        <w:rPr>
          <w:rFonts w:hint="default" w:ascii="宋体" w:hAnsi="宋体" w:eastAsia="楷体_GB2312" w:cs="Times New Roman"/>
          <w:b w:val="0"/>
          <w:bCs w:val="0"/>
          <w:color w:val="auto"/>
          <w:position w:val="0"/>
          <w:sz w:val="32"/>
          <w:szCs w:val="32"/>
          <w:highlight w:val="none"/>
          <w:u w:val="none"/>
          <w:lang w:val="zh-CN"/>
        </w:rPr>
        <w:t>评价方法</w:t>
      </w:r>
    </w:p>
    <w:p w14:paraId="283F177E">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outlineLvl w:val="9"/>
        <w:rPr>
          <w:rFonts w:hint="eastAsia" w:ascii="宋体" w:hAnsi="宋体" w:eastAsia="仿宋_GB2312" w:cs="Times New Roman"/>
          <w:color w:val="auto"/>
          <w:position w:val="0"/>
          <w:sz w:val="32"/>
          <w:szCs w:val="32"/>
          <w:lang w:eastAsia="zh-CN"/>
        </w:rPr>
      </w:pPr>
      <w:r>
        <w:rPr>
          <w:rFonts w:hint="eastAsia" w:ascii="宋体" w:hAnsi="宋体" w:eastAsia="仿宋_GB2312" w:cs="Times New Roman"/>
          <w:color w:val="auto"/>
          <w:position w:val="0"/>
          <w:sz w:val="32"/>
          <w:szCs w:val="32"/>
          <w:lang w:eastAsia="zh-CN"/>
        </w:rPr>
        <w:t>根据年初绩效申报数据及评价标准，进行数据综合分析，对项目绩效进行自评价，撰写部门自评价报告。</w:t>
      </w:r>
    </w:p>
    <w:p w14:paraId="7C5FBAAA">
      <w:pPr>
        <w:keepNext w:val="0"/>
        <w:keepLines w:val="0"/>
        <w:pageBreakBefore w:val="0"/>
        <w:widowControl w:val="0"/>
        <w:numPr>
          <w:ilvl w:val="0"/>
          <w:numId w:val="4"/>
        </w:numPr>
        <w:kinsoku/>
        <w:wordWrap/>
        <w:overflowPunct/>
        <w:topLinePunct w:val="0"/>
        <w:autoSpaceDE/>
        <w:autoSpaceDN/>
        <w:bidi w:val="0"/>
        <w:spacing w:line="576" w:lineRule="exact"/>
        <w:ind w:left="0"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zh-CN"/>
        </w:rPr>
      </w:pPr>
      <w:r>
        <w:rPr>
          <w:rFonts w:hint="default" w:ascii="宋体" w:hAnsi="宋体" w:eastAsia="楷体_GB2312" w:cs="Times New Roman"/>
          <w:b w:val="0"/>
          <w:bCs w:val="0"/>
          <w:color w:val="auto"/>
          <w:position w:val="0"/>
          <w:sz w:val="32"/>
          <w:szCs w:val="32"/>
          <w:highlight w:val="none"/>
          <w:u w:val="none"/>
          <w:lang w:val="zh-CN"/>
        </w:rPr>
        <w:t>评价组织</w:t>
      </w:r>
    </w:p>
    <w:p w14:paraId="5522B94D">
      <w:pPr>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jc w:val="both"/>
        <w:textAlignment w:val="auto"/>
        <w:outlineLvl w:val="9"/>
        <w:rPr>
          <w:rFonts w:hint="eastAsia" w:ascii="宋体" w:hAnsi="宋体" w:eastAsia="仿宋_GB2312" w:cs="Times New Roman"/>
          <w:color w:val="auto"/>
          <w:position w:val="0"/>
          <w:sz w:val="32"/>
          <w:szCs w:val="32"/>
          <w:lang w:eastAsia="zh-CN"/>
        </w:rPr>
      </w:pPr>
      <w:r>
        <w:rPr>
          <w:rFonts w:hint="eastAsia" w:ascii="宋体" w:hAnsi="宋体" w:eastAsia="仿宋_GB2312" w:cs="Times New Roman"/>
          <w:color w:val="auto"/>
          <w:position w:val="0"/>
          <w:sz w:val="32"/>
          <w:szCs w:val="32"/>
          <w:lang w:eastAsia="zh-CN"/>
        </w:rPr>
        <w:t>成立以局主要领导为组长，分管领导为副组长，各科室、中心负责人为组员，办公室承担小组办公室日常工作。</w:t>
      </w:r>
    </w:p>
    <w:p w14:paraId="6BDD70E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宋体" w:hAnsi="宋体" w:eastAsia="仿宋_GB2312" w:cs="Times New Roman"/>
          <w:b w:val="0"/>
          <w:bCs w:val="0"/>
          <w:color w:val="auto"/>
          <w:position w:val="0"/>
          <w:sz w:val="32"/>
          <w:szCs w:val="32"/>
          <w:highlight w:val="none"/>
          <w:u w:val="none"/>
          <w:lang w:val="zh-CN"/>
        </w:rPr>
      </w:pPr>
      <w:r>
        <w:rPr>
          <w:rFonts w:hint="default" w:ascii="宋体" w:hAnsi="宋体" w:eastAsia="黑体" w:cs="Times New Roman"/>
          <w:b w:val="0"/>
          <w:bCs w:val="0"/>
          <w:color w:val="auto"/>
          <w:position w:val="0"/>
          <w:sz w:val="32"/>
          <w:szCs w:val="32"/>
          <w:highlight w:val="none"/>
          <w:u w:val="none"/>
        </w:rPr>
        <w:t>三、</w:t>
      </w:r>
      <w:r>
        <w:rPr>
          <w:rFonts w:hint="default" w:ascii="宋体" w:hAnsi="宋体" w:eastAsia="黑体" w:cs="Times New Roman"/>
          <w:b w:val="0"/>
          <w:bCs w:val="0"/>
          <w:color w:val="auto"/>
          <w:position w:val="0"/>
          <w:sz w:val="32"/>
          <w:szCs w:val="32"/>
          <w:highlight w:val="none"/>
          <w:u w:val="none"/>
          <w:lang w:eastAsia="zh-CN"/>
        </w:rPr>
        <w:t>绩效分析</w:t>
      </w:r>
      <w:r>
        <w:rPr>
          <w:rFonts w:hint="default" w:ascii="宋体" w:hAnsi="宋体" w:eastAsia="仿宋_GB2312" w:cs="Times New Roman"/>
          <w:b w:val="0"/>
          <w:bCs w:val="0"/>
          <w:color w:val="auto"/>
          <w:position w:val="0"/>
          <w:sz w:val="32"/>
          <w:szCs w:val="32"/>
          <w:highlight w:val="none"/>
          <w:u w:val="none"/>
          <w:lang w:val="zh-CN"/>
        </w:rPr>
        <w:tab/>
      </w:r>
    </w:p>
    <w:p w14:paraId="28F06F5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en-US" w:eastAsia="zh-CN"/>
        </w:rPr>
      </w:pPr>
      <w:r>
        <w:rPr>
          <w:rFonts w:hint="default" w:ascii="宋体" w:hAnsi="宋体" w:eastAsia="楷体_GB2312" w:cs="Times New Roman"/>
          <w:b w:val="0"/>
          <w:bCs w:val="0"/>
          <w:color w:val="auto"/>
          <w:position w:val="0"/>
          <w:sz w:val="32"/>
          <w:szCs w:val="32"/>
          <w:highlight w:val="none"/>
          <w:u w:val="none"/>
          <w:lang w:val="zh-CN"/>
        </w:rPr>
        <w:t>（一）</w:t>
      </w:r>
      <w:r>
        <w:rPr>
          <w:rFonts w:hint="default" w:ascii="宋体" w:hAnsi="宋体" w:eastAsia="楷体_GB2312" w:cs="Times New Roman"/>
          <w:b w:val="0"/>
          <w:bCs w:val="0"/>
          <w:color w:val="auto"/>
          <w:position w:val="0"/>
          <w:sz w:val="32"/>
          <w:szCs w:val="32"/>
          <w:highlight w:val="none"/>
          <w:u w:val="none"/>
          <w:lang w:val="en-US" w:eastAsia="zh-CN"/>
        </w:rPr>
        <w:t>通用指标</w:t>
      </w:r>
      <w:r>
        <w:rPr>
          <w:rFonts w:hint="default" w:ascii="宋体" w:hAnsi="宋体" w:eastAsia="楷体_GB2312" w:cs="Times New Roman"/>
          <w:b w:val="0"/>
          <w:bCs w:val="0"/>
          <w:color w:val="auto"/>
          <w:kern w:val="0"/>
          <w:position w:val="0"/>
          <w:sz w:val="32"/>
          <w:szCs w:val="32"/>
          <w:highlight w:val="none"/>
          <w:shd w:val="clear" w:color="auto" w:fill="FFFFFF"/>
          <w:lang w:val="zh-CN"/>
        </w:rPr>
        <w:t>绩效分析</w:t>
      </w:r>
    </w:p>
    <w:p w14:paraId="5E3E857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宋体" w:hAnsi="宋体" w:eastAsia="仿宋_GB2312" w:cs="Times New Roman"/>
          <w:color w:val="auto"/>
          <w:position w:val="0"/>
          <w:sz w:val="32"/>
          <w:szCs w:val="32"/>
          <w:lang w:eastAsia="zh-CN"/>
        </w:rPr>
      </w:pPr>
      <w:r>
        <w:rPr>
          <w:rFonts w:hint="eastAsia" w:ascii="宋体" w:hAnsi="宋体" w:eastAsia="仿宋_GB2312" w:cs="仿宋_GB2312"/>
          <w:b w:val="0"/>
          <w:bCs w:val="0"/>
          <w:color w:val="auto"/>
          <w:position w:val="0"/>
          <w:sz w:val="32"/>
          <w:szCs w:val="32"/>
          <w:lang w:val="en-US" w:eastAsia="zh-CN"/>
        </w:rPr>
        <w:t>1.</w:t>
      </w:r>
      <w:r>
        <w:rPr>
          <w:rFonts w:hint="eastAsia" w:ascii="宋体" w:hAnsi="宋体" w:eastAsia="仿宋_GB2312" w:cs="仿宋_GB2312"/>
          <w:b w:val="0"/>
          <w:bCs w:val="0"/>
          <w:color w:val="auto"/>
          <w:position w:val="0"/>
          <w:sz w:val="32"/>
          <w:szCs w:val="32"/>
          <w:lang w:eastAsia="zh-CN"/>
        </w:rPr>
        <w:t>项目决策。</w:t>
      </w:r>
      <w:r>
        <w:rPr>
          <w:rFonts w:hint="eastAsia" w:ascii="宋体" w:hAnsi="宋体" w:eastAsia="仿宋_GB2312" w:cs="Times New Roman"/>
          <w:color w:val="auto"/>
          <w:position w:val="0"/>
          <w:sz w:val="32"/>
          <w:szCs w:val="32"/>
          <w:lang w:eastAsia="zh-CN"/>
        </w:rPr>
        <w:t>立项依据基本充分，均设定了各项目绩效目标，每一具体项目都有相关的政策文件支撑，资金配置均有明确的测算依据。</w:t>
      </w:r>
    </w:p>
    <w:p w14:paraId="7FBFE705">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outlineLvl w:val="9"/>
        <w:rPr>
          <w:rFonts w:hint="eastAsia" w:ascii="宋体" w:hAnsi="宋体" w:eastAsia="仿宋_GB2312" w:cs="Times New Roman"/>
          <w:color w:val="auto"/>
          <w:position w:val="0"/>
          <w:sz w:val="32"/>
          <w:szCs w:val="32"/>
          <w:lang w:eastAsia="zh-CN"/>
        </w:rPr>
      </w:pPr>
      <w:r>
        <w:rPr>
          <w:rFonts w:hint="eastAsia" w:ascii="宋体" w:hAnsi="宋体" w:eastAsia="仿宋_GB2312" w:cs="仿宋_GB2312"/>
          <w:b w:val="0"/>
          <w:bCs w:val="0"/>
          <w:color w:val="auto"/>
          <w:position w:val="0"/>
          <w:sz w:val="32"/>
          <w:szCs w:val="32"/>
          <w:lang w:val="en-US" w:eastAsia="zh-CN"/>
        </w:rPr>
        <w:t>2.</w:t>
      </w:r>
      <w:r>
        <w:rPr>
          <w:rFonts w:hint="eastAsia" w:ascii="宋体" w:hAnsi="宋体" w:eastAsia="仿宋_GB2312" w:cs="仿宋_GB2312"/>
          <w:b w:val="0"/>
          <w:bCs w:val="0"/>
          <w:color w:val="auto"/>
          <w:position w:val="0"/>
          <w:sz w:val="32"/>
          <w:szCs w:val="32"/>
          <w:lang w:eastAsia="zh-CN"/>
        </w:rPr>
        <w:t>项目管理。</w:t>
      </w:r>
      <w:r>
        <w:rPr>
          <w:rFonts w:hint="eastAsia" w:ascii="宋体" w:hAnsi="宋体" w:eastAsia="仿宋_GB2312" w:cs="Times New Roman"/>
          <w:b w:val="0"/>
          <w:bCs w:val="0"/>
          <w:color w:val="auto"/>
          <w:position w:val="0"/>
          <w:sz w:val="32"/>
          <w:szCs w:val="32"/>
          <w:lang w:val="en-US" w:eastAsia="zh-CN"/>
        </w:rPr>
        <w:t>我单位严格</w:t>
      </w:r>
      <w:r>
        <w:rPr>
          <w:rFonts w:hint="eastAsia" w:ascii="宋体" w:hAnsi="宋体" w:eastAsia="仿宋_GB2312" w:cs="Times New Roman"/>
          <w:b w:val="0"/>
          <w:bCs w:val="0"/>
          <w:color w:val="auto"/>
          <w:position w:val="0"/>
          <w:sz w:val="32"/>
          <w:szCs w:val="32"/>
          <w:lang w:val="zh-CN"/>
        </w:rPr>
        <w:t>按照</w:t>
      </w:r>
      <w:r>
        <w:rPr>
          <w:rFonts w:hint="eastAsia" w:ascii="宋体" w:hAnsi="宋体" w:eastAsia="仿宋_GB2312" w:cs="仿宋_GB2312"/>
          <w:b w:val="0"/>
          <w:bCs w:val="0"/>
          <w:color w:val="auto"/>
          <w:position w:val="0"/>
          <w:sz w:val="32"/>
          <w:szCs w:val="32"/>
          <w:lang w:val="en-US" w:eastAsia="zh-CN"/>
        </w:rPr>
        <w:t>四川省财政厅 中共四川省委外事工作委员会办公室 四川省科学技术厅关于印发&lt;四川省因公临时出国经费管理办法&gt;的通知》</w:t>
      </w:r>
      <w:r>
        <w:rPr>
          <w:rFonts w:hint="eastAsia" w:ascii="宋体" w:hAnsi="宋体" w:eastAsia="仿宋_GB2312" w:cs="Times New Roman"/>
          <w:b w:val="0"/>
          <w:bCs w:val="0"/>
          <w:color w:val="auto"/>
          <w:position w:val="0"/>
          <w:sz w:val="32"/>
          <w:szCs w:val="32"/>
          <w:lang w:val="zh-CN"/>
        </w:rPr>
        <w:t>（川</w:t>
      </w:r>
      <w:r>
        <w:rPr>
          <w:rFonts w:hint="eastAsia" w:ascii="宋体" w:hAnsi="宋体" w:eastAsia="仿宋_GB2312" w:cs="仿宋_GB2312"/>
          <w:b w:val="0"/>
          <w:bCs w:val="0"/>
          <w:color w:val="auto"/>
          <w:position w:val="0"/>
          <w:sz w:val="32"/>
          <w:szCs w:val="32"/>
          <w:lang w:val="en-US" w:eastAsia="zh-CN"/>
        </w:rPr>
        <w:t>财行</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2019</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80号）</w:t>
      </w:r>
      <w:r>
        <w:rPr>
          <w:rFonts w:hint="eastAsia" w:ascii="宋体" w:hAnsi="宋体" w:eastAsia="仿宋_GB2312" w:cs="Times New Roman"/>
          <w:b w:val="0"/>
          <w:bCs w:val="0"/>
          <w:color w:val="auto"/>
          <w:position w:val="0"/>
          <w:sz w:val="32"/>
          <w:szCs w:val="32"/>
          <w:lang w:val="zh-CN"/>
        </w:rPr>
        <w:t>精神，</w:t>
      </w:r>
      <w:r>
        <w:rPr>
          <w:rFonts w:hint="eastAsia" w:ascii="宋体" w:hAnsi="宋体" w:eastAsia="仿宋_GB2312" w:cs="Times New Roman"/>
          <w:b w:val="0"/>
          <w:bCs w:val="0"/>
          <w:color w:val="auto"/>
          <w:position w:val="0"/>
          <w:sz w:val="32"/>
          <w:szCs w:val="32"/>
          <w:lang w:val="en-US" w:eastAsia="zh-CN"/>
        </w:rPr>
        <w:t>配合市纪委监委派驻市政府办纪检组不定期抽查监督</w:t>
      </w:r>
      <w:r>
        <w:rPr>
          <w:rFonts w:hint="eastAsia" w:ascii="宋体" w:hAnsi="宋体" w:eastAsia="仿宋_GB2312" w:cs="Times New Roman"/>
          <w:b w:val="0"/>
          <w:bCs w:val="0"/>
          <w:color w:val="auto"/>
          <w:position w:val="0"/>
          <w:sz w:val="32"/>
          <w:szCs w:val="32"/>
          <w:lang w:val="zh-CN"/>
        </w:rPr>
        <w:t>。严格执行财务管理制度，按照“专款专用，注重实效”的原则进行管理。严格控制资金支付制度，从制度上为规范资金管理提供保障，促进了资金使用管理的规范性、安全性和有效性。</w:t>
      </w:r>
    </w:p>
    <w:p w14:paraId="6C4364C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宋体" w:hAnsi="宋体" w:eastAsia="仿宋_GB2312" w:cs="Times New Roman"/>
          <w:color w:val="auto"/>
          <w:position w:val="0"/>
          <w:sz w:val="32"/>
          <w:szCs w:val="32"/>
          <w:lang w:val="en-US" w:eastAsia="zh-CN"/>
        </w:rPr>
      </w:pPr>
      <w:r>
        <w:rPr>
          <w:rFonts w:hint="eastAsia" w:ascii="宋体" w:hAnsi="宋体" w:eastAsia="仿宋_GB2312" w:cs="仿宋_GB2312"/>
          <w:b w:val="0"/>
          <w:bCs w:val="0"/>
          <w:color w:val="auto"/>
          <w:position w:val="0"/>
          <w:sz w:val="32"/>
          <w:szCs w:val="32"/>
          <w:lang w:val="en-US" w:eastAsia="zh-CN"/>
        </w:rPr>
        <w:t>3.项目实施。</w:t>
      </w:r>
      <w:r>
        <w:rPr>
          <w:rFonts w:hint="eastAsia" w:ascii="宋体" w:hAnsi="宋体" w:eastAsia="仿宋_GB2312" w:cs="Times New Roman"/>
          <w:color w:val="auto"/>
          <w:position w:val="0"/>
          <w:sz w:val="32"/>
          <w:szCs w:val="32"/>
          <w:lang w:val="en-US" w:eastAsia="zh-CN"/>
        </w:rPr>
        <w:t>2024年项目支出111.95万元，预算执行率98.88%，</w:t>
      </w:r>
      <w:r>
        <w:rPr>
          <w:rFonts w:hint="eastAsia" w:ascii="宋体" w:hAnsi="宋体" w:eastAsia="仿宋_GB2312" w:cs="Times New Roman"/>
          <w:color w:val="auto"/>
          <w:position w:val="0"/>
          <w:sz w:val="32"/>
          <w:szCs w:val="32"/>
          <w:lang w:val="zh-CN" w:eastAsia="zh-CN"/>
        </w:rPr>
        <w:t>资金使用安全，符合规定，资金支付范围、支付标准、支付进度、支付依据等合规合法，与预算相符</w:t>
      </w:r>
      <w:r>
        <w:rPr>
          <w:rFonts w:hint="eastAsia" w:ascii="宋体" w:hAnsi="宋体" w:eastAsia="仿宋_GB2312" w:cs="Times New Roman"/>
          <w:color w:val="auto"/>
          <w:position w:val="0"/>
          <w:sz w:val="32"/>
          <w:szCs w:val="32"/>
          <w:lang w:val="en-US" w:eastAsia="zh-CN"/>
        </w:rPr>
        <w:t>。</w:t>
      </w:r>
    </w:p>
    <w:p w14:paraId="68BC7FD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宋体" w:hAnsi="宋体" w:eastAsia="仿宋_GB2312" w:cs="Times New Roman"/>
          <w:color w:val="auto"/>
          <w:position w:val="0"/>
          <w:sz w:val="32"/>
          <w:szCs w:val="32"/>
          <w:lang w:eastAsia="zh-CN"/>
        </w:rPr>
      </w:pPr>
      <w:r>
        <w:rPr>
          <w:rFonts w:hint="eastAsia" w:ascii="宋体" w:hAnsi="宋体" w:eastAsia="仿宋_GB2312" w:cs="仿宋_GB2312"/>
          <w:b w:val="0"/>
          <w:bCs w:val="0"/>
          <w:color w:val="auto"/>
          <w:position w:val="0"/>
          <w:sz w:val="32"/>
          <w:szCs w:val="32"/>
          <w:lang w:val="en-US" w:eastAsia="zh-CN"/>
        </w:rPr>
        <w:t>4.项目结果。</w:t>
      </w:r>
      <w:r>
        <w:rPr>
          <w:rFonts w:hint="eastAsia" w:ascii="宋体" w:hAnsi="宋体" w:eastAsia="仿宋_GB2312" w:cs="仿宋_GB2312"/>
          <w:color w:val="auto"/>
          <w:kern w:val="0"/>
          <w:position w:val="0"/>
          <w:sz w:val="32"/>
          <w:szCs w:val="32"/>
          <w:lang w:val="en-US" w:eastAsia="zh-CN" w:bidi="ar-SA"/>
        </w:rPr>
        <w:t>完成了年初预算申报目标绩效任务，圆满完成了全年因公出国访问和推介任务，有效促进了对外友好合作交流合作。</w:t>
      </w:r>
    </w:p>
    <w:p w14:paraId="527186D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宋体" w:hAnsi="宋体" w:eastAsia="楷体_GB2312" w:cs="Times New Roman"/>
          <w:b w:val="0"/>
          <w:bCs w:val="0"/>
          <w:color w:val="auto"/>
          <w:position w:val="0"/>
          <w:sz w:val="32"/>
          <w:szCs w:val="32"/>
          <w:lang w:val="zh-CN" w:eastAsia="zh-CN"/>
        </w:rPr>
      </w:pPr>
      <w:r>
        <w:rPr>
          <w:rFonts w:hint="default" w:ascii="宋体" w:hAnsi="宋体" w:eastAsia="楷体_GB2312" w:cs="Times New Roman"/>
          <w:b w:val="0"/>
          <w:bCs w:val="0"/>
          <w:color w:val="auto"/>
          <w:position w:val="0"/>
          <w:sz w:val="32"/>
          <w:szCs w:val="32"/>
          <w:highlight w:val="none"/>
          <w:u w:val="none"/>
          <w:lang w:val="zh-CN"/>
        </w:rPr>
        <w:t>（二）</w:t>
      </w:r>
      <w:r>
        <w:rPr>
          <w:rFonts w:hint="default" w:ascii="宋体" w:hAnsi="宋体" w:eastAsia="楷体_GB2312" w:cs="Times New Roman"/>
          <w:b w:val="0"/>
          <w:bCs w:val="0"/>
          <w:color w:val="auto"/>
          <w:position w:val="0"/>
          <w:sz w:val="32"/>
          <w:szCs w:val="32"/>
          <w:highlight w:val="none"/>
          <w:u w:val="none"/>
          <w:lang w:val="en-US" w:eastAsia="zh-CN"/>
        </w:rPr>
        <w:t>专用指标</w:t>
      </w:r>
      <w:r>
        <w:rPr>
          <w:rFonts w:hint="default" w:ascii="宋体" w:hAnsi="宋体" w:eastAsia="楷体_GB2312" w:cs="Times New Roman"/>
          <w:b w:val="0"/>
          <w:bCs w:val="0"/>
          <w:color w:val="auto"/>
          <w:kern w:val="0"/>
          <w:position w:val="0"/>
          <w:sz w:val="32"/>
          <w:szCs w:val="32"/>
          <w:highlight w:val="none"/>
          <w:shd w:val="clear" w:color="auto" w:fill="FFFFFF"/>
          <w:lang w:val="zh-CN"/>
        </w:rPr>
        <w:t>绩效分析</w:t>
      </w:r>
    </w:p>
    <w:p w14:paraId="27C1820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宋体" w:hAnsi="宋体" w:eastAsia="楷体_GB2312" w:cs="楷体_GB2312"/>
          <w:color w:val="auto"/>
          <w:position w:val="0"/>
          <w:sz w:val="32"/>
          <w:szCs w:val="32"/>
          <w:lang w:val="en-US" w:eastAsia="zh-CN"/>
        </w:rPr>
      </w:pPr>
      <w:r>
        <w:rPr>
          <w:rFonts w:hint="eastAsia" w:ascii="宋体" w:hAnsi="宋体" w:eastAsia="仿宋_GB2312" w:cs="仿宋_GB2312"/>
          <w:b w:val="0"/>
          <w:bCs w:val="0"/>
          <w:color w:val="auto"/>
          <w:position w:val="0"/>
          <w:sz w:val="32"/>
          <w:szCs w:val="32"/>
          <w:lang w:val="en-US" w:eastAsia="zh-CN"/>
        </w:rPr>
        <w:t>1.产业发展类。</w:t>
      </w:r>
      <w:r>
        <w:rPr>
          <w:rFonts w:hint="eastAsia" w:ascii="宋体" w:hAnsi="宋体" w:eastAsia="仿宋_GB2312" w:cs="Times New Roman"/>
          <w:color w:val="auto"/>
          <w:position w:val="0"/>
          <w:sz w:val="32"/>
          <w:szCs w:val="32"/>
          <w:lang w:eastAsia="zh-CN"/>
        </w:rPr>
        <w:t>通过项目实施，争取取得与国外政府、行业商协会、企业合作机会，并通过持续宣传和推介广元，拓展交流合作平台，涵养友好资源，进一步推动经贸、文旅等领域合作</w:t>
      </w:r>
      <w:r>
        <w:rPr>
          <w:rFonts w:hint="eastAsia" w:ascii="宋体" w:hAnsi="宋体" w:eastAsia="仿宋_GB2312" w:cs="仿宋_GB2312"/>
          <w:bCs/>
          <w:color w:val="auto"/>
          <w:position w:val="0"/>
          <w:sz w:val="32"/>
          <w:szCs w:val="32"/>
          <w:lang w:val="en-US" w:eastAsia="zh-CN" w:bidi="ar-SA"/>
        </w:rPr>
        <w:t>，有力助推我市高水平对外开放发展。</w:t>
      </w:r>
    </w:p>
    <w:p w14:paraId="1296803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宋体" w:hAnsi="宋体" w:eastAsia="仿宋_GB2312" w:cs="Times New Roman"/>
          <w:color w:val="auto"/>
          <w:position w:val="0"/>
          <w:sz w:val="32"/>
          <w:szCs w:val="32"/>
          <w:lang w:val="zh-CN" w:eastAsia="zh-CN"/>
        </w:rPr>
      </w:pPr>
      <w:r>
        <w:rPr>
          <w:rFonts w:hint="eastAsia" w:ascii="宋体" w:hAnsi="宋体" w:eastAsia="仿宋_GB2312" w:cs="仿宋_GB2312"/>
          <w:b w:val="0"/>
          <w:bCs w:val="0"/>
          <w:color w:val="auto"/>
          <w:position w:val="0"/>
          <w:sz w:val="32"/>
          <w:szCs w:val="32"/>
          <w:lang w:val="en-US" w:eastAsia="zh-CN"/>
        </w:rPr>
        <w:t>2.</w:t>
      </w:r>
      <w:r>
        <w:rPr>
          <w:rFonts w:hint="eastAsia" w:ascii="宋体" w:hAnsi="宋体" w:eastAsia="仿宋_GB2312" w:cs="仿宋_GB2312"/>
          <w:b w:val="0"/>
          <w:bCs w:val="0"/>
          <w:color w:val="auto"/>
          <w:position w:val="0"/>
          <w:sz w:val="32"/>
          <w:szCs w:val="32"/>
          <w:lang w:val="zh-CN" w:eastAsia="zh-CN"/>
        </w:rPr>
        <w:t>民生保障</w:t>
      </w:r>
      <w:r>
        <w:rPr>
          <w:rFonts w:hint="eastAsia" w:ascii="宋体" w:hAnsi="宋体" w:eastAsia="仿宋_GB2312" w:cs="仿宋_GB2312"/>
          <w:b w:val="0"/>
          <w:bCs w:val="0"/>
          <w:color w:val="auto"/>
          <w:position w:val="0"/>
          <w:sz w:val="32"/>
          <w:szCs w:val="32"/>
          <w:lang w:val="en-US" w:eastAsia="zh-CN"/>
        </w:rPr>
        <w:t>类</w:t>
      </w:r>
      <w:r>
        <w:rPr>
          <w:rFonts w:hint="eastAsia" w:ascii="宋体" w:hAnsi="宋体" w:eastAsia="仿宋_GB2312" w:cs="仿宋_GB2312"/>
          <w:b w:val="0"/>
          <w:bCs w:val="0"/>
          <w:color w:val="auto"/>
          <w:position w:val="0"/>
          <w:sz w:val="32"/>
          <w:szCs w:val="32"/>
          <w:lang w:val="zh-CN" w:eastAsia="zh-CN"/>
        </w:rPr>
        <w:t>。</w:t>
      </w:r>
      <w:r>
        <w:rPr>
          <w:rFonts w:hint="eastAsia" w:ascii="宋体" w:hAnsi="宋体" w:eastAsia="仿宋_GB2312" w:cs="Times New Roman"/>
          <w:color w:val="auto"/>
          <w:position w:val="0"/>
          <w:sz w:val="32"/>
          <w:szCs w:val="32"/>
          <w:lang w:val="zh-CN" w:eastAsia="zh-CN"/>
        </w:rPr>
        <w:t>通过该项目实施，促进国际友好合作交流，向国外推介广元优质产业，吸引外资，</w:t>
      </w:r>
      <w:r>
        <w:rPr>
          <w:rFonts w:hint="eastAsia" w:ascii="宋体" w:hAnsi="宋体" w:eastAsia="仿宋_GB2312" w:cs="Times New Roman"/>
          <w:color w:val="auto"/>
          <w:position w:val="0"/>
          <w:sz w:val="32"/>
          <w:szCs w:val="32"/>
          <w:lang w:eastAsia="zh-CN"/>
        </w:rPr>
        <w:t>争取取得与国外多领域合作机会，</w:t>
      </w:r>
      <w:r>
        <w:rPr>
          <w:rFonts w:hint="eastAsia" w:ascii="宋体" w:hAnsi="宋体" w:eastAsia="仿宋_GB2312" w:cs="Times New Roman"/>
          <w:color w:val="auto"/>
          <w:position w:val="0"/>
          <w:sz w:val="32"/>
          <w:szCs w:val="32"/>
          <w:lang w:val="zh-CN" w:eastAsia="zh-CN"/>
        </w:rPr>
        <w:t>促进当地经济发展，提高当地居民生活水平，提高群众生活质量满意度。</w:t>
      </w:r>
    </w:p>
    <w:p w14:paraId="783FAF1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宋体" w:hAnsi="宋体" w:eastAsia="仿宋_GB2312" w:cs="仿宋_GB2312"/>
          <w:b w:val="0"/>
          <w:bCs w:val="0"/>
          <w:color w:val="auto"/>
          <w:kern w:val="0"/>
          <w:position w:val="0"/>
          <w:sz w:val="32"/>
          <w:szCs w:val="32"/>
          <w:highlight w:val="none"/>
          <w:u w:val="none"/>
          <w:shd w:val="clear" w:color="auto" w:fill="FFFFFF"/>
          <w:lang w:val="en-US" w:eastAsia="zh-CN"/>
        </w:rPr>
      </w:pPr>
      <w:r>
        <w:rPr>
          <w:rFonts w:hint="eastAsia" w:ascii="宋体" w:hAnsi="宋体" w:eastAsia="仿宋_GB2312" w:cs="仿宋_GB2312"/>
          <w:b w:val="0"/>
          <w:bCs w:val="0"/>
          <w:color w:val="auto"/>
          <w:position w:val="0"/>
          <w:sz w:val="32"/>
          <w:szCs w:val="32"/>
          <w:lang w:val="en-US" w:eastAsia="zh-CN"/>
        </w:rPr>
        <w:t>3.</w:t>
      </w:r>
      <w:r>
        <w:rPr>
          <w:rFonts w:hint="eastAsia" w:ascii="宋体" w:hAnsi="宋体" w:eastAsia="仿宋_GB2312" w:cs="仿宋_GB2312"/>
          <w:b w:val="0"/>
          <w:bCs w:val="0"/>
          <w:color w:val="auto"/>
          <w:position w:val="0"/>
          <w:sz w:val="32"/>
          <w:szCs w:val="32"/>
          <w:lang w:val="zh-CN" w:eastAsia="zh-CN"/>
        </w:rPr>
        <w:t>行政运转</w:t>
      </w:r>
      <w:r>
        <w:rPr>
          <w:rFonts w:hint="eastAsia" w:ascii="宋体" w:hAnsi="宋体" w:eastAsia="仿宋_GB2312" w:cs="仿宋_GB2312"/>
          <w:b w:val="0"/>
          <w:bCs w:val="0"/>
          <w:color w:val="auto"/>
          <w:position w:val="0"/>
          <w:sz w:val="32"/>
          <w:szCs w:val="32"/>
          <w:lang w:val="en-US" w:eastAsia="zh-CN"/>
        </w:rPr>
        <w:t>类</w:t>
      </w:r>
      <w:r>
        <w:rPr>
          <w:rFonts w:hint="eastAsia" w:ascii="宋体" w:hAnsi="宋体" w:eastAsia="仿宋_GB2312" w:cs="仿宋_GB2312"/>
          <w:b w:val="0"/>
          <w:bCs w:val="0"/>
          <w:color w:val="auto"/>
          <w:position w:val="0"/>
          <w:sz w:val="32"/>
          <w:szCs w:val="32"/>
          <w:lang w:val="zh-CN" w:eastAsia="zh-CN"/>
        </w:rPr>
        <w:t>。</w:t>
      </w:r>
      <w:r>
        <w:rPr>
          <w:rFonts w:hint="eastAsia" w:ascii="宋体" w:hAnsi="宋体" w:eastAsia="仿宋_GB2312" w:cs="仿宋_GB2312"/>
          <w:color w:val="auto"/>
          <w:kern w:val="0"/>
          <w:position w:val="0"/>
          <w:sz w:val="32"/>
          <w:szCs w:val="32"/>
          <w:highlight w:val="none"/>
          <w:u w:val="none"/>
          <w:shd w:val="clear" w:color="auto" w:fill="FFFFFF"/>
          <w:lang w:val="zh-CN" w:eastAsia="zh-CN"/>
        </w:rPr>
        <w:t>根据</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《中共广元市委关于中共广元市委书记何树平等6人出访泰国马来西亚开展经贸文旅交流活动的请示》</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（广委函〔</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2024</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23号</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广元市人民政府关于董里同志等6人</w:t>
      </w:r>
      <w:r>
        <w:rPr>
          <w:rFonts w:hint="default" w:ascii="宋体" w:hAnsi="宋体" w:eastAsia="仿宋_GB2312" w:cs="Times New Roman"/>
          <w:b w:val="0"/>
          <w:bCs w:val="0"/>
          <w:color w:val="auto"/>
          <w:kern w:val="0"/>
          <w:position w:val="0"/>
          <w:sz w:val="32"/>
          <w:szCs w:val="32"/>
          <w:highlight w:val="none"/>
          <w:u w:val="none"/>
          <w:shd w:val="clear" w:color="auto" w:fill="FFFFFF"/>
          <w:lang w:val="en-US" w:eastAsia="zh-CN"/>
        </w:rPr>
        <w:t>赴</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奥地利、比利时</w:t>
      </w:r>
      <w:r>
        <w:rPr>
          <w:rFonts w:hint="default" w:ascii="宋体" w:hAnsi="宋体" w:eastAsia="仿宋_GB2312" w:cs="Times New Roman"/>
          <w:b w:val="0"/>
          <w:bCs w:val="0"/>
          <w:color w:val="auto"/>
          <w:kern w:val="0"/>
          <w:position w:val="0"/>
          <w:sz w:val="32"/>
          <w:szCs w:val="32"/>
          <w:highlight w:val="none"/>
          <w:u w:val="none"/>
          <w:shd w:val="clear" w:color="auto" w:fill="FFFFFF"/>
          <w:lang w:val="en-US"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瑞士开展经贸文旅交流活动的请示</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广府〔2024〕30号</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《中共广元市委关于中共广元市委副书记许国斌等6人赴挪威荷兰开展经贸交流活动的请示》（广委函</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2024</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14号）、《广元市人民政府关于广元市人民政府副市长吴勇等6人赴意大利、西班牙、法国开展经贸交流活动的请示》</w:t>
      </w:r>
      <w:r>
        <w:rPr>
          <w:rFonts w:hint="eastAsia" w:ascii="宋体" w:hAnsi="宋体" w:eastAsia="仿宋_GB2312" w:cs="Times New Roman"/>
          <w:b w:val="0"/>
          <w:bCs w:val="0"/>
          <w:color w:val="auto"/>
          <w:kern w:val="0"/>
          <w:position w:val="0"/>
          <w:sz w:val="32"/>
          <w:szCs w:val="32"/>
          <w:highlight w:val="none"/>
          <w:u w:val="none"/>
          <w:shd w:val="clear" w:color="auto" w:fill="FFFFFF"/>
          <w:lang w:val="zh-CN" w:eastAsia="zh-CN"/>
        </w:rPr>
        <w:t>（</w:t>
      </w:r>
      <w:r>
        <w:rPr>
          <w:rFonts w:hint="eastAsia" w:ascii="宋体" w:hAnsi="宋体" w:eastAsia="仿宋_GB2312" w:cs="Times New Roman"/>
          <w:b w:val="0"/>
          <w:bCs w:val="0"/>
          <w:color w:val="auto"/>
          <w:kern w:val="0"/>
          <w:position w:val="0"/>
          <w:sz w:val="32"/>
          <w:szCs w:val="32"/>
          <w:highlight w:val="none"/>
          <w:u w:val="none"/>
          <w:shd w:val="clear" w:color="auto" w:fill="FFFFFF"/>
          <w:lang w:val="en-US" w:eastAsia="zh-CN"/>
        </w:rPr>
        <w:t>广府〔2024〕30号）</w:t>
      </w:r>
      <w:r>
        <w:rPr>
          <w:rFonts w:hint="eastAsia" w:ascii="宋体" w:hAnsi="宋体" w:eastAsia="仿宋_GB2312" w:cs="仿宋_GB2312"/>
          <w:color w:val="auto"/>
          <w:kern w:val="0"/>
          <w:position w:val="0"/>
          <w:sz w:val="32"/>
          <w:szCs w:val="32"/>
          <w:highlight w:val="none"/>
          <w:u w:val="none"/>
          <w:shd w:val="clear" w:color="auto" w:fill="FFFFFF"/>
          <w:lang w:val="zh-CN" w:eastAsia="zh-CN"/>
        </w:rPr>
        <w:t>精神，按照</w:t>
      </w:r>
      <w:r>
        <w:rPr>
          <w:rFonts w:hint="eastAsia" w:ascii="宋体" w:hAnsi="宋体" w:eastAsia="仿宋_GB2312" w:cs="仿宋_GB2312"/>
          <w:b w:val="0"/>
          <w:bCs w:val="0"/>
          <w:color w:val="auto"/>
          <w:position w:val="0"/>
          <w:sz w:val="32"/>
          <w:szCs w:val="32"/>
          <w:lang w:val="en-US" w:eastAsia="zh-CN"/>
        </w:rPr>
        <w:t>《四川省财政厅 中共四川省委外事工作委员会办公室 四川省科学技术厅关于印发&lt;四川省因公临时出国经费管理办法&gt;的通知》</w:t>
      </w:r>
      <w:r>
        <w:rPr>
          <w:rFonts w:hint="eastAsia" w:ascii="宋体" w:hAnsi="宋体" w:eastAsia="仿宋_GB2312" w:cs="Times New Roman"/>
          <w:b w:val="0"/>
          <w:bCs w:val="0"/>
          <w:color w:val="auto"/>
          <w:position w:val="0"/>
          <w:sz w:val="32"/>
          <w:szCs w:val="32"/>
          <w:lang w:val="zh-CN"/>
        </w:rPr>
        <w:t>（川</w:t>
      </w:r>
      <w:r>
        <w:rPr>
          <w:rFonts w:hint="eastAsia" w:ascii="宋体" w:hAnsi="宋体" w:eastAsia="仿宋_GB2312" w:cs="仿宋_GB2312"/>
          <w:b w:val="0"/>
          <w:bCs w:val="0"/>
          <w:color w:val="auto"/>
          <w:position w:val="0"/>
          <w:sz w:val="32"/>
          <w:szCs w:val="32"/>
          <w:lang w:val="en-US" w:eastAsia="zh-CN"/>
        </w:rPr>
        <w:t>财行</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2019</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80号）精神，</w:t>
      </w:r>
      <w:r>
        <w:rPr>
          <w:rFonts w:hint="eastAsia" w:ascii="宋体" w:hAnsi="宋体" w:eastAsia="仿宋_GB2312" w:cs="Times New Roman"/>
          <w:color w:val="auto"/>
          <w:position w:val="0"/>
          <w:sz w:val="32"/>
          <w:szCs w:val="32"/>
          <w:lang w:eastAsia="zh-CN"/>
        </w:rPr>
        <w:t>严格按照财政要求对该项目进行事前绩效评估，通过评估，</w:t>
      </w:r>
      <w:r>
        <w:rPr>
          <w:rFonts w:hint="eastAsia" w:ascii="宋体" w:hAnsi="宋体" w:eastAsia="仿宋_GB2312" w:cs="Times New Roman"/>
          <w:color w:val="auto"/>
          <w:position w:val="0"/>
          <w:sz w:val="32"/>
          <w:szCs w:val="32"/>
        </w:rPr>
        <w:t>该项目</w:t>
      </w:r>
      <w:r>
        <w:rPr>
          <w:rFonts w:hint="eastAsia" w:ascii="宋体" w:hAnsi="宋体" w:eastAsia="仿宋_GB2312" w:cs="Times New Roman"/>
          <w:color w:val="auto"/>
          <w:position w:val="0"/>
          <w:sz w:val="32"/>
          <w:szCs w:val="32"/>
          <w:lang w:eastAsia="zh-CN"/>
        </w:rPr>
        <w:t>具有</w:t>
      </w:r>
      <w:r>
        <w:rPr>
          <w:rFonts w:hint="eastAsia" w:ascii="宋体" w:hAnsi="宋体" w:eastAsia="仿宋_GB2312" w:cs="Times New Roman"/>
          <w:color w:val="auto"/>
          <w:position w:val="0"/>
          <w:sz w:val="32"/>
          <w:szCs w:val="32"/>
        </w:rPr>
        <w:t>立项必要性</w:t>
      </w:r>
      <w:r>
        <w:rPr>
          <w:rFonts w:hint="eastAsia" w:ascii="宋体" w:hAnsi="宋体" w:eastAsia="仿宋_GB2312" w:cs="Times New Roman"/>
          <w:color w:val="auto"/>
          <w:position w:val="0"/>
          <w:sz w:val="32"/>
          <w:szCs w:val="32"/>
          <w:lang w:eastAsia="zh-CN"/>
        </w:rPr>
        <w:t>且</w:t>
      </w:r>
      <w:r>
        <w:rPr>
          <w:rFonts w:hint="eastAsia" w:ascii="宋体" w:hAnsi="宋体" w:eastAsia="仿宋_GB2312" w:cs="Times New Roman"/>
          <w:color w:val="auto"/>
          <w:position w:val="0"/>
          <w:sz w:val="32"/>
          <w:szCs w:val="32"/>
        </w:rPr>
        <w:t>依据充分</w:t>
      </w:r>
      <w:r>
        <w:rPr>
          <w:rFonts w:hint="eastAsia" w:ascii="宋体" w:hAnsi="宋体" w:eastAsia="仿宋_GB2312" w:cs="Times New Roman"/>
          <w:color w:val="auto"/>
          <w:position w:val="0"/>
          <w:sz w:val="32"/>
          <w:szCs w:val="32"/>
          <w:lang w:eastAsia="zh-CN"/>
        </w:rPr>
        <w:t>，</w:t>
      </w:r>
      <w:r>
        <w:rPr>
          <w:rFonts w:hint="eastAsia" w:ascii="宋体" w:hAnsi="宋体" w:eastAsia="仿宋_GB2312" w:cs="Times New Roman"/>
          <w:color w:val="auto"/>
          <w:position w:val="0"/>
          <w:sz w:val="32"/>
          <w:szCs w:val="32"/>
        </w:rPr>
        <w:t>绩效目标明确，具备实施条件，具有公共性，符合财政资金支持方向</w:t>
      </w:r>
      <w:r>
        <w:rPr>
          <w:rFonts w:hint="eastAsia" w:ascii="宋体" w:hAnsi="宋体" w:eastAsia="仿宋_GB2312" w:cs="仿宋_GB2312"/>
          <w:b w:val="0"/>
          <w:bCs w:val="0"/>
          <w:color w:val="auto"/>
          <w:kern w:val="0"/>
          <w:position w:val="0"/>
          <w:sz w:val="32"/>
          <w:szCs w:val="32"/>
          <w:highlight w:val="none"/>
          <w:u w:val="none"/>
          <w:shd w:val="clear" w:color="auto" w:fill="FFFFFF"/>
          <w:lang w:val="en-US" w:eastAsia="zh-CN"/>
        </w:rPr>
        <w:t>。</w:t>
      </w:r>
    </w:p>
    <w:p w14:paraId="31653836">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宋体" w:hAnsi="宋体" w:eastAsia="黑体" w:cs="Times New Roman"/>
          <w:b w:val="0"/>
          <w:bCs w:val="0"/>
          <w:color w:val="auto"/>
          <w:kern w:val="0"/>
          <w:position w:val="0"/>
          <w:sz w:val="32"/>
          <w:szCs w:val="32"/>
          <w:highlight w:val="none"/>
          <w:u w:val="none"/>
          <w:lang w:val="en-US" w:eastAsia="en-US" w:bidi="ar-SA"/>
        </w:rPr>
      </w:pPr>
      <w:r>
        <w:rPr>
          <w:rFonts w:hint="default" w:ascii="宋体" w:hAnsi="宋体" w:eastAsia="黑体" w:cs="Times New Roman"/>
          <w:b w:val="0"/>
          <w:bCs w:val="0"/>
          <w:color w:val="auto"/>
          <w:kern w:val="0"/>
          <w:position w:val="0"/>
          <w:sz w:val="32"/>
          <w:szCs w:val="32"/>
          <w:highlight w:val="none"/>
          <w:u w:val="none"/>
          <w:lang w:val="en-US" w:eastAsia="zh-CN" w:bidi="ar-SA"/>
        </w:rPr>
        <w:t>四</w:t>
      </w:r>
      <w:r>
        <w:rPr>
          <w:rFonts w:hint="default" w:ascii="宋体" w:hAnsi="宋体" w:eastAsia="黑体" w:cs="Times New Roman"/>
          <w:b w:val="0"/>
          <w:bCs w:val="0"/>
          <w:color w:val="auto"/>
          <w:kern w:val="0"/>
          <w:position w:val="0"/>
          <w:sz w:val="32"/>
          <w:szCs w:val="32"/>
          <w:highlight w:val="none"/>
          <w:u w:val="none"/>
          <w:lang w:val="en-US" w:eastAsia="en-US" w:bidi="ar-SA"/>
        </w:rPr>
        <w:t>、评价结论</w:t>
      </w:r>
    </w:p>
    <w:p w14:paraId="2F6459F4">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u w:val="none"/>
          <w:shd w:val="clear" w:color="auto" w:fill="FFFFFF"/>
          <w:lang w:val="zh-CN"/>
        </w:rPr>
      </w:pPr>
      <w:r>
        <w:rPr>
          <w:rFonts w:hint="eastAsia" w:ascii="宋体" w:hAnsi="宋体" w:eastAsia="仿宋_GB2312" w:cs="宋体"/>
          <w:color w:val="auto"/>
          <w:kern w:val="0"/>
          <w:position w:val="0"/>
          <w:sz w:val="32"/>
          <w:szCs w:val="32"/>
          <w:shd w:val="clear" w:color="auto" w:fill="FFFFFF"/>
          <w:lang w:val="zh-CN" w:eastAsia="zh-CN"/>
        </w:rPr>
        <w:t>202</w:t>
      </w:r>
      <w:r>
        <w:rPr>
          <w:rFonts w:hint="eastAsia" w:ascii="宋体" w:hAnsi="宋体" w:eastAsia="仿宋_GB2312" w:cs="宋体"/>
          <w:color w:val="auto"/>
          <w:kern w:val="0"/>
          <w:position w:val="0"/>
          <w:sz w:val="32"/>
          <w:szCs w:val="32"/>
          <w:shd w:val="clear" w:color="auto" w:fill="FFFFFF"/>
          <w:lang w:val="en-US" w:eastAsia="zh-CN"/>
        </w:rPr>
        <w:t>4</w:t>
      </w:r>
      <w:r>
        <w:rPr>
          <w:rFonts w:hint="eastAsia" w:ascii="宋体" w:hAnsi="宋体" w:eastAsia="仿宋_GB2312" w:cs="宋体"/>
          <w:color w:val="auto"/>
          <w:kern w:val="0"/>
          <w:position w:val="0"/>
          <w:sz w:val="32"/>
          <w:szCs w:val="32"/>
          <w:shd w:val="clear" w:color="auto" w:fill="FFFFFF"/>
          <w:lang w:val="zh-CN" w:eastAsia="zh-CN"/>
        </w:rPr>
        <w:t>年我单位因公临时出国经费项目资金支出绩效自查自评结果良好，全年基本支出保证了全市厅级领导团组因公出国工作的正常运转，保障了重点专项工作的开展，按照 202</w:t>
      </w:r>
      <w:r>
        <w:rPr>
          <w:rFonts w:hint="eastAsia" w:ascii="宋体" w:hAnsi="宋体" w:eastAsia="仿宋_GB2312" w:cs="宋体"/>
          <w:color w:val="auto"/>
          <w:kern w:val="0"/>
          <w:position w:val="0"/>
          <w:sz w:val="32"/>
          <w:szCs w:val="32"/>
          <w:shd w:val="clear" w:color="auto" w:fill="FFFFFF"/>
          <w:lang w:val="en-US" w:eastAsia="zh-CN"/>
        </w:rPr>
        <w:t>4</w:t>
      </w:r>
      <w:r>
        <w:rPr>
          <w:rFonts w:hint="eastAsia" w:ascii="宋体" w:hAnsi="宋体" w:eastAsia="仿宋_GB2312" w:cs="宋体"/>
          <w:color w:val="auto"/>
          <w:kern w:val="0"/>
          <w:position w:val="0"/>
          <w:sz w:val="32"/>
          <w:szCs w:val="32"/>
          <w:shd w:val="clear" w:color="auto" w:fill="FFFFFF"/>
          <w:lang w:val="zh-CN" w:eastAsia="zh-CN"/>
        </w:rPr>
        <w:t>年度部门因公临时出国经费专项资金支出绩效评价指标体系对我单位预算编制、预算执行、完成结果、信息公开、整改反馈等方面进行了自评，最终得分</w:t>
      </w:r>
      <w:r>
        <w:rPr>
          <w:rFonts w:hint="eastAsia" w:ascii="宋体" w:hAnsi="宋体" w:eastAsia="仿宋_GB2312" w:cs="宋体"/>
          <w:color w:val="auto"/>
          <w:kern w:val="0"/>
          <w:position w:val="0"/>
          <w:sz w:val="32"/>
          <w:szCs w:val="32"/>
          <w:shd w:val="clear" w:color="auto" w:fill="FFFFFF"/>
          <w:lang w:val="en-US" w:eastAsia="zh-CN"/>
        </w:rPr>
        <w:t>100</w:t>
      </w:r>
      <w:r>
        <w:rPr>
          <w:rFonts w:hint="eastAsia" w:ascii="宋体" w:hAnsi="宋体" w:eastAsia="仿宋_GB2312" w:cs="宋体"/>
          <w:color w:val="auto"/>
          <w:kern w:val="0"/>
          <w:position w:val="0"/>
          <w:sz w:val="32"/>
          <w:szCs w:val="32"/>
          <w:shd w:val="clear" w:color="auto" w:fill="FFFFFF"/>
          <w:lang w:val="zh-CN" w:eastAsia="zh-CN"/>
        </w:rPr>
        <w:t>分。</w:t>
      </w:r>
    </w:p>
    <w:p w14:paraId="2D8B9C52">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default" w:ascii="宋体" w:hAnsi="宋体" w:eastAsia="黑体" w:cs="Times New Roman"/>
          <w:b w:val="0"/>
          <w:bCs w:val="0"/>
          <w:color w:val="auto"/>
          <w:kern w:val="0"/>
          <w:position w:val="0"/>
          <w:sz w:val="32"/>
          <w:szCs w:val="32"/>
          <w:highlight w:val="none"/>
          <w:u w:val="none"/>
          <w:lang w:val="en-US" w:eastAsia="zh-CN" w:bidi="ar-SA"/>
        </w:rPr>
      </w:pPr>
      <w:r>
        <w:rPr>
          <w:rFonts w:hint="default" w:ascii="宋体" w:hAnsi="宋体" w:eastAsia="黑体" w:cs="Times New Roman"/>
          <w:b w:val="0"/>
          <w:bCs w:val="0"/>
          <w:color w:val="auto"/>
          <w:kern w:val="0"/>
          <w:position w:val="0"/>
          <w:sz w:val="32"/>
          <w:szCs w:val="32"/>
          <w:highlight w:val="none"/>
          <w:u w:val="none"/>
          <w:lang w:val="en-US" w:eastAsia="zh-CN" w:bidi="ar-SA"/>
        </w:rPr>
        <w:t>五、存在主要问题</w:t>
      </w:r>
    </w:p>
    <w:p w14:paraId="252874D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7" w:firstLineChars="214"/>
        <w:jc w:val="both"/>
        <w:textAlignment w:val="auto"/>
        <w:outlineLvl w:val="9"/>
        <w:rPr>
          <w:rFonts w:hint="eastAsia" w:ascii="宋体" w:hAnsi="宋体" w:eastAsia="仿宋_GB2312" w:cs="黑体"/>
          <w:b w:val="0"/>
          <w:bCs w:val="0"/>
          <w:color w:val="auto"/>
          <w:spacing w:val="-11"/>
          <w:kern w:val="2"/>
          <w:position w:val="0"/>
          <w:sz w:val="32"/>
          <w:szCs w:val="32"/>
          <w:highlight w:val="none"/>
          <w:lang w:val="en-US" w:eastAsia="zh-CN" w:bidi="ar-SA"/>
        </w:rPr>
      </w:pPr>
      <w:r>
        <w:rPr>
          <w:rFonts w:hint="eastAsia" w:ascii="宋体" w:hAnsi="宋体" w:eastAsia="仿宋_GB2312" w:cs="仿宋_GB2312"/>
          <w:b w:val="0"/>
          <w:bCs w:val="0"/>
          <w:color w:val="auto"/>
          <w:spacing w:val="-11"/>
          <w:kern w:val="0"/>
          <w:position w:val="0"/>
          <w:sz w:val="32"/>
          <w:szCs w:val="32"/>
          <w:lang w:val="zh-CN" w:eastAsia="zh-CN" w:bidi="ar-SA"/>
        </w:rPr>
        <w:t>预算绩效管理需进一步加强，设定的绩效目标还不够科学精准</w:t>
      </w:r>
      <w:r>
        <w:rPr>
          <w:rFonts w:hint="eastAsia" w:ascii="宋体" w:hAnsi="宋体" w:eastAsia="仿宋_GB2312" w:cs="仿宋_GB2312"/>
          <w:b w:val="0"/>
          <w:bCs w:val="0"/>
          <w:color w:val="auto"/>
          <w:spacing w:val="-11"/>
          <w:kern w:val="0"/>
          <w:position w:val="0"/>
          <w:sz w:val="32"/>
          <w:szCs w:val="32"/>
          <w:highlight w:val="none"/>
          <w:lang w:val="en-US" w:eastAsia="zh-CN" w:bidi="ar-SA"/>
        </w:rPr>
        <w:t>。</w:t>
      </w:r>
    </w:p>
    <w:p w14:paraId="212F520C">
      <w:pPr>
        <w:keepNext w:val="0"/>
        <w:keepLines w:val="0"/>
        <w:pageBreakBefore w:val="0"/>
        <w:widowControl w:val="0"/>
        <w:numPr>
          <w:ilvl w:val="0"/>
          <w:numId w:val="0"/>
        </w:numPr>
        <w:kinsoku/>
        <w:wordWrap/>
        <w:overflowPunct/>
        <w:topLinePunct w:val="0"/>
        <w:autoSpaceDE/>
        <w:autoSpaceDN/>
        <w:bidi w:val="0"/>
        <w:adjustRightInd/>
        <w:spacing w:line="576" w:lineRule="exact"/>
        <w:ind w:firstLine="640" w:firstLineChars="200"/>
        <w:jc w:val="both"/>
        <w:textAlignment w:val="auto"/>
        <w:rPr>
          <w:rFonts w:hint="default" w:ascii="宋体" w:hAnsi="宋体" w:eastAsia="黑体" w:cs="Times New Roman"/>
          <w:b w:val="0"/>
          <w:bCs w:val="0"/>
          <w:color w:val="auto"/>
          <w:kern w:val="0"/>
          <w:position w:val="0"/>
          <w:sz w:val="32"/>
          <w:szCs w:val="32"/>
          <w:highlight w:val="none"/>
          <w:u w:val="none"/>
          <w:lang w:val="zh-CN" w:eastAsia="zh-CN" w:bidi="ar-SA"/>
        </w:rPr>
      </w:pPr>
      <w:r>
        <w:rPr>
          <w:rFonts w:hint="default" w:ascii="宋体" w:hAnsi="宋体" w:eastAsia="黑体" w:cs="Times New Roman"/>
          <w:b w:val="0"/>
          <w:bCs w:val="0"/>
          <w:color w:val="auto"/>
          <w:kern w:val="0"/>
          <w:position w:val="0"/>
          <w:sz w:val="32"/>
          <w:szCs w:val="32"/>
          <w:highlight w:val="none"/>
          <w:u w:val="none"/>
          <w:lang w:val="zh-CN" w:eastAsia="zh-CN" w:bidi="ar-SA"/>
        </w:rPr>
        <w:t>六、改进建议</w:t>
      </w:r>
    </w:p>
    <w:p w14:paraId="43F7A1DC">
      <w:pPr>
        <w:keepNext w:val="0"/>
        <w:keepLines w:val="0"/>
        <w:pageBreakBefore w:val="0"/>
        <w:widowControl w:val="0"/>
        <w:tabs>
          <w:tab w:val="left" w:pos="1911"/>
        </w:tabs>
        <w:kinsoku/>
        <w:wordWrap/>
        <w:overflowPunct/>
        <w:topLinePunct w:val="0"/>
        <w:autoSpaceDE/>
        <w:autoSpaceDN/>
        <w:bidi w:val="0"/>
        <w:spacing w:line="576" w:lineRule="exact"/>
        <w:ind w:firstLine="640" w:firstLineChars="200"/>
        <w:jc w:val="both"/>
        <w:textAlignment w:val="auto"/>
        <w:rPr>
          <w:rFonts w:hint="default" w:ascii="宋体" w:hAnsi="宋体" w:eastAsia="仿宋_GB2312" w:cs="仿宋_GB2312"/>
          <w:i w:val="0"/>
          <w:iCs w:val="0"/>
          <w:caps w:val="0"/>
          <w:color w:val="auto"/>
          <w:spacing w:val="0"/>
          <w:position w:val="0"/>
          <w:sz w:val="32"/>
          <w:szCs w:val="32"/>
          <w:shd w:val="clear" w:color="auto" w:fill="FFFFFF"/>
        </w:rPr>
      </w:pPr>
      <w:r>
        <w:rPr>
          <w:rFonts w:hint="default" w:ascii="宋体" w:hAnsi="宋体" w:eastAsia="仿宋_GB2312" w:cs="仿宋_GB2312"/>
          <w:i w:val="0"/>
          <w:iCs w:val="0"/>
          <w:caps w:val="0"/>
          <w:color w:val="auto"/>
          <w:spacing w:val="0"/>
          <w:position w:val="0"/>
          <w:sz w:val="32"/>
          <w:szCs w:val="32"/>
          <w:shd w:val="clear" w:color="auto" w:fill="FFFFFF"/>
        </w:rPr>
        <w:t>进一步健全和完善财务管理制度及内部控制制度，创新管理手段，用新思路、新方法，改进完善财务管理方法。</w:t>
      </w:r>
    </w:p>
    <w:p w14:paraId="0F09DF85">
      <w:pPr>
        <w:pStyle w:val="14"/>
        <w:rPr>
          <w:rFonts w:hint="eastAsia" w:eastAsia="仿宋_GB2312" w:cs="仿宋_GB2312"/>
          <w:kern w:val="0"/>
          <w:sz w:val="32"/>
          <w:szCs w:val="32"/>
        </w:rPr>
      </w:pPr>
    </w:p>
    <w:p w14:paraId="6F93D00E">
      <w:pPr>
        <w:pStyle w:val="14"/>
        <w:rPr>
          <w:rFonts w:hint="eastAsia" w:eastAsia="仿宋_GB2312" w:cs="仿宋_GB2312"/>
          <w:kern w:val="0"/>
          <w:sz w:val="32"/>
          <w:szCs w:val="32"/>
        </w:rPr>
      </w:pPr>
    </w:p>
    <w:p w14:paraId="5633DA9A">
      <w:pPr>
        <w:pStyle w:val="14"/>
        <w:rPr>
          <w:rFonts w:hint="eastAsia" w:eastAsia="仿宋_GB2312" w:cs="仿宋_GB2312"/>
          <w:kern w:val="0"/>
          <w:sz w:val="32"/>
          <w:szCs w:val="32"/>
        </w:rPr>
      </w:pPr>
    </w:p>
    <w:p w14:paraId="75D1284F">
      <w:pPr>
        <w:pStyle w:val="14"/>
        <w:rPr>
          <w:rFonts w:hint="eastAsia" w:eastAsia="仿宋_GB2312" w:cs="仿宋_GB2312"/>
          <w:kern w:val="0"/>
          <w:sz w:val="32"/>
          <w:szCs w:val="32"/>
        </w:rPr>
      </w:pPr>
    </w:p>
    <w:p w14:paraId="04D02F06">
      <w:pP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br w:type="page"/>
      </w:r>
    </w:p>
    <w:p w14:paraId="6C90C7A7">
      <w:pPr>
        <w:pStyle w:val="2"/>
        <w:rPr>
          <w:rFonts w:hint="eastAsia"/>
          <w:lang w:val="en-US" w:eastAsia="zh-CN"/>
        </w:rPr>
      </w:pPr>
    </w:p>
    <w:p w14:paraId="35CD92AE">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广元市经济合作和外事局</w:t>
      </w:r>
    </w:p>
    <w:p w14:paraId="7F5EE3AC">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关于2024年度招商引资项目支出绩效</w:t>
      </w:r>
    </w:p>
    <w:p w14:paraId="6460AC6F">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自 评 报 告</w:t>
      </w:r>
    </w:p>
    <w:p w14:paraId="61A924F5">
      <w:pPr>
        <w:keepNext w:val="0"/>
        <w:keepLines w:val="0"/>
        <w:pageBreakBefore w:val="0"/>
        <w:widowControl w:val="0"/>
        <w:kinsoku/>
        <w:wordWrap/>
        <w:overflowPunct/>
        <w:topLinePunct w:val="0"/>
        <w:autoSpaceDE/>
        <w:autoSpaceDN/>
        <w:bidi w:val="0"/>
        <w:spacing w:line="576" w:lineRule="exact"/>
        <w:ind w:left="0" w:leftChars="0" w:firstLine="640"/>
        <w:jc w:val="both"/>
        <w:textAlignment w:val="auto"/>
        <w:rPr>
          <w:rFonts w:hint="eastAsia" w:ascii="Times New Roman" w:hAnsi="Times New Roman" w:eastAsia="宋体" w:cs="Times New Roman"/>
          <w:color w:val="auto"/>
          <w:kern w:val="2"/>
          <w:sz w:val="32"/>
          <w:szCs w:val="32"/>
          <w:highlight w:val="none"/>
          <w:lang w:val="zh-CN" w:eastAsia="zh-CN" w:bidi="ar-SA"/>
        </w:rPr>
      </w:pPr>
    </w:p>
    <w:p w14:paraId="01B916C0">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hint="default" w:ascii="宋体" w:hAnsi="宋体" w:eastAsia="黑体" w:cs="Times New Roman"/>
          <w:b w:val="0"/>
          <w:bCs w:val="0"/>
          <w:color w:val="auto"/>
          <w:position w:val="0"/>
          <w:sz w:val="32"/>
          <w:szCs w:val="32"/>
          <w:highlight w:val="none"/>
          <w:lang w:val="zh-CN"/>
        </w:rPr>
      </w:pPr>
      <w:r>
        <w:rPr>
          <w:rFonts w:hint="default" w:ascii="宋体" w:hAnsi="宋体" w:eastAsia="黑体" w:cs="Times New Roman"/>
          <w:b w:val="0"/>
          <w:bCs w:val="0"/>
          <w:color w:val="auto"/>
          <w:position w:val="0"/>
          <w:sz w:val="32"/>
          <w:szCs w:val="32"/>
          <w:highlight w:val="none"/>
        </w:rPr>
        <w:t>一、</w:t>
      </w:r>
      <w:r>
        <w:rPr>
          <w:rFonts w:hint="default" w:ascii="宋体" w:hAnsi="宋体" w:eastAsia="黑体" w:cs="Times New Roman"/>
          <w:b w:val="0"/>
          <w:bCs w:val="0"/>
          <w:color w:val="auto"/>
          <w:position w:val="0"/>
          <w:sz w:val="32"/>
          <w:szCs w:val="32"/>
          <w:highlight w:val="none"/>
          <w:lang w:val="zh-CN"/>
        </w:rPr>
        <w:t>项目概况</w:t>
      </w:r>
    </w:p>
    <w:p w14:paraId="160887C8">
      <w:pPr>
        <w:keepNext w:val="0"/>
        <w:keepLines w:val="0"/>
        <w:pageBreakBefore w:val="0"/>
        <w:widowControl w:val="0"/>
        <w:kinsoku/>
        <w:wordWrap/>
        <w:overflowPunct/>
        <w:topLinePunct w:val="0"/>
        <w:autoSpaceDE/>
        <w:autoSpaceDN/>
        <w:bidi w:val="0"/>
        <w:snapToGrid w:val="0"/>
        <w:spacing w:line="576" w:lineRule="exact"/>
        <w:ind w:leftChars="0" w:firstLine="640" w:firstLineChars="200"/>
        <w:jc w:val="both"/>
        <w:textAlignment w:val="auto"/>
        <w:rPr>
          <w:rFonts w:hint="default" w:ascii="宋体" w:hAnsi="宋体" w:eastAsia="楷体_GB2312" w:cs="Times New Roman"/>
          <w:b w:val="0"/>
          <w:bCs w:val="0"/>
          <w:color w:val="auto"/>
          <w:position w:val="0"/>
          <w:sz w:val="32"/>
          <w:szCs w:val="32"/>
          <w:highlight w:val="none"/>
          <w:u w:val="none"/>
          <w:lang w:val="zh-CN"/>
        </w:rPr>
      </w:pPr>
      <w:r>
        <w:rPr>
          <w:rFonts w:hint="default" w:ascii="宋体" w:hAnsi="宋体" w:eastAsia="楷体_GB2312" w:cs="Times New Roman"/>
          <w:b w:val="0"/>
          <w:bCs w:val="0"/>
          <w:color w:val="auto"/>
          <w:position w:val="0"/>
          <w:sz w:val="32"/>
          <w:szCs w:val="32"/>
          <w:highlight w:val="none"/>
          <w:u w:val="none"/>
          <w:lang w:val="zh-CN"/>
        </w:rPr>
        <w:t>（一）设立背景及基本情况</w:t>
      </w:r>
    </w:p>
    <w:p w14:paraId="11C5BDBF">
      <w:pPr>
        <w:keepNext w:val="0"/>
        <w:keepLines w:val="0"/>
        <w:pageBreakBefore w:val="0"/>
        <w:widowControl w:val="0"/>
        <w:kinsoku/>
        <w:wordWrap/>
        <w:overflowPunct/>
        <w:topLinePunct w:val="0"/>
        <w:autoSpaceDE/>
        <w:autoSpaceDN/>
        <w:bidi w:val="0"/>
        <w:snapToGrid w:val="0"/>
        <w:spacing w:line="576" w:lineRule="exact"/>
        <w:ind w:leftChars="0" w:firstLine="640" w:firstLineChars="200"/>
        <w:jc w:val="both"/>
        <w:textAlignment w:val="auto"/>
        <w:rPr>
          <w:rFonts w:ascii="宋体" w:hAnsi="宋体" w:eastAsia="仿宋_GB2312" w:cs="Times New Roman"/>
          <w:color w:val="auto"/>
          <w:position w:val="0"/>
          <w:sz w:val="32"/>
          <w:szCs w:val="32"/>
        </w:rPr>
      </w:pPr>
      <w:r>
        <w:rPr>
          <w:rFonts w:hint="eastAsia" w:ascii="宋体" w:hAnsi="宋体" w:eastAsia="仿宋_GB2312" w:cs="Times New Roman"/>
          <w:color w:val="auto"/>
          <w:position w:val="0"/>
          <w:sz w:val="32"/>
          <w:szCs w:val="32"/>
          <w:lang w:val="en-US" w:eastAsia="zh-CN"/>
        </w:rPr>
        <w:t>1.项目设立原因及资金依据。</w:t>
      </w:r>
      <w:r>
        <w:rPr>
          <w:rFonts w:hint="eastAsia" w:ascii="宋体" w:hAnsi="宋体" w:eastAsia="仿宋_GB2312" w:cs="Times New Roman"/>
          <w:color w:val="auto"/>
          <w:position w:val="0"/>
          <w:sz w:val="32"/>
          <w:szCs w:val="32"/>
        </w:rPr>
        <w:t>根据《中共广元市委 广元市人民政府关于推进投资促进体制改革的实施意见》（广委发〔2017〕12号）精神，加大项目投资，聚焦产业发展，主动适应经济发展新常态和市委、市政府对投资促进工作的新要求，坚持市场化改革取向，对投资促进重点领域和关键环</w:t>
      </w:r>
      <w:r>
        <w:rPr>
          <w:rFonts w:hint="eastAsia" w:ascii="宋体" w:hAnsi="宋体" w:eastAsia="仿宋_GB2312" w:cs="Times New Roman"/>
          <w:color w:val="auto"/>
          <w:position w:val="0"/>
          <w:sz w:val="32"/>
          <w:szCs w:val="32"/>
          <w:lang w:eastAsia="zh-CN"/>
        </w:rPr>
        <w:t>节</w:t>
      </w:r>
      <w:r>
        <w:rPr>
          <w:rFonts w:hint="eastAsia" w:ascii="宋体" w:hAnsi="宋体" w:eastAsia="仿宋_GB2312" w:cs="Times New Roman"/>
          <w:color w:val="auto"/>
          <w:position w:val="0"/>
          <w:sz w:val="32"/>
          <w:szCs w:val="32"/>
        </w:rPr>
        <w:t>进行改革创新，不断增强投资促进工作有效性，提升投资促进对全市经济社会发展的贡献度。</w:t>
      </w:r>
    </w:p>
    <w:p w14:paraId="0D6DFA3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contextualSpacing/>
        <w:jc w:val="both"/>
        <w:textAlignment w:val="auto"/>
        <w:rPr>
          <w:rFonts w:hint="eastAsia" w:ascii="宋体" w:hAnsi="宋体" w:eastAsia="楷体_GB2312" w:cs="楷体_GB2312"/>
          <w:color w:val="auto"/>
          <w:position w:val="0"/>
          <w:sz w:val="32"/>
          <w:szCs w:val="32"/>
          <w:lang w:val="zh-CN" w:eastAsia="zh-CN"/>
        </w:rPr>
      </w:pPr>
      <w:r>
        <w:rPr>
          <w:rFonts w:hint="eastAsia" w:ascii="宋体" w:hAnsi="宋体" w:eastAsia="楷体_GB2312" w:cs="楷体_GB2312"/>
          <w:color w:val="auto"/>
          <w:position w:val="0"/>
          <w:sz w:val="32"/>
          <w:szCs w:val="32"/>
          <w:lang w:val="en-US" w:eastAsia="zh-CN"/>
        </w:rPr>
        <w:t>2.</w:t>
      </w:r>
      <w:r>
        <w:rPr>
          <w:rFonts w:hint="eastAsia" w:ascii="宋体" w:hAnsi="宋体" w:eastAsia="楷体_GB2312" w:cs="楷体_GB2312"/>
          <w:color w:val="auto"/>
          <w:position w:val="0"/>
          <w:sz w:val="32"/>
          <w:szCs w:val="32"/>
          <w:lang w:val="zh-CN" w:eastAsia="zh-CN"/>
        </w:rPr>
        <w:t>主管部门职能</w:t>
      </w:r>
    </w:p>
    <w:p w14:paraId="5D06500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auto"/>
          <w:kern w:val="0"/>
          <w:position w:val="0"/>
          <w:sz w:val="32"/>
          <w:szCs w:val="32"/>
          <w:lang w:val="en-US" w:eastAsia="en-US" w:bidi="ar-SA"/>
        </w:rPr>
      </w:pPr>
      <w:r>
        <w:rPr>
          <w:rFonts w:hint="eastAsia" w:ascii="宋体" w:hAnsi="宋体" w:eastAsia="仿宋_GB2312" w:cs="Times New Roman"/>
          <w:bCs/>
          <w:color w:val="auto"/>
          <w:kern w:val="0"/>
          <w:position w:val="0"/>
          <w:sz w:val="32"/>
          <w:szCs w:val="32"/>
          <w:lang w:val="en-US" w:eastAsia="zh-CN" w:bidi="ar-SA"/>
        </w:rPr>
        <w:t>（1）</w:t>
      </w:r>
      <w:r>
        <w:rPr>
          <w:rFonts w:hint="default" w:ascii="宋体" w:hAnsi="宋体" w:eastAsia="仿宋_GB2312" w:cs="Times New Roman"/>
          <w:bCs/>
          <w:color w:val="auto"/>
          <w:kern w:val="0"/>
          <w:position w:val="0"/>
          <w:sz w:val="32"/>
          <w:szCs w:val="32"/>
          <w:lang w:val="en-US" w:eastAsia="en-US" w:bidi="ar-SA"/>
        </w:rPr>
        <w:t>负责推进投资促进等有关领域的经济合作（以下简称经济合作）。参与起草有关经济合作的地方性法规和规章草案。参与拟订全市经济合作的中长期规划和年度计划并组织实施。</w:t>
      </w:r>
    </w:p>
    <w:p w14:paraId="35FC78B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jc w:val="both"/>
        <w:textAlignment w:val="auto"/>
        <w:outlineLvl w:val="9"/>
        <w:rPr>
          <w:rFonts w:hint="default" w:ascii="宋体" w:hAnsi="宋体" w:eastAsia="仿宋_GB2312" w:cs="Times New Roman"/>
          <w:bCs/>
          <w:color w:val="auto"/>
          <w:kern w:val="0"/>
          <w:position w:val="0"/>
          <w:sz w:val="32"/>
          <w:szCs w:val="32"/>
          <w:lang w:val="en-US" w:eastAsia="en-US" w:bidi="ar-SA"/>
        </w:rPr>
      </w:pPr>
      <w:r>
        <w:rPr>
          <w:rFonts w:hint="eastAsia" w:ascii="宋体" w:hAnsi="宋体" w:eastAsia="仿宋_GB2312" w:cs="Times New Roman"/>
          <w:bCs/>
          <w:color w:val="auto"/>
          <w:kern w:val="0"/>
          <w:position w:val="0"/>
          <w:sz w:val="32"/>
          <w:szCs w:val="32"/>
          <w:lang w:val="en-US" w:eastAsia="zh-CN" w:bidi="ar-SA"/>
        </w:rPr>
        <w:t>（2）</w:t>
      </w:r>
      <w:r>
        <w:rPr>
          <w:rFonts w:hint="default" w:ascii="宋体" w:hAnsi="宋体" w:eastAsia="仿宋_GB2312" w:cs="Times New Roman"/>
          <w:bCs/>
          <w:color w:val="auto"/>
          <w:kern w:val="0"/>
          <w:position w:val="0"/>
          <w:sz w:val="32"/>
          <w:szCs w:val="32"/>
          <w:lang w:val="en-US" w:eastAsia="en-US" w:bidi="ar-SA"/>
        </w:rPr>
        <w:t>统筹指导全市投资促进工作。拟订全市投资促进政策、投资促进中长期规划和年度计划并组织实施。负责全市投资环境推介工作。统筹组织市级重大投资促进活动。牵头全市重大招商</w:t>
      </w:r>
      <w:r>
        <w:rPr>
          <w:rFonts w:hint="default" w:ascii="宋体" w:hAnsi="宋体" w:eastAsia="仿宋_GB2312" w:cs="Times New Roman"/>
          <w:bCs/>
          <w:color w:val="auto"/>
          <w:spacing w:val="-6"/>
          <w:kern w:val="0"/>
          <w:position w:val="0"/>
          <w:sz w:val="32"/>
          <w:szCs w:val="32"/>
          <w:lang w:val="en-US" w:eastAsia="en-US" w:bidi="ar-SA"/>
        </w:rPr>
        <w:t>引资项目的促进和落实。推进投资促进和管理服务网络体系建设。</w:t>
      </w:r>
    </w:p>
    <w:p w14:paraId="05DC583A">
      <w:pPr>
        <w:rPr>
          <w:rFonts w:hint="default"/>
        </w:rPr>
        <w:sectPr>
          <w:pgSz w:w="11906" w:h="16838"/>
          <w:pgMar w:top="2098" w:right="1474" w:bottom="1247" w:left="1587" w:header="851" w:footer="1247"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42DAD63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auto"/>
          <w:kern w:val="0"/>
          <w:position w:val="0"/>
          <w:sz w:val="32"/>
          <w:szCs w:val="32"/>
          <w:lang w:val="en-US" w:eastAsia="en-US" w:bidi="ar-SA"/>
        </w:rPr>
      </w:pPr>
      <w:r>
        <w:rPr>
          <w:rFonts w:hint="eastAsia" w:ascii="宋体" w:hAnsi="宋体" w:eastAsia="仿宋_GB2312" w:cs="Times New Roman"/>
          <w:bCs/>
          <w:color w:val="auto"/>
          <w:kern w:val="0"/>
          <w:position w:val="0"/>
          <w:sz w:val="32"/>
          <w:szCs w:val="32"/>
          <w:lang w:val="en-US" w:eastAsia="zh-CN" w:bidi="ar-SA"/>
        </w:rPr>
        <w:t>（3）</w:t>
      </w:r>
      <w:r>
        <w:rPr>
          <w:rFonts w:hint="default" w:ascii="宋体" w:hAnsi="宋体" w:eastAsia="仿宋_GB2312" w:cs="Times New Roman"/>
          <w:bCs/>
          <w:color w:val="auto"/>
          <w:kern w:val="0"/>
          <w:position w:val="0"/>
          <w:sz w:val="32"/>
          <w:szCs w:val="32"/>
          <w:lang w:val="en-US" w:eastAsia="en-US" w:bidi="ar-SA"/>
        </w:rPr>
        <w:t>指导外商投资促进和管理工作。参与拟订外商投资政策和改革方案并组织实施。统计分析全市外商投资情况。依法监督检查外商投资企业执行有关法律法规规章、合同章程的情况并协调解决有关问题。</w:t>
      </w:r>
    </w:p>
    <w:p w14:paraId="61C5E4A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auto"/>
          <w:kern w:val="0"/>
          <w:position w:val="0"/>
          <w:sz w:val="32"/>
          <w:szCs w:val="32"/>
          <w:lang w:val="en-US" w:eastAsia="en-US" w:bidi="ar-SA"/>
        </w:rPr>
      </w:pPr>
      <w:r>
        <w:rPr>
          <w:rFonts w:hint="eastAsia" w:ascii="宋体" w:hAnsi="宋体" w:eastAsia="仿宋_GB2312" w:cs="Times New Roman"/>
          <w:bCs/>
          <w:color w:val="auto"/>
          <w:kern w:val="0"/>
          <w:position w:val="0"/>
          <w:sz w:val="32"/>
          <w:szCs w:val="32"/>
          <w:lang w:val="en-US" w:eastAsia="zh-CN" w:bidi="ar-SA"/>
        </w:rPr>
        <w:t>（4）</w:t>
      </w:r>
      <w:r>
        <w:rPr>
          <w:rFonts w:hint="default" w:ascii="宋体" w:hAnsi="宋体" w:eastAsia="仿宋_GB2312" w:cs="Times New Roman"/>
          <w:bCs/>
          <w:color w:val="auto"/>
          <w:kern w:val="0"/>
          <w:position w:val="0"/>
          <w:sz w:val="32"/>
          <w:szCs w:val="32"/>
          <w:lang w:val="en-US" w:eastAsia="en-US" w:bidi="ar-SA"/>
        </w:rPr>
        <w:t>参与推进我市与国（境）内外相关区域合作。承担我市与国（境）内外相关区域经济合作活动的有关具体工作。</w:t>
      </w:r>
    </w:p>
    <w:p w14:paraId="2C02E92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auto"/>
          <w:kern w:val="0"/>
          <w:position w:val="0"/>
          <w:sz w:val="32"/>
          <w:szCs w:val="32"/>
          <w:lang w:val="en-US" w:eastAsia="en-US" w:bidi="ar-SA"/>
        </w:rPr>
      </w:pPr>
      <w:r>
        <w:rPr>
          <w:rFonts w:hint="eastAsia" w:ascii="宋体" w:hAnsi="宋体" w:eastAsia="仿宋_GB2312" w:cs="Times New Roman"/>
          <w:bCs/>
          <w:color w:val="auto"/>
          <w:kern w:val="0"/>
          <w:position w:val="0"/>
          <w:sz w:val="32"/>
          <w:szCs w:val="32"/>
          <w:lang w:val="en-US" w:eastAsia="zh-CN" w:bidi="ar-SA"/>
        </w:rPr>
        <w:t>（5）</w:t>
      </w:r>
      <w:r>
        <w:rPr>
          <w:rFonts w:hint="default" w:ascii="宋体" w:hAnsi="宋体" w:eastAsia="仿宋_GB2312" w:cs="Times New Roman"/>
          <w:bCs/>
          <w:color w:val="auto"/>
          <w:kern w:val="0"/>
          <w:position w:val="0"/>
          <w:sz w:val="32"/>
          <w:szCs w:val="32"/>
          <w:lang w:val="en-US" w:eastAsia="en-US" w:bidi="ar-SA"/>
        </w:rPr>
        <w:t>承担推动我市与港澳台地区经贸合作有关工作。</w:t>
      </w:r>
    </w:p>
    <w:p w14:paraId="43274FA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auto"/>
          <w:kern w:val="0"/>
          <w:position w:val="0"/>
          <w:sz w:val="32"/>
          <w:szCs w:val="32"/>
          <w:lang w:val="en-US" w:eastAsia="en-US" w:bidi="ar-SA"/>
        </w:rPr>
      </w:pPr>
      <w:r>
        <w:rPr>
          <w:rFonts w:hint="eastAsia" w:ascii="宋体" w:hAnsi="宋体" w:eastAsia="仿宋_GB2312" w:cs="Times New Roman"/>
          <w:bCs/>
          <w:color w:val="auto"/>
          <w:kern w:val="0"/>
          <w:position w:val="0"/>
          <w:sz w:val="32"/>
          <w:szCs w:val="32"/>
          <w:lang w:val="en-US" w:eastAsia="zh-CN" w:bidi="ar-SA"/>
        </w:rPr>
        <w:t>（6）</w:t>
      </w:r>
      <w:r>
        <w:rPr>
          <w:rFonts w:hint="default" w:ascii="宋体" w:hAnsi="宋体" w:eastAsia="仿宋_GB2312" w:cs="Times New Roman"/>
          <w:bCs/>
          <w:color w:val="auto"/>
          <w:kern w:val="0"/>
          <w:position w:val="0"/>
          <w:sz w:val="32"/>
          <w:szCs w:val="32"/>
          <w:lang w:val="en-US" w:eastAsia="en-US" w:bidi="ar-SA"/>
        </w:rPr>
        <w:t>受市政府委托，负责管理市政府各驻外机构（不含市政府驻北京联络处、驻成都办事处，下同）。推动全市博览发展促进工作，参与拟订全市会展业发展规划和相关政策。</w:t>
      </w:r>
    </w:p>
    <w:p w14:paraId="0568271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auto"/>
          <w:kern w:val="0"/>
          <w:position w:val="0"/>
          <w:sz w:val="32"/>
          <w:szCs w:val="32"/>
          <w:lang w:val="en-US" w:eastAsia="en-US" w:bidi="ar-SA"/>
        </w:rPr>
      </w:pPr>
      <w:r>
        <w:rPr>
          <w:rFonts w:hint="eastAsia" w:ascii="宋体" w:hAnsi="宋体" w:eastAsia="仿宋_GB2312" w:cs="Times New Roman"/>
          <w:bCs/>
          <w:color w:val="auto"/>
          <w:kern w:val="0"/>
          <w:position w:val="0"/>
          <w:sz w:val="32"/>
          <w:szCs w:val="32"/>
          <w:lang w:val="en-US" w:eastAsia="zh-CN" w:bidi="ar-SA"/>
        </w:rPr>
        <w:t>（7）</w:t>
      </w:r>
      <w:r>
        <w:rPr>
          <w:rFonts w:hint="default" w:ascii="宋体" w:hAnsi="宋体" w:eastAsia="仿宋_GB2312" w:cs="Times New Roman"/>
          <w:bCs/>
          <w:color w:val="auto"/>
          <w:kern w:val="0"/>
          <w:position w:val="0"/>
          <w:sz w:val="32"/>
          <w:szCs w:val="32"/>
          <w:lang w:val="en-US" w:eastAsia="en-US" w:bidi="ar-SA"/>
        </w:rPr>
        <w:t>负责职责范围内的安全生产和职业健康、生态环境保护、审批服务便民化等工作。</w:t>
      </w:r>
    </w:p>
    <w:p w14:paraId="3D77EFC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Cs/>
          <w:color w:val="auto"/>
          <w:kern w:val="0"/>
          <w:position w:val="0"/>
          <w:sz w:val="32"/>
          <w:szCs w:val="32"/>
          <w:lang w:val="en-US" w:eastAsia="en-US" w:bidi="ar-SA"/>
        </w:rPr>
      </w:pPr>
      <w:r>
        <w:rPr>
          <w:rFonts w:hint="eastAsia" w:ascii="宋体" w:hAnsi="宋体" w:eastAsia="仿宋_GB2312" w:cs="Times New Roman"/>
          <w:bCs/>
          <w:color w:val="auto"/>
          <w:kern w:val="0"/>
          <w:position w:val="0"/>
          <w:sz w:val="32"/>
          <w:szCs w:val="32"/>
          <w:lang w:val="en-US" w:eastAsia="zh-CN" w:bidi="ar-SA"/>
        </w:rPr>
        <w:t>（8）</w:t>
      </w:r>
      <w:r>
        <w:rPr>
          <w:rFonts w:hint="default" w:ascii="宋体" w:hAnsi="宋体" w:eastAsia="仿宋_GB2312" w:cs="Times New Roman"/>
          <w:bCs/>
          <w:color w:val="auto"/>
          <w:kern w:val="0"/>
          <w:position w:val="0"/>
          <w:sz w:val="32"/>
          <w:szCs w:val="32"/>
          <w:lang w:val="en-US" w:eastAsia="en-US" w:bidi="ar-SA"/>
        </w:rPr>
        <w:t>完成市委、市政府交办的其他工作。</w:t>
      </w:r>
    </w:p>
    <w:p w14:paraId="33400C1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outlineLvl w:val="9"/>
        <w:rPr>
          <w:rFonts w:hint="default" w:ascii="宋体" w:hAnsi="宋体" w:eastAsia="仿宋_GB2312" w:cs="Times New Roman"/>
          <w:b w:val="0"/>
          <w:bCs w:val="0"/>
          <w:color w:val="auto"/>
          <w:kern w:val="0"/>
          <w:position w:val="0"/>
          <w:sz w:val="32"/>
          <w:szCs w:val="32"/>
          <w:highlight w:val="none"/>
          <w:u w:val="none"/>
          <w:shd w:val="clear" w:color="auto" w:fill="FFFFFF"/>
          <w:lang w:val="zh-CN" w:eastAsia="en-US" w:bidi="ar-SA"/>
        </w:rPr>
      </w:pPr>
      <w:r>
        <w:rPr>
          <w:rFonts w:hint="eastAsia" w:ascii="宋体" w:hAnsi="宋体" w:eastAsia="仿宋_GB2312" w:cs="Times New Roman"/>
          <w:bCs/>
          <w:color w:val="auto"/>
          <w:kern w:val="0"/>
          <w:position w:val="0"/>
          <w:sz w:val="32"/>
          <w:szCs w:val="32"/>
          <w:lang w:val="en-US" w:eastAsia="zh-CN" w:bidi="ar-SA"/>
        </w:rPr>
        <w:t>（9）</w:t>
      </w:r>
      <w:r>
        <w:rPr>
          <w:rFonts w:hint="default" w:ascii="宋体" w:hAnsi="宋体" w:eastAsia="仿宋_GB2312" w:cs="Times New Roman"/>
          <w:bCs/>
          <w:color w:val="auto"/>
          <w:kern w:val="0"/>
          <w:position w:val="0"/>
          <w:sz w:val="32"/>
          <w:szCs w:val="32"/>
          <w:lang w:val="en-US" w:eastAsia="en-US" w:bidi="ar-SA"/>
        </w:rPr>
        <w:t>职能转变。建立健全体制机制，加强对全市经济合作的统筹，推进内资和外资、招商与博览有机融合发展。优化精准招商、精品招商、集群招商路径和方式，提升开放合作平台影响力，提高招商引资质量，发展壮大重点产业。深入实施外商投资管理体制改革，进一步改进外商投资企业投资管理，提高投资便利化水平。提升与发达地区经济合作层次，推进全市投资促进分工协作、错位发展。加强对重大引进项目的跟踪服务，完善市级重大引进项目激励机制。促进全市博览事业快速发展。</w:t>
      </w:r>
    </w:p>
    <w:p w14:paraId="5E5B3FF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en-US" w:eastAsia="zh-CN"/>
        </w:rPr>
      </w:pPr>
      <w:r>
        <w:rPr>
          <w:rFonts w:hint="default" w:ascii="宋体" w:hAnsi="宋体" w:eastAsia="楷体_GB2312" w:cs="Times New Roman"/>
          <w:b w:val="0"/>
          <w:bCs w:val="0"/>
          <w:color w:val="auto"/>
          <w:position w:val="0"/>
          <w:sz w:val="32"/>
          <w:szCs w:val="32"/>
          <w:highlight w:val="none"/>
          <w:u w:val="none"/>
          <w:lang w:val="zh-CN"/>
        </w:rPr>
        <w:t>（二）</w:t>
      </w:r>
      <w:r>
        <w:rPr>
          <w:rFonts w:hint="default" w:ascii="宋体" w:hAnsi="宋体" w:eastAsia="楷体_GB2312" w:cs="Times New Roman"/>
          <w:b w:val="0"/>
          <w:bCs w:val="0"/>
          <w:color w:val="auto"/>
          <w:position w:val="0"/>
          <w:sz w:val="32"/>
          <w:szCs w:val="32"/>
          <w:highlight w:val="none"/>
          <w:u w:val="none"/>
          <w:lang w:val="en-US" w:eastAsia="zh-CN"/>
        </w:rPr>
        <w:t>实施目的及支持方向</w:t>
      </w:r>
    </w:p>
    <w:p w14:paraId="1D03F1B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zh-CN"/>
        </w:rPr>
      </w:pPr>
      <w:r>
        <w:rPr>
          <w:rFonts w:hint="eastAsia" w:ascii="宋体" w:hAnsi="宋体" w:eastAsia="仿宋_GB2312" w:cs="Times New Roman"/>
          <w:b w:val="0"/>
          <w:bCs w:val="0"/>
          <w:color w:val="auto"/>
          <w:position w:val="0"/>
          <w:sz w:val="32"/>
          <w:szCs w:val="32"/>
          <w:lang w:val="en-US" w:eastAsia="zh-CN"/>
        </w:rPr>
        <w:t>广元市财政局制定了</w:t>
      </w:r>
      <w:r>
        <w:rPr>
          <w:rFonts w:hint="eastAsia" w:ascii="宋体" w:hAnsi="宋体" w:eastAsia="仿宋_GB2312" w:cs="Times New Roman"/>
          <w:b w:val="0"/>
          <w:bCs w:val="0"/>
          <w:color w:val="auto"/>
          <w:position w:val="0"/>
          <w:sz w:val="32"/>
          <w:szCs w:val="32"/>
          <w:lang w:val="zh-CN"/>
        </w:rPr>
        <w:t>《关于印发</w:t>
      </w:r>
      <w:r>
        <w:rPr>
          <w:rFonts w:hint="eastAsia" w:ascii="宋体" w:hAnsi="宋体" w:eastAsia="仿宋_GB2312" w:cs="Times New Roman"/>
          <w:b w:val="0"/>
          <w:bCs w:val="0"/>
          <w:color w:val="auto"/>
          <w:position w:val="0"/>
          <w:sz w:val="32"/>
          <w:szCs w:val="32"/>
          <w:lang w:val="en-US" w:eastAsia="zh-CN"/>
        </w:rPr>
        <w:t>&lt;</w:t>
      </w:r>
      <w:r>
        <w:rPr>
          <w:rFonts w:hint="eastAsia" w:ascii="宋体" w:hAnsi="宋体" w:eastAsia="仿宋_GB2312" w:cs="Times New Roman"/>
          <w:b w:val="0"/>
          <w:bCs w:val="0"/>
          <w:color w:val="auto"/>
          <w:position w:val="0"/>
          <w:sz w:val="32"/>
          <w:szCs w:val="32"/>
          <w:lang w:val="zh-CN"/>
        </w:rPr>
        <w:t>广元市招商引资专项资金管理办法</w:t>
      </w:r>
      <w:r>
        <w:rPr>
          <w:rFonts w:hint="eastAsia" w:ascii="宋体" w:hAnsi="宋体" w:eastAsia="仿宋_GB2312" w:cs="Times New Roman"/>
          <w:b w:val="0"/>
          <w:bCs w:val="0"/>
          <w:color w:val="auto"/>
          <w:position w:val="0"/>
          <w:sz w:val="32"/>
          <w:szCs w:val="32"/>
          <w:lang w:val="en-US" w:eastAsia="zh-CN"/>
        </w:rPr>
        <w:t>&gt;</w:t>
      </w:r>
      <w:r>
        <w:rPr>
          <w:rFonts w:hint="eastAsia" w:ascii="宋体" w:hAnsi="宋体" w:eastAsia="仿宋_GB2312" w:cs="Times New Roman"/>
          <w:b w:val="0"/>
          <w:bCs w:val="0"/>
          <w:color w:val="auto"/>
          <w:position w:val="0"/>
          <w:sz w:val="32"/>
          <w:szCs w:val="32"/>
          <w:lang w:val="zh-CN"/>
        </w:rPr>
        <w:t>的通知》（</w:t>
      </w:r>
      <w:r>
        <w:rPr>
          <w:rFonts w:hint="eastAsia" w:ascii="宋体" w:hAnsi="宋体" w:eastAsia="仿宋_GB2312" w:cs="仿宋_GB2312"/>
          <w:b w:val="0"/>
          <w:bCs w:val="0"/>
          <w:color w:val="auto"/>
          <w:position w:val="0"/>
          <w:sz w:val="32"/>
          <w:szCs w:val="32"/>
          <w:lang w:val="en-US" w:eastAsia="zh-CN"/>
        </w:rPr>
        <w:t>广财行</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2018</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46号）</w:t>
      </w:r>
      <w:r>
        <w:rPr>
          <w:rFonts w:hint="eastAsia" w:ascii="宋体" w:hAnsi="宋体" w:eastAsia="仿宋_GB2312" w:cs="Times New Roman"/>
          <w:b w:val="0"/>
          <w:bCs w:val="0"/>
          <w:color w:val="auto"/>
          <w:position w:val="0"/>
          <w:sz w:val="32"/>
          <w:szCs w:val="32"/>
          <w:lang w:val="zh-CN"/>
        </w:rPr>
        <w:t>，我单位制定了《广元市投促委员会办公室关于印发</w:t>
      </w:r>
      <w:r>
        <w:rPr>
          <w:rFonts w:hint="eastAsia" w:ascii="宋体" w:hAnsi="宋体" w:eastAsia="仿宋_GB2312" w:cs="Times New Roman"/>
          <w:b w:val="0"/>
          <w:bCs w:val="0"/>
          <w:color w:val="auto"/>
          <w:position w:val="0"/>
          <w:sz w:val="32"/>
          <w:szCs w:val="32"/>
          <w:lang w:val="en-US" w:eastAsia="zh-CN"/>
        </w:rPr>
        <w:t>&lt;广元市商务接待管理办法（试行）的通知&gt;</w:t>
      </w:r>
      <w:r>
        <w:rPr>
          <w:rFonts w:hint="eastAsia" w:ascii="宋体" w:hAnsi="宋体" w:eastAsia="仿宋_GB2312" w:cs="Times New Roman"/>
          <w:b w:val="0"/>
          <w:bCs w:val="0"/>
          <w:color w:val="auto"/>
          <w:position w:val="0"/>
          <w:sz w:val="32"/>
          <w:szCs w:val="32"/>
          <w:lang w:val="zh-CN"/>
        </w:rPr>
        <w:t>》（</w:t>
      </w:r>
      <w:r>
        <w:rPr>
          <w:rFonts w:hint="eastAsia" w:ascii="宋体" w:hAnsi="宋体" w:eastAsia="仿宋_GB2312" w:cs="仿宋_GB2312"/>
          <w:b w:val="0"/>
          <w:bCs w:val="0"/>
          <w:color w:val="auto"/>
          <w:position w:val="0"/>
          <w:sz w:val="32"/>
          <w:szCs w:val="32"/>
          <w:lang w:val="en-US" w:eastAsia="zh-CN"/>
        </w:rPr>
        <w:t>广投促委办</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2023</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26号</w:t>
      </w:r>
      <w:r>
        <w:rPr>
          <w:rFonts w:hint="eastAsia" w:ascii="宋体" w:hAnsi="宋体" w:eastAsia="仿宋_GB2312" w:cs="Times New Roman"/>
          <w:b w:val="0"/>
          <w:bCs w:val="0"/>
          <w:color w:val="auto"/>
          <w:position w:val="0"/>
          <w:sz w:val="32"/>
          <w:szCs w:val="32"/>
          <w:lang w:val="zh-CN"/>
        </w:rPr>
        <w:t>）</w:t>
      </w:r>
      <w:r>
        <w:rPr>
          <w:rFonts w:hint="eastAsia" w:ascii="宋体" w:hAnsi="宋体" w:eastAsia="仿宋_GB2312" w:cs="仿宋_GB2312"/>
          <w:b w:val="0"/>
          <w:bCs w:val="0"/>
          <w:color w:val="auto"/>
          <w:position w:val="0"/>
          <w:sz w:val="32"/>
          <w:szCs w:val="32"/>
          <w:lang w:val="en-US" w:eastAsia="zh-CN"/>
        </w:rPr>
        <w:t>等一系列管理办法，并</w:t>
      </w:r>
      <w:r>
        <w:rPr>
          <w:rFonts w:hint="eastAsia" w:ascii="宋体" w:hAnsi="宋体" w:eastAsia="仿宋_GB2312" w:cs="Times New Roman"/>
          <w:b w:val="0"/>
          <w:bCs w:val="0"/>
          <w:color w:val="auto"/>
          <w:position w:val="0"/>
          <w:sz w:val="32"/>
          <w:szCs w:val="32"/>
          <w:lang w:val="zh-CN"/>
        </w:rPr>
        <w:t>严格执行财务管理制度，按照“专款专用，注重实效”的原则</w:t>
      </w:r>
      <w:r>
        <w:rPr>
          <w:rFonts w:hint="eastAsia" w:ascii="宋体" w:hAnsi="宋体" w:eastAsia="仿宋_GB2312" w:cs="Times New Roman"/>
          <w:b w:val="0"/>
          <w:bCs w:val="0"/>
          <w:color w:val="auto"/>
          <w:spacing w:val="-6"/>
          <w:position w:val="0"/>
          <w:sz w:val="32"/>
          <w:szCs w:val="32"/>
          <w:lang w:val="zh-CN"/>
        </w:rPr>
        <w:t>进行管理。严格执行</w:t>
      </w:r>
      <w:r>
        <w:rPr>
          <w:rFonts w:hint="eastAsia" w:ascii="宋体" w:hAnsi="宋体" w:eastAsia="仿宋_GB2312" w:cs="Times New Roman"/>
          <w:b w:val="0"/>
          <w:bCs w:val="0"/>
          <w:color w:val="auto"/>
          <w:spacing w:val="-6"/>
          <w:position w:val="0"/>
          <w:sz w:val="32"/>
          <w:szCs w:val="32"/>
          <w:lang w:val="en-US" w:eastAsia="zh-CN"/>
        </w:rPr>
        <w:t>财务</w:t>
      </w:r>
      <w:r>
        <w:rPr>
          <w:rFonts w:hint="eastAsia" w:ascii="宋体" w:hAnsi="宋体" w:eastAsia="仿宋_GB2312" w:cs="Times New Roman"/>
          <w:b w:val="0"/>
          <w:bCs w:val="0"/>
          <w:color w:val="auto"/>
          <w:spacing w:val="-6"/>
          <w:position w:val="0"/>
          <w:sz w:val="32"/>
          <w:szCs w:val="32"/>
          <w:lang w:val="zh-CN"/>
        </w:rPr>
        <w:t>管理及资金支付制度，从制度上为规范资金管理提供保障，</w:t>
      </w:r>
      <w:r>
        <w:rPr>
          <w:rFonts w:hint="eastAsia" w:ascii="宋体" w:hAnsi="宋体" w:eastAsia="仿宋_GB2312" w:cs="Times New Roman"/>
          <w:b w:val="0"/>
          <w:bCs w:val="0"/>
          <w:color w:val="auto"/>
          <w:spacing w:val="-6"/>
          <w:position w:val="0"/>
          <w:sz w:val="32"/>
          <w:szCs w:val="32"/>
          <w:lang w:val="zh-CN" w:eastAsia="zh-CN"/>
        </w:rPr>
        <w:t>保证了</w:t>
      </w:r>
      <w:r>
        <w:rPr>
          <w:rFonts w:hint="eastAsia" w:ascii="宋体" w:hAnsi="宋体" w:eastAsia="仿宋_GB2312" w:cs="Times New Roman"/>
          <w:b w:val="0"/>
          <w:bCs w:val="0"/>
          <w:color w:val="auto"/>
          <w:spacing w:val="-6"/>
          <w:position w:val="0"/>
          <w:sz w:val="32"/>
          <w:szCs w:val="32"/>
          <w:lang w:val="zh-CN"/>
        </w:rPr>
        <w:t>资金使用管理的规范性、安全性和有效性</w:t>
      </w:r>
      <w:r>
        <w:rPr>
          <w:rFonts w:hint="default" w:ascii="宋体" w:hAnsi="宋体" w:eastAsia="仿宋_GB2312" w:cs="Times New Roman"/>
          <w:b w:val="0"/>
          <w:bCs w:val="0"/>
          <w:color w:val="auto"/>
          <w:spacing w:val="-6"/>
          <w:kern w:val="0"/>
          <w:position w:val="0"/>
          <w:sz w:val="32"/>
          <w:szCs w:val="32"/>
          <w:highlight w:val="none"/>
          <w:u w:val="none"/>
          <w:shd w:val="clear" w:color="auto" w:fill="FFFFFF"/>
          <w:lang w:val="zh-CN"/>
        </w:rPr>
        <w:t>。</w:t>
      </w:r>
    </w:p>
    <w:p w14:paraId="1D67671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宋体" w:hAnsi="宋体" w:eastAsia="楷体_GB2312" w:cs="Times New Roman"/>
          <w:b w:val="0"/>
          <w:bCs w:val="0"/>
          <w:color w:val="auto"/>
          <w:position w:val="0"/>
          <w:sz w:val="32"/>
          <w:szCs w:val="32"/>
          <w:highlight w:val="none"/>
          <w:u w:val="none"/>
          <w:lang w:val="en-US" w:eastAsia="zh-CN"/>
        </w:rPr>
      </w:pPr>
      <w:r>
        <w:rPr>
          <w:rFonts w:hint="default" w:ascii="宋体" w:hAnsi="宋体" w:eastAsia="楷体_GB2312" w:cs="Times New Roman"/>
          <w:b w:val="0"/>
          <w:bCs w:val="0"/>
          <w:color w:val="auto"/>
          <w:position w:val="0"/>
          <w:sz w:val="32"/>
          <w:szCs w:val="32"/>
          <w:highlight w:val="none"/>
          <w:u w:val="none"/>
          <w:lang w:val="zh-CN" w:eastAsia="zh-CN"/>
        </w:rPr>
        <w:t>（三）</w:t>
      </w:r>
      <w:r>
        <w:rPr>
          <w:rFonts w:hint="default" w:ascii="宋体" w:hAnsi="宋体" w:eastAsia="楷体_GB2312" w:cs="Times New Roman"/>
          <w:b w:val="0"/>
          <w:bCs w:val="0"/>
          <w:color w:val="auto"/>
          <w:position w:val="0"/>
          <w:sz w:val="32"/>
          <w:szCs w:val="32"/>
          <w:highlight w:val="none"/>
          <w:u w:val="none"/>
          <w:lang w:val="en-US" w:eastAsia="zh-CN"/>
        </w:rPr>
        <w:t>预算安排及分配管理</w:t>
      </w:r>
    </w:p>
    <w:p w14:paraId="676881F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宋体" w:hAnsi="宋体" w:eastAsia="仿宋_GB2312" w:cs="Times New Roman"/>
          <w:b w:val="0"/>
          <w:bCs w:val="0"/>
          <w:color w:val="auto"/>
          <w:kern w:val="0"/>
          <w:position w:val="0"/>
          <w:sz w:val="32"/>
          <w:szCs w:val="32"/>
          <w:highlight w:val="none"/>
          <w:u w:val="none"/>
          <w:shd w:val="clear" w:color="auto" w:fill="FFFFFF"/>
          <w:lang w:val="zh-CN"/>
        </w:rPr>
      </w:pPr>
      <w:r>
        <w:rPr>
          <w:rFonts w:hint="eastAsia" w:ascii="宋体" w:hAnsi="宋体" w:eastAsia="仿宋_GB2312" w:cs="仿宋_GB2312"/>
          <w:color w:val="auto"/>
          <w:position w:val="0"/>
          <w:sz w:val="32"/>
          <w:szCs w:val="32"/>
          <w:lang w:val="zh-CN" w:eastAsia="zh-CN"/>
        </w:rPr>
        <w:t>根</w:t>
      </w:r>
      <w:r>
        <w:rPr>
          <w:rFonts w:hint="eastAsia" w:ascii="宋体" w:hAnsi="宋体" w:eastAsia="仿宋_GB2312" w:cs="仿宋_GB2312"/>
          <w:color w:val="auto"/>
          <w:position w:val="0"/>
          <w:sz w:val="32"/>
          <w:szCs w:val="32"/>
          <w:lang w:val="en-US" w:eastAsia="zh-CN"/>
        </w:rPr>
        <w:t>据《中共广元市委 广元市人民政府关于推进投资促进体制机制改革的实施意见》（广委发〔2017〕12号）精神，同时结合招商工作实际需要，按照每季度100万元、全年400万元预算，作为</w:t>
      </w:r>
      <w:r>
        <w:rPr>
          <w:rFonts w:hint="eastAsia" w:ascii="宋体" w:hAnsi="宋体" w:eastAsia="仿宋_GB2312" w:cs="仿宋_GB2312"/>
          <w:color w:val="auto"/>
          <w:kern w:val="0"/>
          <w:position w:val="0"/>
          <w:sz w:val="32"/>
          <w:szCs w:val="32"/>
          <w:lang w:val="en-US" w:eastAsia="zh-CN" w:bidi="ar-SA"/>
        </w:rPr>
        <w:t>保障我单位重大招商引资项目的考察、论证、洽谈、宣传和推介活动，国内外重要投资商来广元考察、洽谈及接待活动，市委、市政府在国内外开展的重点招商引资等工作支出。</w:t>
      </w:r>
    </w:p>
    <w:p w14:paraId="5806242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宋体" w:hAnsi="宋体" w:eastAsia="楷体_GB2312" w:cs="Times New Roman"/>
          <w:b w:val="0"/>
          <w:bCs w:val="0"/>
          <w:color w:val="auto"/>
          <w:position w:val="0"/>
          <w:sz w:val="32"/>
          <w:szCs w:val="32"/>
          <w:highlight w:val="none"/>
          <w:u w:val="none"/>
          <w:lang w:val="zh-CN" w:eastAsia="zh-CN"/>
        </w:rPr>
      </w:pPr>
      <w:r>
        <w:rPr>
          <w:rFonts w:hint="default" w:ascii="宋体" w:hAnsi="宋体" w:eastAsia="楷体_GB2312" w:cs="Times New Roman"/>
          <w:b w:val="0"/>
          <w:bCs w:val="0"/>
          <w:color w:val="auto"/>
          <w:position w:val="0"/>
          <w:sz w:val="32"/>
          <w:szCs w:val="32"/>
          <w:highlight w:val="none"/>
          <w:u w:val="none"/>
          <w:lang w:val="zh-CN" w:eastAsia="zh-CN"/>
        </w:rPr>
        <w:t>（四）项目绩效目标设置</w:t>
      </w:r>
    </w:p>
    <w:p w14:paraId="58BDF92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contextualSpacing/>
        <w:jc w:val="both"/>
        <w:textAlignment w:val="auto"/>
        <w:outlineLvl w:val="9"/>
        <w:rPr>
          <w:rFonts w:hint="default" w:ascii="宋体" w:hAnsi="宋体" w:eastAsia="仿宋_GB2312" w:cs="Times New Roman"/>
          <w:b w:val="0"/>
          <w:bCs w:val="0"/>
          <w:color w:val="auto"/>
          <w:kern w:val="0"/>
          <w:position w:val="0"/>
          <w:sz w:val="32"/>
          <w:szCs w:val="32"/>
          <w:highlight w:val="none"/>
          <w:u w:val="none"/>
          <w:shd w:val="clear" w:color="auto" w:fill="FFFFFF"/>
          <w:lang w:val="zh-CN" w:eastAsia="zh-CN"/>
        </w:rPr>
      </w:pPr>
      <w:r>
        <w:rPr>
          <w:rFonts w:hint="eastAsia" w:ascii="宋体" w:hAnsi="宋体" w:eastAsia="仿宋_GB2312" w:cs="仿宋_GB2312"/>
          <w:b w:val="0"/>
          <w:bCs w:val="0"/>
          <w:color w:val="auto"/>
          <w:kern w:val="0"/>
          <w:position w:val="0"/>
          <w:sz w:val="32"/>
          <w:szCs w:val="32"/>
          <w:highlight w:val="none"/>
          <w:u w:val="none"/>
          <w:shd w:val="clear" w:color="auto" w:fill="FFFFFF"/>
          <w:lang w:val="zh-CN"/>
        </w:rPr>
        <w:t>项目应实现的具体绩效目标，</w:t>
      </w:r>
      <w:r>
        <w:rPr>
          <w:rFonts w:hint="eastAsia" w:ascii="宋体" w:hAnsi="宋体" w:eastAsia="仿宋_GB2312" w:cs="仿宋_GB2312"/>
          <w:b w:val="0"/>
          <w:bCs w:val="0"/>
          <w:color w:val="auto"/>
          <w:kern w:val="0"/>
          <w:position w:val="0"/>
          <w:sz w:val="32"/>
          <w:szCs w:val="32"/>
          <w:highlight w:val="none"/>
          <w:u w:val="none"/>
          <w:shd w:val="clear" w:color="auto" w:fill="FFFFFF"/>
          <w:lang w:val="en-US" w:eastAsia="zh-CN"/>
        </w:rPr>
        <w:t>包括但不限于：</w:t>
      </w:r>
      <w:r>
        <w:rPr>
          <w:rFonts w:hint="eastAsia" w:ascii="宋体" w:hAnsi="宋体" w:eastAsia="仿宋_GB2312" w:cs="Times New Roman"/>
          <w:b w:val="0"/>
          <w:bCs w:val="0"/>
          <w:color w:val="auto"/>
          <w:position w:val="0"/>
          <w:sz w:val="32"/>
          <w:szCs w:val="32"/>
          <w:lang w:val="en-US" w:eastAsia="zh-CN"/>
        </w:rPr>
        <w:t>负责全市投资环境推介工作，统筹组织市级重大投资促进活动，牵头全市重大招商引资项目的促进与落实。争取在2024年实现</w:t>
      </w:r>
      <w:r>
        <w:rPr>
          <w:rFonts w:hint="eastAsia" w:ascii="宋体" w:hAnsi="宋体" w:eastAsia="仿宋_GB2312" w:cs="仿宋_GB2312"/>
          <w:b w:val="0"/>
          <w:bCs w:val="0"/>
          <w:color w:val="auto"/>
          <w:kern w:val="0"/>
          <w:position w:val="0"/>
          <w:sz w:val="32"/>
          <w:szCs w:val="32"/>
          <w:highlight w:val="none"/>
          <w:u w:val="none"/>
          <w:shd w:val="clear" w:color="auto" w:fill="FFFFFF"/>
          <w:lang w:val="en-US" w:eastAsia="zh-CN"/>
        </w:rPr>
        <w:t xml:space="preserve">全省重大产业化项目招引6个以上，引进外商投资到位资金1200万美元以上，新开工固投2000万元以上项目200个以上等主要目标任务。  </w:t>
      </w:r>
    </w:p>
    <w:p w14:paraId="5F4B5E4F">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outlineLvl w:val="9"/>
        <w:rPr>
          <w:rFonts w:hint="default" w:ascii="宋体" w:hAnsi="宋体" w:eastAsia="黑体" w:cs="Times New Roman"/>
          <w:b w:val="0"/>
          <w:bCs w:val="0"/>
          <w:color w:val="auto"/>
          <w:position w:val="0"/>
          <w:sz w:val="32"/>
          <w:szCs w:val="32"/>
          <w:highlight w:val="none"/>
          <w:lang w:eastAsia="zh-CN"/>
        </w:rPr>
      </w:pPr>
      <w:r>
        <w:rPr>
          <w:rFonts w:hint="default" w:ascii="宋体" w:hAnsi="宋体" w:eastAsia="黑体" w:cs="Times New Roman"/>
          <w:b w:val="0"/>
          <w:bCs w:val="0"/>
          <w:color w:val="auto"/>
          <w:position w:val="0"/>
          <w:sz w:val="32"/>
          <w:szCs w:val="32"/>
          <w:highlight w:val="none"/>
        </w:rPr>
        <w:t>二、</w:t>
      </w:r>
      <w:r>
        <w:rPr>
          <w:rFonts w:hint="default" w:ascii="宋体" w:hAnsi="宋体" w:eastAsia="黑体" w:cs="Times New Roman"/>
          <w:b w:val="0"/>
          <w:bCs w:val="0"/>
          <w:color w:val="auto"/>
          <w:position w:val="0"/>
          <w:sz w:val="32"/>
          <w:szCs w:val="32"/>
          <w:highlight w:val="none"/>
          <w:lang w:eastAsia="zh-CN"/>
        </w:rPr>
        <w:t>评价实施</w:t>
      </w:r>
    </w:p>
    <w:p w14:paraId="3AC72BE8">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default" w:ascii="宋体" w:hAnsi="宋体" w:eastAsia="仿宋_GB2312" w:cs="Times New Roman"/>
          <w:b w:val="0"/>
          <w:bCs w:val="0"/>
          <w:color w:val="auto"/>
          <w:position w:val="0"/>
          <w:sz w:val="32"/>
          <w:szCs w:val="32"/>
        </w:rPr>
      </w:pPr>
      <w:r>
        <w:rPr>
          <w:rFonts w:hint="default" w:ascii="宋体" w:hAnsi="宋体" w:eastAsia="楷体_GB2312" w:cs="Times New Roman"/>
          <w:b w:val="0"/>
          <w:bCs w:val="0"/>
          <w:color w:val="auto"/>
          <w:position w:val="0"/>
          <w:sz w:val="32"/>
          <w:szCs w:val="32"/>
          <w:highlight w:val="none"/>
          <w:u w:val="none"/>
          <w:lang w:val="zh-CN"/>
        </w:rPr>
        <w:t>（一）评价目的</w:t>
      </w:r>
      <w:r>
        <w:rPr>
          <w:rFonts w:hint="eastAsia" w:ascii="宋体" w:hAnsi="宋体" w:eastAsia="楷体_GB2312" w:cs="Times New Roman"/>
          <w:b w:val="0"/>
          <w:bCs w:val="0"/>
          <w:color w:val="auto"/>
          <w:position w:val="0"/>
          <w:sz w:val="32"/>
          <w:szCs w:val="32"/>
          <w:highlight w:val="none"/>
          <w:u w:val="none"/>
          <w:lang w:val="zh-CN"/>
        </w:rPr>
        <w:t>。</w:t>
      </w:r>
      <w:r>
        <w:rPr>
          <w:rFonts w:hint="eastAsia" w:ascii="宋体" w:hAnsi="宋体" w:eastAsia="仿宋_GB2312" w:cs="Times New Roman"/>
          <w:color w:val="auto"/>
          <w:position w:val="0"/>
          <w:sz w:val="32"/>
          <w:szCs w:val="32"/>
        </w:rPr>
        <w:t>通过对202</w:t>
      </w:r>
      <w:r>
        <w:rPr>
          <w:rFonts w:hint="eastAsia" w:ascii="宋体" w:hAnsi="宋体" w:eastAsia="仿宋_GB2312" w:cs="Times New Roman"/>
          <w:color w:val="auto"/>
          <w:position w:val="0"/>
          <w:sz w:val="32"/>
          <w:szCs w:val="32"/>
          <w:lang w:val="en-US" w:eastAsia="zh-CN"/>
        </w:rPr>
        <w:t>4</w:t>
      </w:r>
      <w:r>
        <w:rPr>
          <w:rFonts w:hint="eastAsia" w:ascii="宋体" w:hAnsi="宋体" w:eastAsia="仿宋_GB2312" w:cs="Times New Roman"/>
          <w:color w:val="auto"/>
          <w:position w:val="0"/>
          <w:sz w:val="32"/>
          <w:szCs w:val="32"/>
        </w:rPr>
        <w:t>年</w:t>
      </w:r>
      <w:r>
        <w:rPr>
          <w:rFonts w:hint="eastAsia" w:ascii="宋体" w:hAnsi="宋体" w:eastAsia="仿宋_GB2312" w:cs="Times New Roman"/>
          <w:color w:val="auto"/>
          <w:position w:val="0"/>
          <w:sz w:val="32"/>
          <w:szCs w:val="32"/>
          <w:lang w:eastAsia="zh-CN"/>
        </w:rPr>
        <w:t>部门预算项目</w:t>
      </w:r>
      <w:r>
        <w:rPr>
          <w:rFonts w:hint="eastAsia" w:ascii="宋体" w:hAnsi="宋体" w:eastAsia="仿宋_GB2312" w:cs="Times New Roman"/>
          <w:color w:val="auto"/>
          <w:position w:val="0"/>
          <w:sz w:val="32"/>
          <w:szCs w:val="32"/>
        </w:rPr>
        <w:t>支出情况的绩效评价，促进部门从整体上提升预算绩效管理工作水平，强化支出责任，规范资金管理行为，提高财政资金使用效益，</w:t>
      </w:r>
      <w:r>
        <w:rPr>
          <w:rFonts w:hint="eastAsia" w:ascii="宋体" w:hAnsi="宋体" w:eastAsia="仿宋_GB2312" w:cs="Times New Roman"/>
          <w:color w:val="auto"/>
          <w:position w:val="0"/>
          <w:sz w:val="32"/>
          <w:szCs w:val="32"/>
          <w:lang w:eastAsia="zh-CN"/>
        </w:rPr>
        <w:t>有力</w:t>
      </w:r>
      <w:r>
        <w:rPr>
          <w:rFonts w:hint="eastAsia" w:ascii="宋体" w:hAnsi="宋体" w:eastAsia="仿宋_GB2312" w:cs="Times New Roman"/>
          <w:color w:val="auto"/>
          <w:position w:val="0"/>
          <w:sz w:val="32"/>
          <w:szCs w:val="32"/>
        </w:rPr>
        <w:t>保障</w:t>
      </w:r>
      <w:r>
        <w:rPr>
          <w:rFonts w:hint="eastAsia" w:ascii="宋体" w:hAnsi="宋体" w:eastAsia="仿宋_GB2312" w:cs="Times New Roman"/>
          <w:color w:val="auto"/>
          <w:position w:val="0"/>
          <w:sz w:val="32"/>
          <w:szCs w:val="32"/>
          <w:lang w:eastAsia="zh-CN"/>
        </w:rPr>
        <w:t>招商引资</w:t>
      </w:r>
      <w:r>
        <w:rPr>
          <w:rFonts w:hint="eastAsia" w:ascii="宋体" w:hAnsi="宋体" w:eastAsia="仿宋_GB2312" w:cs="Times New Roman"/>
          <w:color w:val="auto"/>
          <w:position w:val="0"/>
          <w:sz w:val="32"/>
          <w:szCs w:val="32"/>
        </w:rPr>
        <w:t>各项工作稳步推进。</w:t>
      </w:r>
    </w:p>
    <w:p w14:paraId="3555A80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宋体" w:hAnsi="宋体" w:eastAsia="仿宋_GB2312" w:cs="Times New Roman"/>
          <w:color w:val="auto"/>
          <w:position w:val="0"/>
          <w:sz w:val="32"/>
          <w:szCs w:val="32"/>
          <w:lang w:eastAsia="zh-CN"/>
        </w:rPr>
      </w:pPr>
      <w:r>
        <w:rPr>
          <w:rFonts w:hint="default" w:ascii="宋体" w:hAnsi="宋体" w:eastAsia="楷体_GB2312" w:cs="Times New Roman"/>
          <w:b w:val="0"/>
          <w:bCs w:val="0"/>
          <w:color w:val="auto"/>
          <w:position w:val="0"/>
          <w:sz w:val="32"/>
          <w:szCs w:val="32"/>
          <w:highlight w:val="none"/>
          <w:u w:val="none"/>
          <w:lang w:val="zh-CN"/>
        </w:rPr>
        <w:t>（二）预设问题及评价重点</w:t>
      </w:r>
      <w:r>
        <w:rPr>
          <w:rFonts w:hint="eastAsia" w:ascii="宋体" w:hAnsi="宋体" w:eastAsia="楷体_GB2312" w:cs="Times New Roman"/>
          <w:b w:val="0"/>
          <w:bCs w:val="0"/>
          <w:color w:val="auto"/>
          <w:position w:val="0"/>
          <w:sz w:val="32"/>
          <w:szCs w:val="32"/>
          <w:highlight w:val="none"/>
          <w:u w:val="none"/>
          <w:lang w:val="zh-CN"/>
        </w:rPr>
        <w:t>。</w:t>
      </w:r>
      <w:r>
        <w:rPr>
          <w:rFonts w:hint="eastAsia" w:ascii="宋体" w:hAnsi="宋体" w:eastAsia="仿宋_GB2312" w:cs="仿宋_GB2312"/>
          <w:color w:val="auto"/>
          <w:position w:val="0"/>
          <w:sz w:val="32"/>
          <w:szCs w:val="32"/>
          <w:lang w:val="zh-CN" w:eastAsia="zh-CN"/>
        </w:rPr>
        <w:t>根</w:t>
      </w:r>
      <w:r>
        <w:rPr>
          <w:rFonts w:hint="eastAsia" w:ascii="宋体" w:hAnsi="宋体" w:eastAsia="仿宋_GB2312" w:cs="仿宋_GB2312"/>
          <w:color w:val="auto"/>
          <w:position w:val="0"/>
          <w:sz w:val="32"/>
          <w:szCs w:val="32"/>
          <w:lang w:val="en-US" w:eastAsia="zh-CN"/>
        </w:rPr>
        <w:t>据《中共广元市委 广元市人民政府关于推进投资促进体制机制改革的实施意见》（广委发〔2017〕12号）</w:t>
      </w:r>
      <w:r>
        <w:rPr>
          <w:rFonts w:hint="eastAsia" w:ascii="宋体" w:hAnsi="宋体" w:eastAsia="仿宋_GB2312" w:cs="仿宋_GB2312"/>
          <w:b w:val="0"/>
          <w:bCs w:val="0"/>
          <w:color w:val="auto"/>
          <w:position w:val="0"/>
          <w:sz w:val="32"/>
          <w:szCs w:val="32"/>
          <w:lang w:val="en-US" w:eastAsia="zh-CN"/>
        </w:rPr>
        <w:t>要求，</w:t>
      </w:r>
      <w:r>
        <w:rPr>
          <w:rFonts w:hint="default" w:ascii="宋体" w:hAnsi="宋体" w:eastAsia="仿宋_GB2312" w:cs="Times New Roman"/>
          <w:color w:val="auto"/>
          <w:kern w:val="2"/>
          <w:position w:val="0"/>
          <w:sz w:val="32"/>
          <w:szCs w:val="32"/>
          <w:lang w:val="en-US" w:eastAsia="zh-CN" w:bidi="ar-SA"/>
        </w:rPr>
        <w:t>强化对</w:t>
      </w:r>
      <w:r>
        <w:rPr>
          <w:rFonts w:hint="eastAsia" w:ascii="宋体" w:hAnsi="宋体" w:eastAsia="仿宋_GB2312" w:cs="Times New Roman"/>
          <w:color w:val="auto"/>
          <w:kern w:val="2"/>
          <w:position w:val="0"/>
          <w:sz w:val="32"/>
          <w:szCs w:val="32"/>
          <w:lang w:val="zh-CN" w:eastAsia="zh-CN" w:bidi="ar-SA"/>
        </w:rPr>
        <w:t>招商引资项</w:t>
      </w:r>
      <w:r>
        <w:rPr>
          <w:rFonts w:hint="eastAsia" w:ascii="宋体" w:hAnsi="宋体" w:eastAsia="仿宋_GB2312" w:cs="Times New Roman"/>
          <w:color w:val="auto"/>
          <w:kern w:val="2"/>
          <w:position w:val="0"/>
          <w:sz w:val="32"/>
          <w:szCs w:val="32"/>
          <w:lang w:val="en-US" w:eastAsia="zh-CN" w:bidi="ar-SA"/>
        </w:rPr>
        <w:t>目资金</w:t>
      </w:r>
      <w:r>
        <w:rPr>
          <w:rFonts w:hint="default" w:ascii="宋体" w:hAnsi="宋体" w:eastAsia="仿宋_GB2312" w:cs="Times New Roman"/>
          <w:color w:val="auto"/>
          <w:kern w:val="2"/>
          <w:position w:val="0"/>
          <w:sz w:val="32"/>
          <w:szCs w:val="32"/>
          <w:lang w:val="en-US" w:eastAsia="zh-CN" w:bidi="ar-SA"/>
        </w:rPr>
        <w:t>的管理</w:t>
      </w:r>
      <w:r>
        <w:rPr>
          <w:rFonts w:hint="eastAsia" w:ascii="宋体" w:hAnsi="宋体" w:eastAsia="仿宋_GB2312" w:cs="Times New Roman"/>
          <w:color w:val="auto"/>
          <w:kern w:val="2"/>
          <w:position w:val="0"/>
          <w:sz w:val="32"/>
          <w:szCs w:val="32"/>
          <w:lang w:val="en-US" w:eastAsia="zh-CN" w:bidi="ar-SA"/>
        </w:rPr>
        <w:t>，保证专款专用，确保项目高效实施。</w:t>
      </w:r>
    </w:p>
    <w:p w14:paraId="3C20BC4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仿宋_GB2312" w:cs="Times New Roman"/>
          <w:b w:val="0"/>
          <w:bCs w:val="0"/>
          <w:color w:val="auto"/>
          <w:position w:val="0"/>
          <w:sz w:val="32"/>
          <w:szCs w:val="32"/>
          <w:lang w:val="zh-CN" w:eastAsia="zh-CN"/>
        </w:rPr>
      </w:pPr>
      <w:r>
        <w:rPr>
          <w:rFonts w:hint="default" w:ascii="宋体" w:hAnsi="宋体" w:eastAsia="楷体_GB2312" w:cs="Times New Roman"/>
          <w:b w:val="0"/>
          <w:bCs w:val="0"/>
          <w:color w:val="auto"/>
          <w:position w:val="0"/>
          <w:sz w:val="32"/>
          <w:szCs w:val="32"/>
          <w:highlight w:val="none"/>
          <w:u w:val="none"/>
          <w:lang w:val="zh-CN"/>
        </w:rPr>
        <w:t>（三）评价选点</w:t>
      </w:r>
      <w:r>
        <w:rPr>
          <w:rFonts w:hint="eastAsia" w:ascii="宋体" w:hAnsi="宋体" w:eastAsia="楷体_GB2312" w:cs="Times New Roman"/>
          <w:b w:val="0"/>
          <w:bCs w:val="0"/>
          <w:color w:val="auto"/>
          <w:position w:val="0"/>
          <w:sz w:val="32"/>
          <w:szCs w:val="32"/>
          <w:highlight w:val="none"/>
          <w:u w:val="none"/>
          <w:lang w:val="zh-CN"/>
        </w:rPr>
        <w:t>。</w:t>
      </w:r>
      <w:r>
        <w:rPr>
          <w:rFonts w:hint="eastAsia" w:ascii="宋体" w:hAnsi="宋体" w:eastAsia="仿宋_GB2312" w:cs="Times New Roman"/>
          <w:color w:val="auto"/>
          <w:position w:val="0"/>
          <w:sz w:val="32"/>
          <w:szCs w:val="32"/>
          <w:lang w:val="en-US" w:eastAsia="zh-CN"/>
        </w:rPr>
        <w:t>2024年通过全年项目签约情况、招商引资到位资金情况等数据的抽查检验，以掌握全年资金运用绩效目标实现情况。</w:t>
      </w:r>
    </w:p>
    <w:p w14:paraId="18068A54">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eastAsia" w:ascii="宋体" w:hAnsi="宋体" w:eastAsia="仿宋_GB2312" w:cs="Times New Roman"/>
          <w:color w:val="auto"/>
          <w:position w:val="0"/>
          <w:sz w:val="32"/>
          <w:szCs w:val="32"/>
          <w:lang w:eastAsia="zh-CN"/>
        </w:rPr>
      </w:pPr>
      <w:r>
        <w:rPr>
          <w:rFonts w:hint="default" w:ascii="宋体" w:hAnsi="宋体" w:eastAsia="楷体_GB2312" w:cs="Times New Roman"/>
          <w:b w:val="0"/>
          <w:bCs w:val="0"/>
          <w:color w:val="auto"/>
          <w:position w:val="0"/>
          <w:sz w:val="32"/>
          <w:szCs w:val="32"/>
          <w:highlight w:val="none"/>
          <w:u w:val="none"/>
          <w:lang w:val="zh-CN"/>
        </w:rPr>
        <w:t>（四）评价方法</w:t>
      </w:r>
      <w:r>
        <w:rPr>
          <w:rFonts w:hint="eastAsia" w:ascii="宋体" w:hAnsi="宋体" w:eastAsia="楷体_GB2312" w:cs="Times New Roman"/>
          <w:b w:val="0"/>
          <w:bCs w:val="0"/>
          <w:color w:val="auto"/>
          <w:position w:val="0"/>
          <w:sz w:val="32"/>
          <w:szCs w:val="32"/>
          <w:highlight w:val="none"/>
          <w:u w:val="none"/>
          <w:lang w:val="zh-CN"/>
        </w:rPr>
        <w:t>。</w:t>
      </w:r>
      <w:r>
        <w:rPr>
          <w:rFonts w:hint="eastAsia" w:ascii="宋体" w:hAnsi="宋体" w:eastAsia="仿宋_GB2312" w:cs="Times New Roman"/>
          <w:color w:val="auto"/>
          <w:position w:val="0"/>
          <w:sz w:val="32"/>
          <w:szCs w:val="32"/>
          <w:lang w:eastAsia="zh-CN"/>
        </w:rPr>
        <w:t>根据年初绩效申报数据及评价标准，进行数据综合分析，对项目绩效进行自评价，撰写部门自评价报告。</w:t>
      </w:r>
    </w:p>
    <w:p w14:paraId="28A9137D">
      <w:pPr>
        <w:keepNext w:val="0"/>
        <w:keepLines w:val="0"/>
        <w:pageBreakBefore w:val="0"/>
        <w:widowControl w:val="0"/>
        <w:kinsoku/>
        <w:wordWrap/>
        <w:overflowPunct/>
        <w:topLinePunct w:val="0"/>
        <w:autoSpaceDE/>
        <w:autoSpaceDN/>
        <w:bidi w:val="0"/>
        <w:spacing w:line="576" w:lineRule="exact"/>
        <w:ind w:leftChars="0" w:firstLine="640" w:firstLineChars="200"/>
        <w:jc w:val="both"/>
        <w:textAlignment w:val="auto"/>
        <w:outlineLvl w:val="9"/>
        <w:rPr>
          <w:rFonts w:hint="default" w:ascii="宋体" w:hAnsi="宋体" w:eastAsia="仿宋_GB2312" w:cs="Times New Roman"/>
          <w:b w:val="0"/>
          <w:bCs w:val="0"/>
          <w:color w:val="auto"/>
          <w:position w:val="0"/>
          <w:sz w:val="32"/>
          <w:szCs w:val="32"/>
          <w:lang w:eastAsia="zh-CN"/>
        </w:rPr>
      </w:pPr>
      <w:r>
        <w:rPr>
          <w:rFonts w:hint="default" w:ascii="宋体" w:hAnsi="宋体" w:eastAsia="楷体_GB2312" w:cs="Times New Roman"/>
          <w:b w:val="0"/>
          <w:bCs w:val="0"/>
          <w:color w:val="auto"/>
          <w:position w:val="0"/>
          <w:sz w:val="32"/>
          <w:szCs w:val="32"/>
          <w:highlight w:val="none"/>
          <w:u w:val="none"/>
          <w:lang w:val="zh-CN"/>
        </w:rPr>
        <w:t>（五）评价组织</w:t>
      </w:r>
      <w:r>
        <w:rPr>
          <w:rFonts w:hint="eastAsia" w:ascii="宋体" w:hAnsi="宋体" w:eastAsia="楷体_GB2312" w:cs="Times New Roman"/>
          <w:b w:val="0"/>
          <w:bCs w:val="0"/>
          <w:color w:val="auto"/>
          <w:position w:val="0"/>
          <w:sz w:val="32"/>
          <w:szCs w:val="32"/>
          <w:highlight w:val="none"/>
          <w:u w:val="none"/>
          <w:lang w:val="zh-CN"/>
        </w:rPr>
        <w:t>。</w:t>
      </w:r>
      <w:r>
        <w:rPr>
          <w:rFonts w:hint="eastAsia" w:ascii="宋体" w:hAnsi="宋体" w:eastAsia="仿宋_GB2312" w:cs="Times New Roman"/>
          <w:color w:val="auto"/>
          <w:position w:val="0"/>
          <w:sz w:val="32"/>
          <w:szCs w:val="32"/>
          <w:lang w:eastAsia="zh-CN"/>
        </w:rPr>
        <w:t>成立以局主要领导为组长，分管领导为副组长，各科室、中心负责人为组员，办公室承担小组办公室日常工作。</w:t>
      </w:r>
    </w:p>
    <w:p w14:paraId="55EFAE68">
      <w:pPr>
        <w:keepNext w:val="0"/>
        <w:keepLines w:val="0"/>
        <w:pageBreakBefore w:val="0"/>
        <w:widowControl w:val="0"/>
        <w:kinsoku/>
        <w:wordWrap/>
        <w:overflowPunct/>
        <w:topLinePunct w:val="0"/>
        <w:autoSpaceDE/>
        <w:autoSpaceDN/>
        <w:bidi w:val="0"/>
        <w:adjustRightInd w:val="0"/>
        <w:snapToGrid w:val="0"/>
        <w:spacing w:line="576" w:lineRule="exact"/>
        <w:ind w:leftChars="0" w:firstLine="640" w:firstLineChars="200"/>
        <w:jc w:val="both"/>
        <w:textAlignment w:val="auto"/>
        <w:rPr>
          <w:rFonts w:hint="default" w:ascii="宋体" w:hAnsi="宋体" w:eastAsia="仿宋_GB2312" w:cs="Times New Roman"/>
          <w:b w:val="0"/>
          <w:bCs w:val="0"/>
          <w:color w:val="auto"/>
          <w:position w:val="0"/>
          <w:sz w:val="32"/>
          <w:szCs w:val="32"/>
          <w:highlight w:val="none"/>
          <w:u w:val="none"/>
          <w:lang w:val="zh-CN"/>
        </w:rPr>
      </w:pPr>
      <w:r>
        <w:rPr>
          <w:rFonts w:hint="default" w:ascii="宋体" w:hAnsi="宋体" w:eastAsia="黑体" w:cs="Times New Roman"/>
          <w:b w:val="0"/>
          <w:bCs w:val="0"/>
          <w:color w:val="auto"/>
          <w:position w:val="0"/>
          <w:sz w:val="32"/>
          <w:szCs w:val="32"/>
          <w:highlight w:val="none"/>
          <w:u w:val="none"/>
        </w:rPr>
        <w:t>三、</w:t>
      </w:r>
      <w:r>
        <w:rPr>
          <w:rFonts w:hint="default" w:ascii="宋体" w:hAnsi="宋体" w:eastAsia="黑体" w:cs="Times New Roman"/>
          <w:b w:val="0"/>
          <w:bCs w:val="0"/>
          <w:color w:val="auto"/>
          <w:position w:val="0"/>
          <w:sz w:val="32"/>
          <w:szCs w:val="32"/>
          <w:highlight w:val="none"/>
          <w:u w:val="none"/>
          <w:lang w:eastAsia="zh-CN"/>
        </w:rPr>
        <w:t>绩效分析</w:t>
      </w:r>
    </w:p>
    <w:p w14:paraId="68FA8FBA">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9"/>
        <w:rPr>
          <w:rFonts w:hint="default" w:ascii="宋体" w:hAnsi="宋体" w:eastAsia="楷体_GB2312" w:cs="Times New Roman"/>
          <w:b w:val="0"/>
          <w:bCs w:val="0"/>
          <w:color w:val="auto"/>
          <w:position w:val="0"/>
          <w:sz w:val="32"/>
          <w:szCs w:val="32"/>
          <w:highlight w:val="none"/>
          <w:u w:val="none"/>
          <w:lang w:val="en-US" w:eastAsia="zh-CN"/>
        </w:rPr>
      </w:pPr>
      <w:r>
        <w:rPr>
          <w:rFonts w:hint="default" w:ascii="宋体" w:hAnsi="宋体" w:eastAsia="楷体_GB2312" w:cs="Times New Roman"/>
          <w:b w:val="0"/>
          <w:bCs w:val="0"/>
          <w:color w:val="auto"/>
          <w:position w:val="0"/>
          <w:sz w:val="32"/>
          <w:szCs w:val="32"/>
          <w:highlight w:val="none"/>
          <w:u w:val="none"/>
          <w:lang w:val="zh-CN"/>
        </w:rPr>
        <w:t>（一）</w:t>
      </w:r>
      <w:r>
        <w:rPr>
          <w:rFonts w:hint="default" w:ascii="宋体" w:hAnsi="宋体" w:eastAsia="楷体_GB2312" w:cs="Times New Roman"/>
          <w:b w:val="0"/>
          <w:bCs w:val="0"/>
          <w:color w:val="auto"/>
          <w:position w:val="0"/>
          <w:sz w:val="32"/>
          <w:szCs w:val="32"/>
          <w:highlight w:val="none"/>
          <w:u w:val="none"/>
          <w:lang w:val="en-US" w:eastAsia="zh-CN"/>
        </w:rPr>
        <w:t>通用指标</w:t>
      </w:r>
      <w:r>
        <w:rPr>
          <w:rFonts w:hint="default" w:ascii="宋体" w:hAnsi="宋体" w:eastAsia="楷体_GB2312" w:cs="Times New Roman"/>
          <w:b w:val="0"/>
          <w:bCs w:val="0"/>
          <w:color w:val="auto"/>
          <w:kern w:val="0"/>
          <w:position w:val="0"/>
          <w:sz w:val="32"/>
          <w:szCs w:val="32"/>
          <w:highlight w:val="none"/>
          <w:shd w:val="clear" w:color="auto" w:fill="FFFFFF"/>
          <w:lang w:val="zh-CN"/>
        </w:rPr>
        <w:t>绩效分析</w:t>
      </w:r>
    </w:p>
    <w:p w14:paraId="007E1334">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9"/>
        <w:rPr>
          <w:rFonts w:hint="eastAsia" w:ascii="宋体" w:hAnsi="宋体" w:eastAsia="仿宋_GB2312" w:cs="Times New Roman"/>
          <w:color w:val="auto"/>
          <w:position w:val="0"/>
          <w:sz w:val="32"/>
          <w:szCs w:val="32"/>
          <w:lang w:eastAsia="zh-CN"/>
        </w:rPr>
      </w:pPr>
      <w:r>
        <w:rPr>
          <w:rFonts w:hint="eastAsia" w:ascii="宋体" w:hAnsi="宋体" w:eastAsia="仿宋_GB2312" w:cs="仿宋_GB2312"/>
          <w:b w:val="0"/>
          <w:bCs w:val="0"/>
          <w:color w:val="auto"/>
          <w:position w:val="0"/>
          <w:sz w:val="32"/>
          <w:szCs w:val="32"/>
          <w:lang w:val="en-US" w:eastAsia="zh-CN"/>
        </w:rPr>
        <w:t>1.</w:t>
      </w:r>
      <w:r>
        <w:rPr>
          <w:rFonts w:hint="eastAsia" w:ascii="宋体" w:hAnsi="宋体" w:eastAsia="仿宋_GB2312" w:cs="仿宋_GB2312"/>
          <w:b w:val="0"/>
          <w:bCs w:val="0"/>
          <w:color w:val="auto"/>
          <w:position w:val="0"/>
          <w:sz w:val="32"/>
          <w:szCs w:val="32"/>
          <w:lang w:eastAsia="zh-CN"/>
        </w:rPr>
        <w:t>项目决策。</w:t>
      </w:r>
      <w:r>
        <w:rPr>
          <w:rFonts w:hint="eastAsia" w:ascii="宋体" w:hAnsi="宋体" w:eastAsia="仿宋_GB2312" w:cs="Times New Roman"/>
          <w:color w:val="auto"/>
          <w:position w:val="0"/>
          <w:sz w:val="32"/>
          <w:szCs w:val="32"/>
          <w:lang w:eastAsia="zh-CN"/>
        </w:rPr>
        <w:t>立项依据基本充分，均设定了各项目绩效目标，每一具体项目都有相关的政策文件支撑，资金配置均有明确的测算依据。</w:t>
      </w:r>
    </w:p>
    <w:p w14:paraId="38F2FD3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eastAsia" w:ascii="宋体" w:hAnsi="宋体" w:eastAsia="仿宋_GB2312" w:cs="Times New Roman"/>
          <w:b w:val="0"/>
          <w:bCs w:val="0"/>
          <w:color w:val="auto"/>
          <w:position w:val="0"/>
          <w:sz w:val="32"/>
          <w:szCs w:val="32"/>
          <w:lang w:val="zh-CN"/>
        </w:rPr>
      </w:pPr>
      <w:r>
        <w:rPr>
          <w:rFonts w:hint="eastAsia" w:ascii="宋体" w:hAnsi="宋体" w:eastAsia="仿宋_GB2312" w:cs="仿宋_GB2312"/>
          <w:b w:val="0"/>
          <w:bCs w:val="0"/>
          <w:color w:val="auto"/>
          <w:position w:val="0"/>
          <w:sz w:val="32"/>
          <w:szCs w:val="32"/>
          <w:lang w:val="en-US" w:eastAsia="zh-CN"/>
        </w:rPr>
        <w:t>2.</w:t>
      </w:r>
      <w:r>
        <w:rPr>
          <w:rFonts w:hint="eastAsia" w:ascii="宋体" w:hAnsi="宋体" w:eastAsia="仿宋_GB2312" w:cs="仿宋_GB2312"/>
          <w:b w:val="0"/>
          <w:bCs w:val="0"/>
          <w:color w:val="auto"/>
          <w:position w:val="0"/>
          <w:sz w:val="32"/>
          <w:szCs w:val="32"/>
          <w:lang w:eastAsia="zh-CN"/>
        </w:rPr>
        <w:t>项目管理。</w:t>
      </w:r>
      <w:r>
        <w:rPr>
          <w:rFonts w:hint="eastAsia" w:ascii="宋体" w:hAnsi="宋体" w:eastAsia="仿宋_GB2312" w:cs="Times New Roman"/>
          <w:b w:val="0"/>
          <w:bCs w:val="0"/>
          <w:color w:val="auto"/>
          <w:position w:val="0"/>
          <w:sz w:val="32"/>
          <w:szCs w:val="32"/>
          <w:lang w:val="en-US" w:eastAsia="zh-CN"/>
        </w:rPr>
        <w:t>我单位严格</w:t>
      </w:r>
      <w:r>
        <w:rPr>
          <w:rFonts w:hint="eastAsia" w:ascii="宋体" w:hAnsi="宋体" w:eastAsia="仿宋_GB2312" w:cs="Times New Roman"/>
          <w:b w:val="0"/>
          <w:bCs w:val="0"/>
          <w:color w:val="auto"/>
          <w:position w:val="0"/>
          <w:sz w:val="32"/>
          <w:szCs w:val="32"/>
          <w:lang w:val="zh-CN"/>
        </w:rPr>
        <w:t>按照广元市财政局《关于印发</w:t>
      </w:r>
      <w:r>
        <w:rPr>
          <w:rFonts w:hint="eastAsia" w:ascii="宋体" w:hAnsi="宋体" w:eastAsia="仿宋_GB2312" w:cs="Times New Roman"/>
          <w:b w:val="0"/>
          <w:bCs w:val="0"/>
          <w:color w:val="auto"/>
          <w:position w:val="0"/>
          <w:sz w:val="32"/>
          <w:szCs w:val="32"/>
          <w:lang w:val="en-US" w:eastAsia="zh-CN"/>
        </w:rPr>
        <w:t>&lt;</w:t>
      </w:r>
      <w:r>
        <w:rPr>
          <w:rFonts w:hint="eastAsia" w:ascii="宋体" w:hAnsi="宋体" w:eastAsia="仿宋_GB2312" w:cs="Times New Roman"/>
          <w:b w:val="0"/>
          <w:bCs w:val="0"/>
          <w:color w:val="auto"/>
          <w:position w:val="0"/>
          <w:sz w:val="32"/>
          <w:szCs w:val="32"/>
          <w:lang w:val="zh-CN"/>
        </w:rPr>
        <w:t>广元市招商引资专项资金管理办法</w:t>
      </w:r>
      <w:r>
        <w:rPr>
          <w:rFonts w:hint="eastAsia" w:ascii="宋体" w:hAnsi="宋体" w:eastAsia="仿宋_GB2312" w:cs="Times New Roman"/>
          <w:b w:val="0"/>
          <w:bCs w:val="0"/>
          <w:color w:val="auto"/>
          <w:position w:val="0"/>
          <w:sz w:val="32"/>
          <w:szCs w:val="32"/>
          <w:lang w:val="en-US" w:eastAsia="zh-CN"/>
        </w:rPr>
        <w:t>&gt;</w:t>
      </w:r>
      <w:r>
        <w:rPr>
          <w:rFonts w:hint="eastAsia" w:ascii="宋体" w:hAnsi="宋体" w:eastAsia="仿宋_GB2312" w:cs="Times New Roman"/>
          <w:b w:val="0"/>
          <w:bCs w:val="0"/>
          <w:color w:val="auto"/>
          <w:position w:val="0"/>
          <w:sz w:val="32"/>
          <w:szCs w:val="32"/>
          <w:lang w:val="zh-CN"/>
        </w:rPr>
        <w:t>的通知》（</w:t>
      </w:r>
      <w:r>
        <w:rPr>
          <w:rFonts w:hint="eastAsia" w:ascii="宋体" w:hAnsi="宋体" w:eastAsia="仿宋_GB2312" w:cs="仿宋_GB2312"/>
          <w:b w:val="0"/>
          <w:bCs w:val="0"/>
          <w:color w:val="auto"/>
          <w:position w:val="0"/>
          <w:sz w:val="32"/>
          <w:szCs w:val="32"/>
          <w:lang w:val="en-US" w:eastAsia="zh-CN"/>
        </w:rPr>
        <w:t>广财行</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2018</w:t>
      </w:r>
      <w:r>
        <w:rPr>
          <w:rFonts w:hint="eastAsia" w:ascii="宋体" w:hAnsi="宋体" w:eastAsia="仿宋_GB2312" w:cs="仿宋_GB2312"/>
          <w:color w:val="auto"/>
          <w:kern w:val="0"/>
          <w:position w:val="0"/>
          <w:sz w:val="32"/>
          <w:szCs w:val="32"/>
          <w:lang w:val="zh-CN" w:eastAsia="zh-CN" w:bidi="ar-SA"/>
        </w:rPr>
        <w:t>〕</w:t>
      </w:r>
      <w:r>
        <w:rPr>
          <w:rFonts w:hint="eastAsia" w:ascii="宋体" w:hAnsi="宋体" w:eastAsia="仿宋_GB2312" w:cs="仿宋_GB2312"/>
          <w:b w:val="0"/>
          <w:bCs w:val="0"/>
          <w:color w:val="auto"/>
          <w:position w:val="0"/>
          <w:sz w:val="32"/>
          <w:szCs w:val="32"/>
          <w:lang w:val="en-US" w:eastAsia="zh-CN"/>
        </w:rPr>
        <w:t>46号）</w:t>
      </w:r>
      <w:r>
        <w:rPr>
          <w:rFonts w:hint="eastAsia" w:ascii="宋体" w:hAnsi="宋体" w:eastAsia="仿宋_GB2312" w:cs="Times New Roman"/>
          <w:b w:val="0"/>
          <w:bCs w:val="0"/>
          <w:color w:val="auto"/>
          <w:position w:val="0"/>
          <w:sz w:val="32"/>
          <w:szCs w:val="32"/>
          <w:lang w:val="zh-CN"/>
        </w:rPr>
        <w:t>文件精神，同时</w:t>
      </w:r>
      <w:r>
        <w:rPr>
          <w:rFonts w:hint="eastAsia" w:ascii="宋体" w:hAnsi="宋体" w:eastAsia="仿宋_GB2312" w:cs="Times New Roman"/>
          <w:b w:val="0"/>
          <w:bCs w:val="0"/>
          <w:color w:val="auto"/>
          <w:position w:val="0"/>
          <w:sz w:val="32"/>
          <w:szCs w:val="32"/>
          <w:lang w:val="en-US" w:eastAsia="zh-CN"/>
        </w:rPr>
        <w:t>还配合市纪委监委派驻市政府办纪检组不定期抽查监督</w:t>
      </w:r>
      <w:r>
        <w:rPr>
          <w:rFonts w:hint="eastAsia" w:ascii="宋体" w:hAnsi="宋体" w:eastAsia="仿宋_GB2312" w:cs="Times New Roman"/>
          <w:b w:val="0"/>
          <w:bCs w:val="0"/>
          <w:color w:val="auto"/>
          <w:position w:val="0"/>
          <w:sz w:val="32"/>
          <w:szCs w:val="32"/>
          <w:lang w:val="zh-CN"/>
        </w:rPr>
        <w:t>。严格执行财务管理制度，按照“专款专用，注重实</w:t>
      </w:r>
      <w:r>
        <w:rPr>
          <w:rFonts w:hint="eastAsia" w:ascii="宋体" w:hAnsi="宋体" w:eastAsia="仿宋_GB2312" w:cs="Times New Roman"/>
          <w:b w:val="0"/>
          <w:bCs w:val="0"/>
          <w:color w:val="auto"/>
          <w:spacing w:val="-6"/>
          <w:position w:val="0"/>
          <w:sz w:val="32"/>
          <w:szCs w:val="32"/>
          <w:lang w:val="zh-CN"/>
        </w:rPr>
        <w:t>效”的原则进行管理。严格控制资金支付制度，从制度上为规范资金管理提供保障，促进了资金使用管理的规范性、安全性和有效性。</w:t>
      </w:r>
    </w:p>
    <w:p w14:paraId="296B9ACF">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9"/>
        <w:rPr>
          <w:rFonts w:hint="eastAsia" w:ascii="宋体" w:hAnsi="宋体" w:eastAsia="仿宋_GB2312" w:cs="仿宋_GB2312"/>
          <w:b w:val="0"/>
          <w:bCs w:val="0"/>
          <w:color w:val="auto"/>
          <w:position w:val="0"/>
          <w:sz w:val="32"/>
          <w:szCs w:val="32"/>
          <w:lang w:eastAsia="zh-CN"/>
        </w:rPr>
      </w:pPr>
      <w:r>
        <w:rPr>
          <w:rFonts w:hint="eastAsia" w:ascii="宋体" w:hAnsi="宋体" w:eastAsia="仿宋_GB2312" w:cs="仿宋_GB2312"/>
          <w:b w:val="0"/>
          <w:bCs w:val="0"/>
          <w:color w:val="auto"/>
          <w:position w:val="0"/>
          <w:sz w:val="32"/>
          <w:szCs w:val="32"/>
          <w:lang w:val="en-US" w:eastAsia="zh-CN"/>
        </w:rPr>
        <w:t>3.项目实施。</w:t>
      </w:r>
      <w:r>
        <w:rPr>
          <w:rFonts w:hint="eastAsia" w:ascii="宋体" w:hAnsi="宋体" w:eastAsia="仿宋_GB2312" w:cs="Times New Roman"/>
          <w:color w:val="auto"/>
          <w:position w:val="0"/>
          <w:sz w:val="32"/>
          <w:szCs w:val="32"/>
          <w:lang w:val="en-US" w:eastAsia="zh-CN"/>
        </w:rPr>
        <w:t>2024年项目支出348.52万元，预算执行率87.13%，预算执行进度略低于年初预期，主要原因是由于2024年期间我单位平台活动开展较上年减少，费用支出相应减少。我单位在预算执行过程中严格按照相关管理制度，</w:t>
      </w:r>
      <w:r>
        <w:rPr>
          <w:rFonts w:hint="eastAsia" w:ascii="宋体" w:hAnsi="宋体" w:eastAsia="仿宋_GB2312" w:cs="Times New Roman"/>
          <w:color w:val="auto"/>
          <w:position w:val="0"/>
          <w:sz w:val="32"/>
          <w:szCs w:val="32"/>
          <w:lang w:val="zh-CN" w:eastAsia="zh-CN"/>
        </w:rPr>
        <w:t>严控资金支付范围和支付标准，</w:t>
      </w:r>
      <w:r>
        <w:rPr>
          <w:rFonts w:hint="eastAsia" w:ascii="宋体" w:hAnsi="宋体" w:eastAsia="仿宋_GB2312" w:cs="Times New Roman"/>
          <w:color w:val="auto"/>
          <w:position w:val="0"/>
          <w:sz w:val="32"/>
          <w:szCs w:val="32"/>
          <w:lang w:val="en-US" w:eastAsia="zh-CN"/>
        </w:rPr>
        <w:t>确保</w:t>
      </w:r>
      <w:r>
        <w:rPr>
          <w:rFonts w:hint="eastAsia" w:ascii="宋体" w:hAnsi="宋体" w:eastAsia="仿宋_GB2312" w:cs="Times New Roman"/>
          <w:color w:val="auto"/>
          <w:position w:val="0"/>
          <w:sz w:val="32"/>
          <w:szCs w:val="32"/>
          <w:lang w:val="zh-CN" w:eastAsia="zh-CN"/>
        </w:rPr>
        <w:t>资金安全使用，支付依据等合规合法</w:t>
      </w:r>
      <w:r>
        <w:rPr>
          <w:rFonts w:hint="eastAsia" w:ascii="宋体" w:hAnsi="宋体" w:eastAsia="仿宋_GB2312" w:cs="Times New Roman"/>
          <w:color w:val="auto"/>
          <w:position w:val="0"/>
          <w:sz w:val="32"/>
          <w:szCs w:val="32"/>
          <w:lang w:val="en-US" w:eastAsia="zh-CN"/>
        </w:rPr>
        <w:t>。</w:t>
      </w:r>
    </w:p>
    <w:p w14:paraId="6D604476">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9"/>
        <w:rPr>
          <w:rFonts w:hint="default" w:ascii="宋体" w:hAnsi="宋体" w:eastAsia="仿宋_GB2312" w:cs="Times New Roman"/>
          <w:b w:val="0"/>
          <w:bCs w:val="0"/>
          <w:color w:val="auto"/>
          <w:position w:val="0"/>
          <w:sz w:val="32"/>
          <w:szCs w:val="32"/>
          <w:lang w:eastAsia="zh-CN"/>
        </w:rPr>
      </w:pPr>
      <w:r>
        <w:rPr>
          <w:rFonts w:hint="eastAsia" w:ascii="宋体" w:hAnsi="宋体" w:eastAsia="仿宋_GB2312" w:cs="仿宋_GB2312"/>
          <w:b w:val="0"/>
          <w:bCs w:val="0"/>
          <w:color w:val="auto"/>
          <w:position w:val="0"/>
          <w:sz w:val="32"/>
          <w:szCs w:val="32"/>
          <w:lang w:val="en-US" w:eastAsia="zh-CN"/>
        </w:rPr>
        <w:t>4.项目结果。</w:t>
      </w:r>
      <w:r>
        <w:rPr>
          <w:rFonts w:hint="eastAsia" w:ascii="宋体" w:hAnsi="宋体" w:eastAsia="仿宋_GB2312" w:cs="仿宋_GB2312"/>
          <w:color w:val="auto"/>
          <w:kern w:val="0"/>
          <w:position w:val="0"/>
          <w:sz w:val="32"/>
          <w:szCs w:val="32"/>
          <w:lang w:val="en-US" w:eastAsia="zh-CN" w:bidi="ar-SA"/>
        </w:rPr>
        <w:t>完成了年初预算申报目标绩效任务，圆满完成了全年招商引资任务，为全市经济发展提供了坚实的项目支撑。</w:t>
      </w:r>
    </w:p>
    <w:p w14:paraId="7331901F">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outlineLvl w:val="9"/>
        <w:rPr>
          <w:rFonts w:hint="default" w:ascii="宋体" w:hAnsi="宋体" w:eastAsia="楷体_GB2312" w:cs="Times New Roman"/>
          <w:b w:val="0"/>
          <w:bCs w:val="0"/>
          <w:color w:val="auto"/>
          <w:position w:val="0"/>
          <w:sz w:val="32"/>
          <w:szCs w:val="32"/>
          <w:lang w:val="zh-CN" w:eastAsia="zh-CN"/>
        </w:rPr>
      </w:pPr>
      <w:r>
        <w:rPr>
          <w:rFonts w:hint="default" w:ascii="宋体" w:hAnsi="宋体" w:eastAsia="楷体_GB2312" w:cs="Times New Roman"/>
          <w:b w:val="0"/>
          <w:bCs w:val="0"/>
          <w:color w:val="auto"/>
          <w:position w:val="0"/>
          <w:sz w:val="32"/>
          <w:szCs w:val="32"/>
          <w:highlight w:val="none"/>
          <w:u w:val="none"/>
          <w:lang w:val="zh-CN"/>
        </w:rPr>
        <w:t>（二）</w:t>
      </w:r>
      <w:r>
        <w:rPr>
          <w:rFonts w:hint="default" w:ascii="宋体" w:hAnsi="宋体" w:eastAsia="楷体_GB2312" w:cs="Times New Roman"/>
          <w:b w:val="0"/>
          <w:bCs w:val="0"/>
          <w:color w:val="auto"/>
          <w:position w:val="0"/>
          <w:sz w:val="32"/>
          <w:szCs w:val="32"/>
          <w:highlight w:val="none"/>
          <w:u w:val="none"/>
          <w:lang w:val="en-US" w:eastAsia="zh-CN"/>
        </w:rPr>
        <w:t>专用指标</w:t>
      </w:r>
      <w:r>
        <w:rPr>
          <w:rFonts w:hint="default" w:ascii="宋体" w:hAnsi="宋体" w:eastAsia="楷体_GB2312" w:cs="Times New Roman"/>
          <w:b w:val="0"/>
          <w:bCs w:val="0"/>
          <w:color w:val="auto"/>
          <w:kern w:val="0"/>
          <w:position w:val="0"/>
          <w:sz w:val="32"/>
          <w:szCs w:val="32"/>
          <w:highlight w:val="none"/>
          <w:shd w:val="clear" w:color="auto" w:fill="FFFFFF"/>
          <w:lang w:val="zh-CN"/>
        </w:rPr>
        <w:t>绩效分析</w:t>
      </w:r>
    </w:p>
    <w:p w14:paraId="12E74A8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宋体" w:hAnsi="宋体" w:eastAsia="仿宋_GB2312" w:cs="Times New Roman"/>
          <w:color w:val="auto"/>
          <w:position w:val="0"/>
          <w:sz w:val="32"/>
          <w:szCs w:val="32"/>
        </w:rPr>
      </w:pPr>
      <w:r>
        <w:rPr>
          <w:rFonts w:hint="eastAsia" w:ascii="宋体" w:hAnsi="宋体" w:eastAsia="仿宋_GB2312" w:cs="仿宋_GB2312"/>
          <w:b w:val="0"/>
          <w:bCs w:val="0"/>
          <w:color w:val="auto"/>
          <w:position w:val="0"/>
          <w:sz w:val="32"/>
          <w:szCs w:val="32"/>
          <w:lang w:val="en-US" w:eastAsia="zh-CN"/>
        </w:rPr>
        <w:t>1.产业发展类。</w:t>
      </w:r>
      <w:r>
        <w:rPr>
          <w:rFonts w:hint="eastAsia" w:ascii="宋体" w:hAnsi="宋体" w:eastAsia="仿宋_GB2312" w:cs="Times New Roman"/>
          <w:color w:val="auto"/>
          <w:position w:val="0"/>
          <w:sz w:val="32"/>
          <w:szCs w:val="32"/>
          <w:lang w:eastAsia="zh-CN"/>
        </w:rPr>
        <w:t>通过项目实施，</w:t>
      </w:r>
      <w:r>
        <w:rPr>
          <w:rFonts w:hint="eastAsia" w:ascii="宋体" w:hAnsi="宋体" w:eastAsia="仿宋_GB2312" w:cs="Times New Roman"/>
          <w:color w:val="auto"/>
          <w:position w:val="0"/>
          <w:sz w:val="32"/>
          <w:szCs w:val="32"/>
        </w:rPr>
        <w:t>不断优化机构设置、增强工作力量，创新推进机制，完善工作体系，建立“条块结合、内外联动、前后衔接、共建共享”的全过程工作体系，全面推动全市招商工作，促进</w:t>
      </w:r>
      <w:r>
        <w:rPr>
          <w:rFonts w:hint="eastAsia" w:ascii="宋体" w:hAnsi="宋体" w:eastAsia="仿宋_GB2312" w:cs="Times New Roman"/>
          <w:color w:val="auto"/>
          <w:position w:val="0"/>
          <w:sz w:val="32"/>
          <w:szCs w:val="32"/>
          <w:lang w:eastAsia="zh-CN"/>
        </w:rPr>
        <w:t>全市</w:t>
      </w:r>
      <w:r>
        <w:rPr>
          <w:rFonts w:hint="eastAsia" w:ascii="宋体" w:hAnsi="宋体" w:eastAsia="仿宋_GB2312" w:cs="Times New Roman"/>
          <w:color w:val="auto"/>
          <w:position w:val="0"/>
          <w:sz w:val="32"/>
          <w:szCs w:val="32"/>
        </w:rPr>
        <w:t>本地经济发展，提高劳动就业率，促进社会稳定、和谐。</w:t>
      </w:r>
    </w:p>
    <w:p w14:paraId="1100AC5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宋体" w:hAnsi="宋体" w:eastAsia="仿宋_GB2312" w:cs="Times New Roman"/>
          <w:color w:val="auto"/>
          <w:position w:val="0"/>
          <w:sz w:val="32"/>
          <w:szCs w:val="32"/>
          <w:lang w:val="zh-CN" w:eastAsia="zh-CN"/>
        </w:rPr>
      </w:pPr>
      <w:r>
        <w:rPr>
          <w:rFonts w:hint="eastAsia" w:ascii="宋体" w:hAnsi="宋体" w:eastAsia="仿宋_GB2312" w:cs="仿宋_GB2312"/>
          <w:b w:val="0"/>
          <w:bCs w:val="0"/>
          <w:color w:val="auto"/>
          <w:position w:val="0"/>
          <w:sz w:val="32"/>
          <w:szCs w:val="32"/>
          <w:lang w:val="en-US" w:eastAsia="zh-CN"/>
        </w:rPr>
        <w:t>2.</w:t>
      </w:r>
      <w:r>
        <w:rPr>
          <w:rFonts w:hint="eastAsia" w:ascii="宋体" w:hAnsi="宋体" w:eastAsia="仿宋_GB2312" w:cs="仿宋_GB2312"/>
          <w:b w:val="0"/>
          <w:bCs w:val="0"/>
          <w:color w:val="auto"/>
          <w:position w:val="0"/>
          <w:sz w:val="32"/>
          <w:szCs w:val="32"/>
          <w:lang w:val="zh-CN" w:eastAsia="zh-CN"/>
        </w:rPr>
        <w:t>民生保障</w:t>
      </w:r>
      <w:r>
        <w:rPr>
          <w:rFonts w:hint="eastAsia" w:ascii="宋体" w:hAnsi="宋体" w:eastAsia="仿宋_GB2312" w:cs="仿宋_GB2312"/>
          <w:b w:val="0"/>
          <w:bCs w:val="0"/>
          <w:color w:val="auto"/>
          <w:position w:val="0"/>
          <w:sz w:val="32"/>
          <w:szCs w:val="32"/>
          <w:lang w:val="en-US" w:eastAsia="zh-CN"/>
        </w:rPr>
        <w:t>类</w:t>
      </w:r>
      <w:r>
        <w:rPr>
          <w:rFonts w:hint="eastAsia" w:ascii="宋体" w:hAnsi="宋体" w:eastAsia="仿宋_GB2312" w:cs="仿宋_GB2312"/>
          <w:b w:val="0"/>
          <w:bCs w:val="0"/>
          <w:color w:val="auto"/>
          <w:position w:val="0"/>
          <w:sz w:val="32"/>
          <w:szCs w:val="32"/>
          <w:lang w:val="zh-CN" w:eastAsia="zh-CN"/>
        </w:rPr>
        <w:t>。</w:t>
      </w:r>
      <w:r>
        <w:rPr>
          <w:rFonts w:hint="eastAsia" w:ascii="宋体" w:hAnsi="宋体" w:eastAsia="仿宋_GB2312" w:cs="Times New Roman"/>
          <w:color w:val="auto"/>
          <w:position w:val="0"/>
          <w:sz w:val="32"/>
          <w:szCs w:val="32"/>
          <w:lang w:val="zh-CN" w:eastAsia="zh-CN"/>
        </w:rPr>
        <w:t>通过该项目实施，促进项目投资落地，促进</w:t>
      </w:r>
      <w:r>
        <w:rPr>
          <w:rFonts w:hint="eastAsia" w:ascii="宋体" w:hAnsi="宋体" w:eastAsia="仿宋_GB2312" w:cs="Times New Roman"/>
          <w:color w:val="auto"/>
          <w:spacing w:val="-6"/>
          <w:position w:val="0"/>
          <w:sz w:val="32"/>
          <w:szCs w:val="32"/>
          <w:lang w:val="zh-CN" w:eastAsia="zh-CN"/>
        </w:rPr>
        <w:t>当地经济发展，提高当地居民生活水平，提高群众生活质量满意度。</w:t>
      </w:r>
    </w:p>
    <w:p w14:paraId="3C1F9F6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default" w:ascii="宋体" w:hAnsi="宋体" w:eastAsia="仿宋_GB2312" w:cs="Times New Roman"/>
          <w:b w:val="0"/>
          <w:bCs w:val="0"/>
          <w:color w:val="auto"/>
          <w:position w:val="0"/>
          <w:sz w:val="32"/>
          <w:szCs w:val="32"/>
          <w:lang w:val="en-US" w:eastAsia="zh-CN"/>
        </w:rPr>
      </w:pPr>
      <w:r>
        <w:rPr>
          <w:rFonts w:hint="eastAsia" w:ascii="宋体" w:hAnsi="宋体" w:eastAsia="仿宋_GB2312" w:cs="仿宋_GB2312"/>
          <w:b w:val="0"/>
          <w:bCs w:val="0"/>
          <w:color w:val="auto"/>
          <w:position w:val="0"/>
          <w:sz w:val="32"/>
          <w:szCs w:val="32"/>
          <w:lang w:val="en-US" w:eastAsia="zh-CN"/>
        </w:rPr>
        <w:t>3.</w:t>
      </w:r>
      <w:r>
        <w:rPr>
          <w:rFonts w:hint="eastAsia" w:ascii="宋体" w:hAnsi="宋体" w:eastAsia="仿宋_GB2312" w:cs="仿宋_GB2312"/>
          <w:b w:val="0"/>
          <w:bCs w:val="0"/>
          <w:color w:val="auto"/>
          <w:position w:val="0"/>
          <w:sz w:val="32"/>
          <w:szCs w:val="32"/>
          <w:lang w:val="zh-CN" w:eastAsia="zh-CN"/>
        </w:rPr>
        <w:t>行政运转</w:t>
      </w:r>
      <w:r>
        <w:rPr>
          <w:rFonts w:hint="eastAsia" w:ascii="宋体" w:hAnsi="宋体" w:eastAsia="仿宋_GB2312" w:cs="仿宋_GB2312"/>
          <w:b w:val="0"/>
          <w:bCs w:val="0"/>
          <w:color w:val="auto"/>
          <w:position w:val="0"/>
          <w:sz w:val="32"/>
          <w:szCs w:val="32"/>
          <w:lang w:val="en-US" w:eastAsia="zh-CN"/>
        </w:rPr>
        <w:t>类</w:t>
      </w:r>
      <w:r>
        <w:rPr>
          <w:rFonts w:hint="eastAsia" w:ascii="宋体" w:hAnsi="宋体" w:eastAsia="仿宋_GB2312" w:cs="仿宋_GB2312"/>
          <w:b w:val="0"/>
          <w:bCs w:val="0"/>
          <w:color w:val="auto"/>
          <w:position w:val="0"/>
          <w:sz w:val="32"/>
          <w:szCs w:val="32"/>
          <w:lang w:val="zh-CN" w:eastAsia="zh-CN"/>
        </w:rPr>
        <w:t>。</w:t>
      </w:r>
      <w:r>
        <w:rPr>
          <w:rFonts w:hint="eastAsia" w:ascii="宋体" w:hAnsi="宋体" w:eastAsia="仿宋_GB2312" w:cs="Times New Roman"/>
          <w:color w:val="auto"/>
          <w:position w:val="0"/>
          <w:sz w:val="32"/>
          <w:szCs w:val="32"/>
        </w:rPr>
        <w:t>根据《中共广元市委 广元市人民政府关于推进投资促进体制改革的实施意见》（广委发〔2017〕12号）精神，</w:t>
      </w:r>
      <w:r>
        <w:rPr>
          <w:rFonts w:hint="eastAsia" w:ascii="宋体" w:hAnsi="宋体" w:eastAsia="仿宋_GB2312" w:cs="Times New Roman"/>
          <w:color w:val="auto"/>
          <w:position w:val="0"/>
          <w:sz w:val="32"/>
          <w:szCs w:val="32"/>
          <w:lang w:eastAsia="zh-CN"/>
        </w:rPr>
        <w:t>同时严格按照财政要求对该项目进行事前绩效评估。通过评估，</w:t>
      </w:r>
      <w:r>
        <w:rPr>
          <w:rFonts w:hint="eastAsia" w:ascii="宋体" w:hAnsi="宋体" w:eastAsia="仿宋_GB2312" w:cs="Times New Roman"/>
          <w:color w:val="auto"/>
          <w:position w:val="0"/>
          <w:sz w:val="32"/>
          <w:szCs w:val="32"/>
        </w:rPr>
        <w:t>该项目</w:t>
      </w:r>
      <w:r>
        <w:rPr>
          <w:rFonts w:hint="eastAsia" w:ascii="宋体" w:hAnsi="宋体" w:eastAsia="仿宋_GB2312" w:cs="Times New Roman"/>
          <w:color w:val="auto"/>
          <w:position w:val="0"/>
          <w:sz w:val="32"/>
          <w:szCs w:val="32"/>
          <w:lang w:eastAsia="zh-CN"/>
        </w:rPr>
        <w:t>具有</w:t>
      </w:r>
      <w:r>
        <w:rPr>
          <w:rFonts w:hint="eastAsia" w:ascii="宋体" w:hAnsi="宋体" w:eastAsia="仿宋_GB2312" w:cs="Times New Roman"/>
          <w:color w:val="auto"/>
          <w:position w:val="0"/>
          <w:sz w:val="32"/>
          <w:szCs w:val="32"/>
        </w:rPr>
        <w:t>立项必要性</w:t>
      </w:r>
      <w:r>
        <w:rPr>
          <w:rFonts w:hint="eastAsia" w:ascii="宋体" w:hAnsi="宋体" w:eastAsia="仿宋_GB2312" w:cs="Times New Roman"/>
          <w:color w:val="auto"/>
          <w:position w:val="0"/>
          <w:sz w:val="32"/>
          <w:szCs w:val="32"/>
          <w:lang w:eastAsia="zh-CN"/>
        </w:rPr>
        <w:t>且</w:t>
      </w:r>
      <w:r>
        <w:rPr>
          <w:rFonts w:hint="eastAsia" w:ascii="宋体" w:hAnsi="宋体" w:eastAsia="仿宋_GB2312" w:cs="Times New Roman"/>
          <w:color w:val="auto"/>
          <w:position w:val="0"/>
          <w:sz w:val="32"/>
          <w:szCs w:val="32"/>
        </w:rPr>
        <w:t>依据充分</w:t>
      </w:r>
      <w:r>
        <w:rPr>
          <w:rFonts w:hint="eastAsia" w:ascii="宋体" w:hAnsi="宋体" w:eastAsia="仿宋_GB2312" w:cs="Times New Roman"/>
          <w:color w:val="auto"/>
          <w:position w:val="0"/>
          <w:sz w:val="32"/>
          <w:szCs w:val="32"/>
          <w:lang w:eastAsia="zh-CN"/>
        </w:rPr>
        <w:t>，</w:t>
      </w:r>
      <w:r>
        <w:rPr>
          <w:rFonts w:hint="eastAsia" w:ascii="宋体" w:hAnsi="宋体" w:eastAsia="仿宋_GB2312" w:cs="Times New Roman"/>
          <w:color w:val="auto"/>
          <w:position w:val="0"/>
          <w:sz w:val="32"/>
          <w:szCs w:val="32"/>
        </w:rPr>
        <w:t>绩效目标明确，具备实施条件，具有公共性，符合财政资金支持方向</w:t>
      </w:r>
      <w:r>
        <w:rPr>
          <w:rFonts w:hint="eastAsia" w:ascii="宋体" w:hAnsi="宋体" w:eastAsia="仿宋_GB2312" w:cs="仿宋_GB2312"/>
          <w:b w:val="0"/>
          <w:bCs w:val="0"/>
          <w:color w:val="auto"/>
          <w:kern w:val="0"/>
          <w:position w:val="0"/>
          <w:sz w:val="32"/>
          <w:szCs w:val="32"/>
          <w:highlight w:val="none"/>
          <w:u w:val="none"/>
          <w:shd w:val="clear" w:color="auto" w:fill="FFFFFF"/>
          <w:lang w:val="en-US" w:eastAsia="zh-CN"/>
        </w:rPr>
        <w:t>。</w:t>
      </w:r>
    </w:p>
    <w:p w14:paraId="53B4AE3D">
      <w:pPr>
        <w:keepNext w:val="0"/>
        <w:keepLines w:val="0"/>
        <w:pageBreakBefore w:val="0"/>
        <w:widowControl w:val="0"/>
        <w:numPr>
          <w:ilvl w:val="0"/>
          <w:numId w:val="0"/>
        </w:numPr>
        <w:kinsoku/>
        <w:wordWrap/>
        <w:overflowPunct/>
        <w:topLinePunct w:val="0"/>
        <w:autoSpaceDE/>
        <w:autoSpaceDN/>
        <w:bidi w:val="0"/>
        <w:adjustRightInd/>
        <w:spacing w:line="576" w:lineRule="exact"/>
        <w:ind w:leftChars="0" w:firstLine="640" w:firstLineChars="200"/>
        <w:jc w:val="both"/>
        <w:textAlignment w:val="auto"/>
        <w:rPr>
          <w:rFonts w:hint="default" w:ascii="宋体" w:hAnsi="宋体" w:eastAsia="黑体" w:cs="Times New Roman"/>
          <w:b w:val="0"/>
          <w:bCs w:val="0"/>
          <w:color w:val="auto"/>
          <w:kern w:val="0"/>
          <w:position w:val="0"/>
          <w:sz w:val="32"/>
          <w:szCs w:val="32"/>
          <w:highlight w:val="none"/>
          <w:u w:val="none"/>
          <w:lang w:val="en-US" w:eastAsia="en-US" w:bidi="ar-SA"/>
        </w:rPr>
      </w:pPr>
      <w:r>
        <w:rPr>
          <w:rFonts w:hint="default" w:ascii="宋体" w:hAnsi="宋体" w:eastAsia="黑体" w:cs="Times New Roman"/>
          <w:b w:val="0"/>
          <w:bCs w:val="0"/>
          <w:color w:val="auto"/>
          <w:kern w:val="0"/>
          <w:position w:val="0"/>
          <w:sz w:val="32"/>
          <w:szCs w:val="32"/>
          <w:highlight w:val="none"/>
          <w:u w:val="none"/>
          <w:lang w:val="en-US" w:eastAsia="zh-CN" w:bidi="ar-SA"/>
        </w:rPr>
        <w:t>四</w:t>
      </w:r>
      <w:r>
        <w:rPr>
          <w:rFonts w:hint="default" w:ascii="宋体" w:hAnsi="宋体" w:eastAsia="黑体" w:cs="Times New Roman"/>
          <w:b w:val="0"/>
          <w:bCs w:val="0"/>
          <w:color w:val="auto"/>
          <w:kern w:val="0"/>
          <w:position w:val="0"/>
          <w:sz w:val="32"/>
          <w:szCs w:val="32"/>
          <w:highlight w:val="none"/>
          <w:u w:val="none"/>
          <w:lang w:val="en-US" w:eastAsia="en-US" w:bidi="ar-SA"/>
        </w:rPr>
        <w:t>、评价结论</w:t>
      </w:r>
    </w:p>
    <w:p w14:paraId="437CA61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宋体" w:hAnsi="宋体" w:eastAsia="仿宋_GB2312" w:cs="仿宋_GB2312"/>
          <w:b w:val="0"/>
          <w:bCs w:val="0"/>
          <w:color w:val="auto"/>
          <w:kern w:val="0"/>
          <w:position w:val="0"/>
          <w:sz w:val="32"/>
          <w:szCs w:val="32"/>
          <w:highlight w:val="none"/>
          <w:u w:val="none"/>
          <w:shd w:val="clear" w:color="auto" w:fill="FFFFFF"/>
          <w:lang w:val="zh-CN"/>
        </w:rPr>
      </w:pPr>
      <w:r>
        <w:rPr>
          <w:rFonts w:hint="eastAsia" w:ascii="宋体" w:hAnsi="宋体" w:eastAsia="仿宋_GB2312" w:cs="宋体"/>
          <w:color w:val="auto"/>
          <w:kern w:val="0"/>
          <w:position w:val="0"/>
          <w:sz w:val="32"/>
          <w:szCs w:val="32"/>
          <w:shd w:val="clear" w:color="auto" w:fill="FFFFFF"/>
          <w:lang w:val="zh-CN" w:eastAsia="zh-CN"/>
        </w:rPr>
        <w:t>202</w:t>
      </w:r>
      <w:r>
        <w:rPr>
          <w:rFonts w:hint="eastAsia" w:ascii="宋体" w:hAnsi="宋体" w:eastAsia="仿宋_GB2312" w:cs="宋体"/>
          <w:color w:val="auto"/>
          <w:kern w:val="0"/>
          <w:position w:val="0"/>
          <w:sz w:val="32"/>
          <w:szCs w:val="32"/>
          <w:shd w:val="clear" w:color="auto" w:fill="FFFFFF"/>
          <w:lang w:val="en-US" w:eastAsia="zh-CN"/>
        </w:rPr>
        <w:t>4</w:t>
      </w:r>
      <w:r>
        <w:rPr>
          <w:rFonts w:hint="eastAsia" w:ascii="宋体" w:hAnsi="宋体" w:eastAsia="仿宋_GB2312" w:cs="宋体"/>
          <w:color w:val="auto"/>
          <w:kern w:val="0"/>
          <w:position w:val="0"/>
          <w:sz w:val="32"/>
          <w:szCs w:val="32"/>
          <w:shd w:val="clear" w:color="auto" w:fill="FFFFFF"/>
          <w:lang w:val="zh-CN" w:eastAsia="zh-CN"/>
        </w:rPr>
        <w:t>年我单位招商引资专项资金支出绩效自查自评结果良好，全年基本支出保证了单位招商引资工作的正常运转，保障了重点专项工作的开展，按照 202</w:t>
      </w:r>
      <w:r>
        <w:rPr>
          <w:rFonts w:hint="eastAsia" w:ascii="宋体" w:hAnsi="宋体" w:eastAsia="仿宋_GB2312" w:cs="宋体"/>
          <w:color w:val="auto"/>
          <w:kern w:val="0"/>
          <w:position w:val="0"/>
          <w:sz w:val="32"/>
          <w:szCs w:val="32"/>
          <w:shd w:val="clear" w:color="auto" w:fill="FFFFFF"/>
          <w:lang w:val="en-US" w:eastAsia="zh-CN"/>
        </w:rPr>
        <w:t>4</w:t>
      </w:r>
      <w:r>
        <w:rPr>
          <w:rFonts w:hint="eastAsia" w:ascii="宋体" w:hAnsi="宋体" w:eastAsia="仿宋_GB2312" w:cs="宋体"/>
          <w:color w:val="auto"/>
          <w:kern w:val="0"/>
          <w:position w:val="0"/>
          <w:sz w:val="32"/>
          <w:szCs w:val="32"/>
          <w:shd w:val="clear" w:color="auto" w:fill="FFFFFF"/>
          <w:lang w:val="zh-CN" w:eastAsia="zh-CN"/>
        </w:rPr>
        <w:t>年度部门招商引资专项资金支出绩效评价指标体系对我单位预算编制、预算执行、完成结果、信息公开、整改反馈等方面进行了自评，最终得分</w:t>
      </w:r>
      <w:r>
        <w:rPr>
          <w:rFonts w:hint="eastAsia" w:ascii="宋体" w:hAnsi="宋体" w:eastAsia="仿宋_GB2312" w:cs="宋体"/>
          <w:color w:val="auto"/>
          <w:kern w:val="0"/>
          <w:position w:val="0"/>
          <w:sz w:val="32"/>
          <w:szCs w:val="32"/>
          <w:shd w:val="clear" w:color="auto" w:fill="FFFFFF"/>
          <w:lang w:val="en-US" w:eastAsia="zh-CN"/>
        </w:rPr>
        <w:t>99</w:t>
      </w:r>
      <w:r>
        <w:rPr>
          <w:rFonts w:hint="eastAsia" w:ascii="宋体" w:hAnsi="宋体" w:eastAsia="仿宋_GB2312" w:cs="宋体"/>
          <w:color w:val="auto"/>
          <w:kern w:val="0"/>
          <w:position w:val="0"/>
          <w:sz w:val="32"/>
          <w:szCs w:val="32"/>
          <w:shd w:val="clear" w:color="auto" w:fill="FFFFFF"/>
          <w:lang w:val="zh-CN" w:eastAsia="zh-CN"/>
        </w:rPr>
        <w:t>分。</w:t>
      </w:r>
    </w:p>
    <w:p w14:paraId="5E84982A">
      <w:pPr>
        <w:keepNext w:val="0"/>
        <w:keepLines w:val="0"/>
        <w:pageBreakBefore w:val="0"/>
        <w:widowControl w:val="0"/>
        <w:numPr>
          <w:ilvl w:val="0"/>
          <w:numId w:val="0"/>
        </w:numPr>
        <w:kinsoku/>
        <w:wordWrap/>
        <w:overflowPunct/>
        <w:topLinePunct w:val="0"/>
        <w:autoSpaceDE/>
        <w:autoSpaceDN/>
        <w:bidi w:val="0"/>
        <w:adjustRightInd/>
        <w:spacing w:line="576" w:lineRule="exact"/>
        <w:ind w:leftChars="0" w:firstLine="640" w:firstLineChars="200"/>
        <w:jc w:val="both"/>
        <w:textAlignment w:val="auto"/>
        <w:rPr>
          <w:rFonts w:hint="default" w:ascii="宋体" w:hAnsi="宋体" w:eastAsia="黑体" w:cs="Times New Roman"/>
          <w:b w:val="0"/>
          <w:bCs w:val="0"/>
          <w:color w:val="auto"/>
          <w:kern w:val="0"/>
          <w:position w:val="0"/>
          <w:sz w:val="32"/>
          <w:szCs w:val="32"/>
          <w:highlight w:val="none"/>
          <w:u w:val="none"/>
          <w:lang w:val="en-US" w:eastAsia="zh-CN" w:bidi="ar-SA"/>
        </w:rPr>
      </w:pPr>
      <w:r>
        <w:rPr>
          <w:rFonts w:hint="default" w:ascii="宋体" w:hAnsi="宋体" w:eastAsia="黑体" w:cs="Times New Roman"/>
          <w:b w:val="0"/>
          <w:bCs w:val="0"/>
          <w:color w:val="auto"/>
          <w:kern w:val="0"/>
          <w:position w:val="0"/>
          <w:sz w:val="32"/>
          <w:szCs w:val="32"/>
          <w:highlight w:val="none"/>
          <w:u w:val="none"/>
          <w:lang w:val="en-US" w:eastAsia="zh-CN" w:bidi="ar-SA"/>
        </w:rPr>
        <w:t>五、存在主要问题</w:t>
      </w:r>
    </w:p>
    <w:p w14:paraId="3400AEB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19" w:firstLineChars="208"/>
        <w:jc w:val="both"/>
        <w:textAlignment w:val="auto"/>
        <w:outlineLvl w:val="9"/>
        <w:rPr>
          <w:rFonts w:hint="eastAsia" w:ascii="宋体" w:hAnsi="宋体" w:eastAsia="仿宋_GB2312" w:cs="黑体"/>
          <w:b w:val="0"/>
          <w:bCs w:val="0"/>
          <w:color w:val="auto"/>
          <w:spacing w:val="-11"/>
          <w:kern w:val="2"/>
          <w:position w:val="0"/>
          <w:sz w:val="32"/>
          <w:szCs w:val="32"/>
          <w:highlight w:val="none"/>
          <w:lang w:val="en-US" w:eastAsia="zh-CN" w:bidi="ar-SA"/>
        </w:rPr>
      </w:pPr>
      <w:r>
        <w:rPr>
          <w:rFonts w:hint="eastAsia" w:ascii="宋体" w:hAnsi="宋体" w:eastAsia="仿宋_GB2312" w:cs="仿宋_GB2312"/>
          <w:b w:val="0"/>
          <w:bCs w:val="0"/>
          <w:color w:val="auto"/>
          <w:spacing w:val="-11"/>
          <w:kern w:val="0"/>
          <w:position w:val="0"/>
          <w:sz w:val="32"/>
          <w:szCs w:val="32"/>
          <w:lang w:val="zh-CN" w:eastAsia="zh-CN" w:bidi="ar-SA"/>
        </w:rPr>
        <w:t>预算绩效管理需进一步加强，设定的绩效目标还不够科学精准</w:t>
      </w:r>
      <w:r>
        <w:rPr>
          <w:rFonts w:hint="eastAsia" w:ascii="宋体" w:hAnsi="宋体" w:eastAsia="仿宋_GB2312" w:cs="仿宋_GB2312"/>
          <w:b w:val="0"/>
          <w:bCs w:val="0"/>
          <w:color w:val="auto"/>
          <w:spacing w:val="-11"/>
          <w:kern w:val="0"/>
          <w:position w:val="0"/>
          <w:sz w:val="32"/>
          <w:szCs w:val="32"/>
          <w:highlight w:val="none"/>
          <w:lang w:val="en-US" w:eastAsia="zh-CN" w:bidi="ar-SA"/>
        </w:rPr>
        <w:t>。</w:t>
      </w:r>
    </w:p>
    <w:p w14:paraId="7FE0DCD8">
      <w:pPr>
        <w:keepNext w:val="0"/>
        <w:keepLines w:val="0"/>
        <w:pageBreakBefore w:val="0"/>
        <w:widowControl w:val="0"/>
        <w:numPr>
          <w:ilvl w:val="0"/>
          <w:numId w:val="0"/>
        </w:numPr>
        <w:kinsoku/>
        <w:wordWrap/>
        <w:overflowPunct/>
        <w:topLinePunct w:val="0"/>
        <w:autoSpaceDE/>
        <w:autoSpaceDN/>
        <w:bidi w:val="0"/>
        <w:adjustRightInd/>
        <w:spacing w:line="576" w:lineRule="exact"/>
        <w:ind w:leftChars="0" w:firstLine="640" w:firstLineChars="200"/>
        <w:jc w:val="both"/>
        <w:textAlignment w:val="auto"/>
        <w:rPr>
          <w:rFonts w:hint="default" w:ascii="宋体" w:hAnsi="宋体" w:eastAsia="黑体" w:cs="Times New Roman"/>
          <w:b w:val="0"/>
          <w:bCs w:val="0"/>
          <w:color w:val="auto"/>
          <w:kern w:val="0"/>
          <w:position w:val="0"/>
          <w:sz w:val="32"/>
          <w:szCs w:val="32"/>
          <w:highlight w:val="none"/>
          <w:u w:val="none"/>
          <w:lang w:val="zh-CN" w:eastAsia="zh-CN" w:bidi="ar-SA"/>
        </w:rPr>
      </w:pPr>
      <w:r>
        <w:rPr>
          <w:rFonts w:hint="default" w:ascii="宋体" w:hAnsi="宋体" w:eastAsia="黑体" w:cs="Times New Roman"/>
          <w:b w:val="0"/>
          <w:bCs w:val="0"/>
          <w:color w:val="auto"/>
          <w:kern w:val="0"/>
          <w:position w:val="0"/>
          <w:sz w:val="32"/>
          <w:szCs w:val="32"/>
          <w:highlight w:val="none"/>
          <w:u w:val="none"/>
          <w:lang w:val="zh-CN" w:eastAsia="zh-CN" w:bidi="ar-SA"/>
        </w:rPr>
        <w:t>六、改进建议</w:t>
      </w:r>
    </w:p>
    <w:p w14:paraId="6B056A3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outlineLvl w:val="9"/>
        <w:rPr>
          <w:rFonts w:hint="default" w:ascii="宋体" w:hAnsi="宋体" w:eastAsia="仿宋_GB2312" w:cs="仿宋_GB2312"/>
          <w:i w:val="0"/>
          <w:iCs w:val="0"/>
          <w:caps w:val="0"/>
          <w:color w:val="auto"/>
          <w:spacing w:val="0"/>
          <w:position w:val="0"/>
          <w:sz w:val="32"/>
          <w:szCs w:val="32"/>
          <w:shd w:val="clear" w:color="auto" w:fill="FFFFFF"/>
        </w:rPr>
      </w:pPr>
      <w:r>
        <w:rPr>
          <w:rFonts w:hint="default" w:ascii="宋体" w:hAnsi="宋体" w:eastAsia="仿宋_GB2312" w:cs="仿宋_GB2312"/>
          <w:i w:val="0"/>
          <w:iCs w:val="0"/>
          <w:caps w:val="0"/>
          <w:color w:val="auto"/>
          <w:spacing w:val="0"/>
          <w:position w:val="0"/>
          <w:sz w:val="32"/>
          <w:szCs w:val="32"/>
          <w:shd w:val="clear" w:color="auto" w:fill="FFFFFF"/>
        </w:rPr>
        <w:t>进一步健全和完善财务管理制度及内部控制制度，创新管理手段，用新思路、新方法，改进完善财务管理方法。</w:t>
      </w:r>
    </w:p>
    <w:p w14:paraId="75F6E196">
      <w:pPr>
        <w:rPr>
          <w:rFonts w:hint="eastAsia" w:eastAsia="仿宋_GB2312" w:cs="仿宋_GB2312"/>
          <w:kern w:val="0"/>
          <w:sz w:val="32"/>
          <w:szCs w:val="32"/>
        </w:rPr>
      </w:pPr>
      <w:r>
        <w:rPr>
          <w:rFonts w:hint="eastAsia" w:eastAsia="仿宋_GB2312" w:cs="仿宋_GB2312"/>
          <w:kern w:val="0"/>
          <w:sz w:val="32"/>
          <w:szCs w:val="32"/>
        </w:rPr>
        <w:br w:type="page"/>
      </w:r>
    </w:p>
    <w:p w14:paraId="5361B709">
      <w:pPr>
        <w:pStyle w:val="14"/>
        <w:ind w:left="0" w:leftChars="0" w:firstLine="0" w:firstLineChars="0"/>
        <w:rPr>
          <w:rFonts w:hint="eastAsia" w:eastAsia="仿宋_GB2312" w:cs="仿宋_GB2312"/>
          <w:kern w:val="0"/>
          <w:sz w:val="32"/>
          <w:szCs w:val="32"/>
        </w:rPr>
      </w:pPr>
    </w:p>
    <w:p w14:paraId="372FA044">
      <w:pPr>
        <w:pStyle w:val="3"/>
        <w:bidi w:val="0"/>
        <w:jc w:val="center"/>
        <w:rPr>
          <w:rFonts w:eastAsia="仿宋_GB2312" w:cs="仿宋_GB2312"/>
          <w:sz w:val="32"/>
          <w:szCs w:val="32"/>
        </w:rPr>
      </w:pPr>
      <w:bookmarkStart w:id="71" w:name="_Toc20051"/>
      <w:r>
        <w:rPr>
          <w:rFonts w:hint="eastAsia" w:eastAsia="黑体"/>
          <w:b w:val="0"/>
          <w:bCs w:val="0"/>
          <w:sz w:val="44"/>
          <w:szCs w:val="44"/>
        </w:rPr>
        <w:t>第</w:t>
      </w:r>
      <w:r>
        <w:rPr>
          <w:rStyle w:val="22"/>
          <w:rFonts w:hint="eastAsia" w:eastAsia="黑体"/>
          <w:b w:val="0"/>
          <w:bCs/>
        </w:rPr>
        <w:t>五部分 附表</w:t>
      </w:r>
      <w:bookmarkEnd w:id="65"/>
      <w:bookmarkEnd w:id="70"/>
      <w:bookmarkEnd w:id="71"/>
      <w:bookmarkStart w:id="72" w:name="_Toc15396619"/>
    </w:p>
    <w:p w14:paraId="2D2BC5FA">
      <w:pPr>
        <w:pStyle w:val="4"/>
        <w:bidi w:val="0"/>
        <w:rPr>
          <w:rFonts w:hint="eastAsia" w:ascii="仿宋" w:hAnsi="仿宋" w:eastAsia="仿宋" w:cs="仿宋"/>
          <w:b w:val="0"/>
          <w:bCs w:val="0"/>
        </w:rPr>
      </w:pPr>
      <w:bookmarkStart w:id="73" w:name="_Toc15255"/>
      <w:r>
        <w:rPr>
          <w:rFonts w:hint="eastAsia" w:ascii="仿宋" w:hAnsi="仿宋" w:eastAsia="仿宋" w:cs="仿宋"/>
          <w:b w:val="0"/>
          <w:bCs w:val="0"/>
        </w:rPr>
        <w:t>一、收入支出决算总表</w:t>
      </w:r>
      <w:bookmarkEnd w:id="72"/>
      <w:bookmarkEnd w:id="73"/>
    </w:p>
    <w:p w14:paraId="20785869">
      <w:pPr>
        <w:pStyle w:val="4"/>
        <w:bidi w:val="0"/>
        <w:rPr>
          <w:rFonts w:hint="eastAsia" w:ascii="仿宋" w:hAnsi="仿宋" w:eastAsia="仿宋" w:cs="仿宋"/>
          <w:b w:val="0"/>
          <w:bCs w:val="0"/>
        </w:rPr>
      </w:pPr>
      <w:bookmarkStart w:id="74" w:name="_Toc15396620"/>
      <w:bookmarkStart w:id="75" w:name="_Toc26405"/>
      <w:r>
        <w:rPr>
          <w:rFonts w:hint="eastAsia" w:ascii="仿宋" w:hAnsi="仿宋" w:eastAsia="仿宋" w:cs="仿宋"/>
          <w:b w:val="0"/>
          <w:bCs w:val="0"/>
        </w:rPr>
        <w:t>二、收入决算表</w:t>
      </w:r>
      <w:bookmarkEnd w:id="74"/>
      <w:bookmarkEnd w:id="75"/>
    </w:p>
    <w:p w14:paraId="0E6303AF">
      <w:pPr>
        <w:pStyle w:val="4"/>
        <w:bidi w:val="0"/>
        <w:rPr>
          <w:rFonts w:hint="eastAsia" w:ascii="仿宋" w:hAnsi="仿宋" w:eastAsia="仿宋" w:cs="仿宋"/>
          <w:b w:val="0"/>
          <w:bCs w:val="0"/>
        </w:rPr>
      </w:pPr>
      <w:bookmarkStart w:id="76" w:name="_Toc15396621"/>
      <w:bookmarkStart w:id="77" w:name="_Toc31320"/>
      <w:r>
        <w:rPr>
          <w:rFonts w:hint="eastAsia" w:ascii="仿宋" w:hAnsi="仿宋" w:eastAsia="仿宋" w:cs="仿宋"/>
          <w:b w:val="0"/>
          <w:bCs w:val="0"/>
        </w:rPr>
        <w:t>三、支出决算表</w:t>
      </w:r>
      <w:bookmarkEnd w:id="76"/>
      <w:bookmarkEnd w:id="77"/>
    </w:p>
    <w:p w14:paraId="30BBAE9E">
      <w:pPr>
        <w:pStyle w:val="4"/>
        <w:bidi w:val="0"/>
        <w:rPr>
          <w:rFonts w:hint="eastAsia" w:ascii="仿宋" w:hAnsi="仿宋" w:eastAsia="仿宋" w:cs="仿宋"/>
          <w:b w:val="0"/>
          <w:bCs w:val="0"/>
        </w:rPr>
      </w:pPr>
      <w:bookmarkStart w:id="78" w:name="_Toc15396622"/>
      <w:bookmarkStart w:id="79" w:name="_Toc28500"/>
      <w:r>
        <w:rPr>
          <w:rFonts w:hint="eastAsia" w:ascii="仿宋" w:hAnsi="仿宋" w:eastAsia="仿宋" w:cs="仿宋"/>
          <w:b w:val="0"/>
          <w:bCs w:val="0"/>
        </w:rPr>
        <w:t>四、财政拨款收入支出决算总表</w:t>
      </w:r>
      <w:bookmarkEnd w:id="78"/>
      <w:bookmarkEnd w:id="79"/>
    </w:p>
    <w:p w14:paraId="16F7651F">
      <w:pPr>
        <w:pStyle w:val="4"/>
        <w:bidi w:val="0"/>
        <w:rPr>
          <w:rFonts w:hint="eastAsia" w:ascii="仿宋" w:hAnsi="仿宋" w:eastAsia="仿宋" w:cs="仿宋"/>
          <w:b w:val="0"/>
          <w:bCs w:val="0"/>
        </w:rPr>
      </w:pPr>
      <w:bookmarkStart w:id="80" w:name="_Toc29713"/>
      <w:bookmarkStart w:id="81" w:name="_Toc15396623"/>
      <w:r>
        <w:rPr>
          <w:rFonts w:hint="eastAsia" w:ascii="仿宋" w:hAnsi="仿宋" w:eastAsia="仿宋" w:cs="仿宋"/>
          <w:b w:val="0"/>
          <w:bCs w:val="0"/>
        </w:rPr>
        <w:t>五、财政拨款支出决算明细表</w:t>
      </w:r>
      <w:bookmarkEnd w:id="80"/>
      <w:bookmarkEnd w:id="81"/>
      <w:bookmarkStart w:id="82" w:name="_Toc15396624"/>
    </w:p>
    <w:p w14:paraId="5F037515">
      <w:pPr>
        <w:pStyle w:val="4"/>
        <w:bidi w:val="0"/>
        <w:rPr>
          <w:rFonts w:hint="eastAsia" w:ascii="仿宋" w:hAnsi="仿宋" w:eastAsia="仿宋" w:cs="仿宋"/>
          <w:b w:val="0"/>
          <w:bCs w:val="0"/>
        </w:rPr>
      </w:pPr>
      <w:bookmarkStart w:id="83" w:name="_Toc11385"/>
      <w:r>
        <w:rPr>
          <w:rFonts w:hint="eastAsia" w:ascii="仿宋" w:hAnsi="仿宋" w:eastAsia="仿宋" w:cs="仿宋"/>
          <w:b w:val="0"/>
          <w:bCs w:val="0"/>
        </w:rPr>
        <w:t>六、一般公共预算财政拨款支出决算表</w:t>
      </w:r>
      <w:bookmarkEnd w:id="82"/>
      <w:bookmarkEnd w:id="83"/>
    </w:p>
    <w:p w14:paraId="72226C6E">
      <w:pPr>
        <w:pStyle w:val="4"/>
        <w:bidi w:val="0"/>
        <w:rPr>
          <w:rFonts w:hint="eastAsia" w:ascii="仿宋" w:hAnsi="仿宋" w:eastAsia="仿宋" w:cs="仿宋"/>
          <w:b w:val="0"/>
          <w:bCs w:val="0"/>
        </w:rPr>
      </w:pPr>
      <w:bookmarkStart w:id="84" w:name="_Toc6743"/>
      <w:bookmarkStart w:id="85" w:name="_Toc15396625"/>
      <w:r>
        <w:rPr>
          <w:rFonts w:hint="eastAsia" w:ascii="仿宋" w:hAnsi="仿宋" w:eastAsia="仿宋" w:cs="仿宋"/>
          <w:b w:val="0"/>
          <w:bCs w:val="0"/>
        </w:rPr>
        <w:t>七、一般公共预算财政拨款支出决算明细表</w:t>
      </w:r>
      <w:bookmarkEnd w:id="84"/>
      <w:bookmarkEnd w:id="85"/>
    </w:p>
    <w:p w14:paraId="3A78501D">
      <w:pPr>
        <w:pStyle w:val="4"/>
        <w:bidi w:val="0"/>
        <w:rPr>
          <w:rFonts w:hint="eastAsia" w:ascii="仿宋" w:hAnsi="仿宋" w:eastAsia="仿宋" w:cs="仿宋"/>
          <w:b w:val="0"/>
          <w:bCs w:val="0"/>
        </w:rPr>
      </w:pPr>
      <w:bookmarkStart w:id="86" w:name="_Toc15396626"/>
      <w:bookmarkStart w:id="87" w:name="_Toc2730"/>
      <w:r>
        <w:rPr>
          <w:rFonts w:hint="eastAsia" w:ascii="仿宋" w:hAnsi="仿宋" w:eastAsia="仿宋" w:cs="仿宋"/>
          <w:b w:val="0"/>
          <w:bCs w:val="0"/>
        </w:rPr>
        <w:t>八、一般公共预算财政拨款基本支出决算表</w:t>
      </w:r>
      <w:bookmarkEnd w:id="86"/>
      <w:bookmarkEnd w:id="87"/>
    </w:p>
    <w:p w14:paraId="6FC5A857">
      <w:pPr>
        <w:pStyle w:val="4"/>
        <w:bidi w:val="0"/>
        <w:rPr>
          <w:rFonts w:hint="eastAsia" w:ascii="仿宋" w:hAnsi="仿宋" w:eastAsia="仿宋" w:cs="仿宋"/>
          <w:b w:val="0"/>
          <w:bCs w:val="0"/>
        </w:rPr>
      </w:pPr>
      <w:bookmarkStart w:id="88" w:name="_Toc15396627"/>
      <w:bookmarkStart w:id="89" w:name="_Toc20057"/>
      <w:r>
        <w:rPr>
          <w:rFonts w:hint="eastAsia" w:ascii="仿宋" w:hAnsi="仿宋" w:eastAsia="仿宋" w:cs="仿宋"/>
          <w:b w:val="0"/>
          <w:bCs w:val="0"/>
        </w:rPr>
        <w:t>九、一般公共预算财政拨款项目支出决算表</w:t>
      </w:r>
      <w:bookmarkEnd w:id="88"/>
      <w:bookmarkEnd w:id="89"/>
    </w:p>
    <w:p w14:paraId="6E4A6B93">
      <w:pPr>
        <w:pStyle w:val="4"/>
        <w:bidi w:val="0"/>
        <w:rPr>
          <w:rFonts w:hint="eastAsia" w:ascii="仿宋" w:hAnsi="仿宋" w:eastAsia="仿宋" w:cs="仿宋"/>
          <w:b w:val="0"/>
          <w:bCs w:val="0"/>
        </w:rPr>
      </w:pPr>
      <w:bookmarkStart w:id="90" w:name="_Toc15396628"/>
      <w:bookmarkStart w:id="91" w:name="_Toc15879"/>
      <w:r>
        <w:rPr>
          <w:rFonts w:hint="eastAsia" w:ascii="仿宋" w:hAnsi="仿宋" w:eastAsia="仿宋" w:cs="仿宋"/>
          <w:b w:val="0"/>
          <w:bCs w:val="0"/>
        </w:rPr>
        <w:t>十、</w:t>
      </w:r>
      <w:bookmarkEnd w:id="90"/>
      <w:r>
        <w:rPr>
          <w:rFonts w:hint="eastAsia" w:ascii="仿宋" w:hAnsi="仿宋" w:eastAsia="仿宋" w:cs="仿宋"/>
          <w:b w:val="0"/>
          <w:bCs w:val="0"/>
        </w:rPr>
        <w:t>政府性基金预算财政拨款收入支出决算表</w:t>
      </w:r>
      <w:bookmarkEnd w:id="91"/>
    </w:p>
    <w:p w14:paraId="7796D6D2">
      <w:pPr>
        <w:pStyle w:val="4"/>
        <w:bidi w:val="0"/>
        <w:rPr>
          <w:rFonts w:hint="eastAsia" w:ascii="仿宋" w:hAnsi="仿宋" w:eastAsia="仿宋" w:cs="仿宋"/>
          <w:b w:val="0"/>
          <w:bCs w:val="0"/>
        </w:rPr>
      </w:pPr>
      <w:bookmarkStart w:id="92" w:name="_Toc15396629"/>
      <w:bookmarkStart w:id="93" w:name="_Toc5304"/>
      <w:r>
        <w:rPr>
          <w:rFonts w:hint="eastAsia" w:ascii="仿宋" w:hAnsi="仿宋" w:eastAsia="仿宋" w:cs="仿宋"/>
          <w:b w:val="0"/>
          <w:bCs w:val="0"/>
        </w:rPr>
        <w:t>十一、</w:t>
      </w:r>
      <w:bookmarkEnd w:id="92"/>
      <w:r>
        <w:rPr>
          <w:rFonts w:hint="eastAsia" w:ascii="仿宋" w:hAnsi="仿宋" w:eastAsia="仿宋" w:cs="仿宋"/>
          <w:b w:val="0"/>
          <w:bCs w:val="0"/>
        </w:rPr>
        <w:t>国有资本经营预算财政拨款收入支出决算表</w:t>
      </w:r>
      <w:bookmarkEnd w:id="93"/>
    </w:p>
    <w:p w14:paraId="08156167">
      <w:pPr>
        <w:pStyle w:val="4"/>
        <w:bidi w:val="0"/>
        <w:rPr>
          <w:rFonts w:hint="eastAsia" w:ascii="仿宋" w:hAnsi="仿宋" w:eastAsia="仿宋" w:cs="仿宋"/>
          <w:b w:val="0"/>
          <w:bCs w:val="0"/>
        </w:rPr>
      </w:pPr>
      <w:bookmarkStart w:id="94" w:name="_Toc15396630"/>
      <w:bookmarkStart w:id="95" w:name="_Toc23976"/>
      <w:r>
        <w:rPr>
          <w:rFonts w:hint="eastAsia" w:ascii="仿宋" w:hAnsi="仿宋" w:eastAsia="仿宋" w:cs="仿宋"/>
          <w:b w:val="0"/>
          <w:bCs w:val="0"/>
        </w:rPr>
        <w:t>十二、</w:t>
      </w:r>
      <w:bookmarkEnd w:id="94"/>
      <w:r>
        <w:rPr>
          <w:rFonts w:hint="eastAsia" w:ascii="仿宋" w:hAnsi="仿宋" w:eastAsia="仿宋" w:cs="仿宋"/>
          <w:b w:val="0"/>
          <w:bCs w:val="0"/>
        </w:rPr>
        <w:t>国有资本经营预算财政拨款支出决算表</w:t>
      </w:r>
      <w:bookmarkEnd w:id="95"/>
    </w:p>
    <w:p w14:paraId="5313E9F4">
      <w:pPr>
        <w:pStyle w:val="4"/>
        <w:bidi w:val="0"/>
        <w:rPr>
          <w:rFonts w:hint="eastAsia" w:ascii="仿宋" w:hAnsi="仿宋" w:eastAsia="仿宋" w:cs="仿宋"/>
          <w:b w:val="0"/>
          <w:bCs w:val="0"/>
        </w:rPr>
      </w:pPr>
      <w:bookmarkStart w:id="96" w:name="_Toc15396631"/>
      <w:bookmarkStart w:id="97" w:name="_Toc8512"/>
      <w:r>
        <w:rPr>
          <w:rFonts w:hint="eastAsia" w:ascii="仿宋" w:hAnsi="仿宋" w:eastAsia="仿宋" w:cs="仿宋"/>
          <w:b w:val="0"/>
          <w:bCs w:val="0"/>
        </w:rPr>
        <w:t>十三、</w:t>
      </w:r>
      <w:bookmarkEnd w:id="96"/>
      <w:r>
        <w:rPr>
          <w:rFonts w:hint="eastAsia" w:ascii="仿宋" w:hAnsi="仿宋" w:eastAsia="仿宋" w:cs="仿宋"/>
          <w:b w:val="0"/>
          <w:bCs w:val="0"/>
        </w:rPr>
        <w:t>财政拨款“三公”经费支出决算表</w:t>
      </w:r>
      <w:bookmarkEnd w:id="97"/>
    </w:p>
    <w:p w14:paraId="089AFC2F"/>
    <w:sectPr>
      <w:footerReference r:id="rId14" w:type="first"/>
      <w:footerReference r:id="rId13"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auto"/>
    <w:pitch w:val="default"/>
    <w:sig w:usb0="00000000" w:usb1="00000000" w:usb2="00000016" w:usb3="00000000" w:csb0="00040001" w:csb1="00000000"/>
  </w:font>
  <w:font w:name="??">
    <w:altName w:val="Mangal"/>
    <w:panose1 w:val="00000000000000000000"/>
    <w:charset w:val="00"/>
    <w:family w:val="roman"/>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0997">
    <w:pPr>
      <w:pStyle w:val="10"/>
      <w:jc w:val="center"/>
    </w:pPr>
  </w:p>
  <w:p w14:paraId="7E79839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DD0A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DC2C">
    <w:pPr>
      <w:pStyle w:val="10"/>
      <w:ind w:right="189" w:rightChars="90"/>
      <w:jc w:val="left"/>
      <w:rPr>
        <w:rFonts w:hint="eastAsia"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79100">
    <w:pPr>
      <w:pStyle w:val="10"/>
      <w:ind w:right="189" w:rightChars="90"/>
      <w:jc w:val="left"/>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EEFA3">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FEEFA3">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22D31">
    <w:pPr>
      <w:pStyle w:val="10"/>
      <w:ind w:right="189" w:rightChars="90"/>
      <w:jc w:val="left"/>
      <w:rPr>
        <w:rFonts w:hint="eastAsia"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3D02F">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073D02F">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F7A57">
    <w:pPr>
      <w:pStyle w:val="10"/>
      <w:ind w:right="189" w:rightChars="90"/>
      <w:jc w:val="left"/>
      <w:rPr>
        <w:rFonts w:hint="eastAsia"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91C9C">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D291C9C">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7306E">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516C9">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- 66 -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2A516C9">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- 66 -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txbxContent>
              </v:textbox>
            </v:shape>
          </w:pict>
        </mc:Fallback>
      </mc:AlternateContent>
    </w:r>
  </w:p>
  <w:p w14:paraId="69AD85AA">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EFA6">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489CA">
                          <w:pPr>
                            <w:pStyle w:val="10"/>
                          </w:pPr>
                          <w:r>
                            <w:t xml:space="preserve">— </w:t>
                          </w:r>
                          <w:r>
                            <w:fldChar w:fldCharType="begin"/>
                          </w:r>
                          <w:r>
                            <w:instrText xml:space="preserve"> PAGE  \* MERGEFORMAT </w:instrText>
                          </w:r>
                          <w:r>
                            <w:fldChar w:fldCharType="separate"/>
                          </w:r>
                          <w:r>
                            <w:t>- 65 -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E489CA">
                    <w:pPr>
                      <w:pStyle w:val="10"/>
                    </w:pPr>
                    <w:r>
                      <w:t xml:space="preserve">— </w:t>
                    </w:r>
                    <w:r>
                      <w:fldChar w:fldCharType="begin"/>
                    </w:r>
                    <w:r>
                      <w:instrText xml:space="preserve"> PAGE  \* MERGEFORMAT </w:instrText>
                    </w:r>
                    <w:r>
                      <w:fldChar w:fldCharType="separate"/>
                    </w:r>
                    <w:r>
                      <w:t>- 65 -</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7EA9">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E6F71">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44CE0">
    <w:pPr>
      <w:pStyle w:val="11"/>
      <w:pBdr>
        <w:top w:val="none" w:color="auto" w:sz="0" w:space="0"/>
        <w:left w:val="none" w:color="auto" w:sz="0" w:space="0"/>
        <w:bottom w:val="none" w:color="auto" w:sz="0" w:space="1"/>
        <w:right w:val="none" w:color="auto" w:sz="0" w:space="0"/>
        <w:between w:val="none" w:color="auto" w:sz="0" w:space="0"/>
      </w:pBdr>
      <w:tabs>
        <w:tab w:val="left" w:pos="7811"/>
        <w:tab w:val="clear" w:pos="4153"/>
      </w:tabs>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074BD">
    <w:pPr>
      <w:pStyle w:val="11"/>
      <w:pBdr>
        <w:top w:val="none" w:color="auto" w:sz="0" w:space="0"/>
        <w:left w:val="none" w:color="auto" w:sz="0" w:space="0"/>
        <w:bottom w:val="none" w:color="auto" w:sz="0" w:space="1"/>
        <w:right w:val="none" w:color="auto" w:sz="0" w:space="0"/>
        <w:between w:val="none" w:color="auto" w:sz="0" w:space="0"/>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EACA1"/>
    <w:multiLevelType w:val="singleLevel"/>
    <w:tmpl w:val="A14EACA1"/>
    <w:lvl w:ilvl="0" w:tentative="0">
      <w:start w:val="1"/>
      <w:numFmt w:val="decimal"/>
      <w:suff w:val="nothing"/>
      <w:lvlText w:val="%1．"/>
      <w:lvlJc w:val="left"/>
      <w:pPr>
        <w:ind w:left="0" w:firstLine="400"/>
      </w:pPr>
      <w:rPr>
        <w:rFonts w:hint="default"/>
      </w:rPr>
    </w:lvl>
  </w:abstractNum>
  <w:abstractNum w:abstractNumId="1">
    <w:nsid w:val="D23E3820"/>
    <w:multiLevelType w:val="singleLevel"/>
    <w:tmpl w:val="D23E3820"/>
    <w:lvl w:ilvl="0" w:tentative="0">
      <w:start w:val="1"/>
      <w:numFmt w:val="chineseCounting"/>
      <w:suff w:val="nothing"/>
      <w:lvlText w:val="%1、"/>
      <w:lvlJc w:val="left"/>
      <w:rPr>
        <w:rFonts w:hint="eastAsia"/>
      </w:rPr>
    </w:lvl>
  </w:abstractNum>
  <w:abstractNum w:abstractNumId="2">
    <w:nsid w:val="FDBC0F45"/>
    <w:multiLevelType w:val="singleLevel"/>
    <w:tmpl w:val="FDBC0F45"/>
    <w:lvl w:ilvl="0" w:tentative="0">
      <w:start w:val="2"/>
      <w:numFmt w:val="chineseCounting"/>
      <w:suff w:val="nothing"/>
      <w:lvlText w:val="（%1）"/>
      <w:lvlJc w:val="left"/>
      <w:rPr>
        <w:rFonts w:hint="eastAsia"/>
      </w:rPr>
    </w:lvl>
  </w:abstractNum>
  <w:abstractNum w:abstractNumId="3">
    <w:nsid w:val="7D8A1845"/>
    <w:multiLevelType w:val="singleLevel"/>
    <w:tmpl w:val="7D8A1845"/>
    <w:lvl w:ilvl="0" w:tentative="0">
      <w:start w:val="1"/>
      <w:numFmt w:val="decimal"/>
      <w:suff w:val="nothing"/>
      <w:lvlText w:val="%1．"/>
      <w:lvlJc w:val="left"/>
      <w:pPr>
        <w:ind w:left="0" w:firstLine="4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66AEA"/>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3A78"/>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6647D"/>
    <w:rsid w:val="02FEBE30"/>
    <w:rsid w:val="04916F1E"/>
    <w:rsid w:val="061E35DE"/>
    <w:rsid w:val="066E0107"/>
    <w:rsid w:val="07996F6E"/>
    <w:rsid w:val="07DFD8BA"/>
    <w:rsid w:val="09867E8F"/>
    <w:rsid w:val="0A2032A3"/>
    <w:rsid w:val="0B450662"/>
    <w:rsid w:val="0CA8290A"/>
    <w:rsid w:val="0D35B1ED"/>
    <w:rsid w:val="0E254B6B"/>
    <w:rsid w:val="0EBD26CB"/>
    <w:rsid w:val="0F98263C"/>
    <w:rsid w:val="101860EC"/>
    <w:rsid w:val="101F47CC"/>
    <w:rsid w:val="10C055FF"/>
    <w:rsid w:val="1100378F"/>
    <w:rsid w:val="11694EBD"/>
    <w:rsid w:val="11772AA4"/>
    <w:rsid w:val="118107EC"/>
    <w:rsid w:val="12E24EE2"/>
    <w:rsid w:val="13D50BC4"/>
    <w:rsid w:val="14B17F78"/>
    <w:rsid w:val="165E0673"/>
    <w:rsid w:val="16B831D5"/>
    <w:rsid w:val="16BB723D"/>
    <w:rsid w:val="17E50567"/>
    <w:rsid w:val="186504BB"/>
    <w:rsid w:val="1948DA2A"/>
    <w:rsid w:val="19A445FC"/>
    <w:rsid w:val="1BE8440E"/>
    <w:rsid w:val="1D155CEE"/>
    <w:rsid w:val="1D1638FE"/>
    <w:rsid w:val="1E312DEB"/>
    <w:rsid w:val="1E740ACF"/>
    <w:rsid w:val="1FE78979"/>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19498D"/>
    <w:rsid w:val="30AB6865"/>
    <w:rsid w:val="319F7F4E"/>
    <w:rsid w:val="3212499D"/>
    <w:rsid w:val="321358BE"/>
    <w:rsid w:val="32BD1EF1"/>
    <w:rsid w:val="3304709D"/>
    <w:rsid w:val="33A773CB"/>
    <w:rsid w:val="349D6851"/>
    <w:rsid w:val="35092347"/>
    <w:rsid w:val="36AA5135"/>
    <w:rsid w:val="36BE0DA7"/>
    <w:rsid w:val="36C9608E"/>
    <w:rsid w:val="371DDDDA"/>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126550"/>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AC32670"/>
    <w:rsid w:val="6B053271"/>
    <w:rsid w:val="6B97F24D"/>
    <w:rsid w:val="6BDD78B3"/>
    <w:rsid w:val="6C4A05C8"/>
    <w:rsid w:val="6C8742B8"/>
    <w:rsid w:val="6DBF5E93"/>
    <w:rsid w:val="6DFF077E"/>
    <w:rsid w:val="6E714EF0"/>
    <w:rsid w:val="6E7E3605"/>
    <w:rsid w:val="6E7FDCC7"/>
    <w:rsid w:val="6ED6A62E"/>
    <w:rsid w:val="6EE00B15"/>
    <w:rsid w:val="6F3D5E92"/>
    <w:rsid w:val="6F6FB3EB"/>
    <w:rsid w:val="6F8731EA"/>
    <w:rsid w:val="6FCE6052"/>
    <w:rsid w:val="6FD57C00"/>
    <w:rsid w:val="6FEFFFD8"/>
    <w:rsid w:val="6FF5CC65"/>
    <w:rsid w:val="6FFB47EC"/>
    <w:rsid w:val="6FFF034A"/>
    <w:rsid w:val="70261185"/>
    <w:rsid w:val="70484440"/>
    <w:rsid w:val="712A28F1"/>
    <w:rsid w:val="715C0E4B"/>
    <w:rsid w:val="71992E7C"/>
    <w:rsid w:val="71A21423"/>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D6EA9"/>
    <w:rsid w:val="7CFE0F48"/>
    <w:rsid w:val="7D272ABC"/>
    <w:rsid w:val="7D7EC23E"/>
    <w:rsid w:val="7DBF850B"/>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B7B94DA"/>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7FFA498"/>
    <w:rsid w:val="EB2E368B"/>
    <w:rsid w:val="ECFED1BC"/>
    <w:rsid w:val="ED1D69BB"/>
    <w:rsid w:val="ED7FD312"/>
    <w:rsid w:val="EF2E1AC6"/>
    <w:rsid w:val="EF53993F"/>
    <w:rsid w:val="EF6FD633"/>
    <w:rsid w:val="EFBFB2F4"/>
    <w:rsid w:val="EFBFFA21"/>
    <w:rsid w:val="F2BEBCB8"/>
    <w:rsid w:val="F36FB518"/>
    <w:rsid w:val="F3DE1A04"/>
    <w:rsid w:val="F3F722E5"/>
    <w:rsid w:val="F4FBCD07"/>
    <w:rsid w:val="F7EDE385"/>
    <w:rsid w:val="FA5F1E70"/>
    <w:rsid w:val="FA5FDB97"/>
    <w:rsid w:val="FB7F486A"/>
    <w:rsid w:val="FBFF5B2E"/>
    <w:rsid w:val="FD7FFE2B"/>
    <w:rsid w:val="FDEE196B"/>
    <w:rsid w:val="FDF91915"/>
    <w:rsid w:val="FDF9768E"/>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val="0"/>
      <w:tabs>
        <w:tab w:val="left" w:pos="851"/>
      </w:tabs>
      <w:spacing w:before="120" w:after="120" w:line="360" w:lineRule="auto"/>
      <w:ind w:left="-2" w:leftChars="-1" w:firstLine="1"/>
      <w:outlineLvl w:val="3"/>
    </w:pPr>
    <w:rPr>
      <w:rFonts w:ascii="宋体" w:hAnsi="宋体" w:eastAsia="宋体" w:cs="Times New Roman"/>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1"/>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5"/>
    <w:semiHidden/>
    <w:unhideWhenUsed/>
    <w:qFormat/>
    <w:uiPriority w:val="99"/>
    <w:rPr>
      <w:sz w:val="18"/>
      <w:szCs w:val="18"/>
    </w:rPr>
  </w:style>
  <w:style w:type="paragraph" w:styleId="10">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able of figures"/>
    <w:basedOn w:val="1"/>
    <w:next w:val="1"/>
    <w:unhideWhenUsed/>
    <w:qFormat/>
    <w:uiPriority w:val="99"/>
    <w:pPr>
      <w:spacing w:before="100" w:beforeAutospacing="1" w:after="100" w:afterAutospacing="1"/>
      <w:ind w:left="400" w:leftChars="200" w:hanging="200" w:hangingChars="200"/>
    </w:pPr>
    <w:rPr>
      <w:rFonts w:ascii="Times New Roman" w:hAnsi="Times New Roman"/>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keepNext w:val="0"/>
      <w:keepLines w:val="0"/>
      <w:widowControl w:val="0"/>
      <w:suppressLineNumbers w:val="0"/>
      <w:spacing w:before="0" w:beforeAutospacing="0" w:after="0" w:afterAutospacing="0" w:line="240" w:lineRule="auto"/>
      <w:ind w:left="0" w:right="0" w:firstLine="0"/>
      <w:jc w:val="left"/>
    </w:pPr>
    <w:rPr>
      <w:rFonts w:hint="default" w:ascii="Calibri" w:hAnsi="Calibri" w:eastAsia="宋体" w:cs="Times New Roman"/>
      <w:kern w:val="0"/>
      <w:sz w:val="24"/>
      <w:szCs w:val="20"/>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标题 1 Char"/>
    <w:basedOn w:val="19"/>
    <w:link w:val="3"/>
    <w:qFormat/>
    <w:uiPriority w:val="9"/>
    <w:rPr>
      <w:rFonts w:ascii="Times New Roman" w:hAnsi="Times New Roman"/>
      <w:b/>
      <w:bCs/>
      <w:kern w:val="44"/>
      <w:sz w:val="44"/>
      <w:szCs w:val="44"/>
    </w:rPr>
  </w:style>
  <w:style w:type="character" w:customStyle="1" w:styleId="23">
    <w:name w:val="标题 2 Char"/>
    <w:basedOn w:val="19"/>
    <w:link w:val="4"/>
    <w:qFormat/>
    <w:uiPriority w:val="9"/>
    <w:rPr>
      <w:rFonts w:asciiTheme="majorHAnsi" w:hAnsiTheme="majorHAnsi" w:eastAsiaTheme="majorEastAsia" w:cstheme="majorBidi"/>
      <w:b/>
      <w:bCs/>
      <w:kern w:val="2"/>
      <w:sz w:val="32"/>
      <w:szCs w:val="32"/>
    </w:rPr>
  </w:style>
  <w:style w:type="character" w:customStyle="1" w:styleId="24">
    <w:name w:val="标题 3 Char"/>
    <w:basedOn w:val="19"/>
    <w:link w:val="5"/>
    <w:qFormat/>
    <w:uiPriority w:val="9"/>
    <w:rPr>
      <w:rFonts w:ascii="Times New Roman" w:hAnsi="Times New Roman"/>
      <w:b/>
      <w:bCs/>
      <w:kern w:val="2"/>
      <w:sz w:val="32"/>
      <w:szCs w:val="32"/>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6">
    <w:name w:val="Header Char"/>
    <w:basedOn w:val="19"/>
    <w:semiHidden/>
    <w:qFormat/>
    <w:uiPriority w:val="99"/>
    <w:rPr>
      <w:rFonts w:ascii="Times New Roman" w:hAnsi="Times New Roman"/>
      <w:sz w:val="18"/>
      <w:szCs w:val="18"/>
    </w:rPr>
  </w:style>
  <w:style w:type="character" w:customStyle="1" w:styleId="27">
    <w:name w:val="页眉 Char"/>
    <w:link w:val="11"/>
    <w:semiHidden/>
    <w:qFormat/>
    <w:locked/>
    <w:uiPriority w:val="99"/>
    <w:rPr>
      <w:sz w:val="18"/>
    </w:rPr>
  </w:style>
  <w:style w:type="character" w:customStyle="1" w:styleId="28">
    <w:name w:val="Footer Char"/>
    <w:basedOn w:val="19"/>
    <w:semiHidden/>
    <w:qFormat/>
    <w:uiPriority w:val="99"/>
    <w:rPr>
      <w:rFonts w:ascii="Times New Roman" w:hAnsi="Times New Roman"/>
      <w:sz w:val="18"/>
      <w:szCs w:val="18"/>
    </w:rPr>
  </w:style>
  <w:style w:type="character" w:customStyle="1" w:styleId="29">
    <w:name w:val="页脚 Char"/>
    <w:link w:val="10"/>
    <w:qFormat/>
    <w:locked/>
    <w:uiPriority w:val="99"/>
    <w:rPr>
      <w:sz w:val="18"/>
    </w:rPr>
  </w:style>
  <w:style w:type="character" w:customStyle="1" w:styleId="30">
    <w:name w:val="Body Text Char"/>
    <w:basedOn w:val="19"/>
    <w:semiHidden/>
    <w:qFormat/>
    <w:uiPriority w:val="99"/>
    <w:rPr>
      <w:rFonts w:ascii="Times New Roman" w:hAnsi="Times New Roman"/>
      <w:szCs w:val="24"/>
    </w:rPr>
  </w:style>
  <w:style w:type="character" w:customStyle="1" w:styleId="31">
    <w:name w:val="正文文本 Char"/>
    <w:link w:val="2"/>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9"/>
    <w:link w:val="9"/>
    <w:semiHidden/>
    <w:qFormat/>
    <w:uiPriority w:val="99"/>
    <w:rPr>
      <w:rFonts w:ascii="Times New Roman" w:hAnsi="Times New Roman"/>
      <w:kern w:val="2"/>
      <w:sz w:val="18"/>
      <w:szCs w:val="18"/>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38889;&#21191;&#20197;&#21069;&#36164;&#26009;\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38889;&#21191;&#20197;&#21069;&#36164;&#26009;\Desktop\&#20915;&#31639;&#20844;&#24320;&#30011;&#2227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8889;&#21191;&#20197;&#21069;&#36164;&#26009;\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38889;&#21191;&#20197;&#21069;&#36164;&#26009;\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38889;&#21191;&#20197;&#21069;&#36164;&#26009;\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38889;&#21191;&#20197;&#21069;&#36164;&#26009;\Desktop\&#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8889;&#21191;&#20197;&#21069;&#36164;&#26009;\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manualLayout>
          <c:xMode val="edge"/>
          <c:yMode val="edge"/>
          <c:x val="0.244736842105263"/>
          <c:y val="0.0520833333333333"/>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 工作表.xls]Sheet1'!$A$1:$A$2</c:f>
              <c:strCache>
                <c:ptCount val="2"/>
                <c:pt idx="0">
                  <c:v>2023年</c:v>
                </c:pt>
                <c:pt idx="1">
                  <c:v>2024年</c:v>
                </c:pt>
              </c:strCache>
            </c:strRef>
          </c:cat>
          <c:val>
            <c:numRef>
              <c:f>'[新建 XLS 工作表.xls]Sheet1'!$B$1:$B$2</c:f>
              <c:numCache>
                <c:formatCode>General</c:formatCode>
                <c:ptCount val="2"/>
                <c:pt idx="0">
                  <c:v>2417.32</c:v>
                </c:pt>
                <c:pt idx="1">
                  <c:v>1846.67</c:v>
                </c:pt>
              </c:numCache>
            </c:numRef>
          </c:val>
        </c:ser>
        <c:dLbls>
          <c:showLegendKey val="0"/>
          <c:showVal val="0"/>
          <c:showCatName val="0"/>
          <c:showSerName val="0"/>
          <c:showPercent val="0"/>
          <c:showBubbleSize val="0"/>
        </c:dLbls>
        <c:gapWidth val="246"/>
        <c:overlap val="-28"/>
        <c:axId val="547157165"/>
        <c:axId val="29735961"/>
      </c:barChart>
      <c:catAx>
        <c:axId val="5471571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735961"/>
        <c:crosses val="autoZero"/>
        <c:auto val="1"/>
        <c:lblAlgn val="ctr"/>
        <c:lblOffset val="100"/>
        <c:noMultiLvlLbl val="0"/>
      </c:catAx>
      <c:valAx>
        <c:axId val="2973596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157165"/>
        <c:crosses val="autoZero"/>
        <c:crossBetween val="between"/>
      </c:valAx>
      <c:spPr>
        <a:noFill/>
        <a:ln>
          <a:noFill/>
        </a:ln>
        <a:effectLst/>
      </c:spPr>
    </c:plotArea>
    <c:plotVisOnly val="1"/>
    <c:dispBlanksAs val="gap"/>
    <c:showDLblsOverMax val="0"/>
    <c:extLst>
      <c:ext uri="{0b15fc19-7d7d-44ad-8c2d-2c3a37ce22c3}">
        <chartProps xmlns="https://web.wps.cn/et/2018/main" chartId="{52637549-f11b-437c-b476-d4f16cc99c8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elete val="1"/>
          </c:dLbls>
          <c:cat>
            <c:strRef>
              <c:f>[决算公开画图.xls]Sheet1!$A$1:$A$2</c:f>
              <c:strCache>
                <c:ptCount val="2"/>
                <c:pt idx="0">
                  <c:v>一般公共预算财政拨款收入</c:v>
                </c:pt>
                <c:pt idx="1">
                  <c:v>其他收入</c:v>
                </c:pt>
              </c:strCache>
            </c:strRef>
          </c:cat>
          <c:val>
            <c:numRef>
              <c:f>[决算公开画图.xls]Sheet1!$B$1:$B$2</c:f>
              <c:numCache>
                <c:formatCode>General</c:formatCode>
                <c:ptCount val="2"/>
                <c:pt idx="0">
                  <c:v>1993.32</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b874f4d0-8571-424a-92f4-73df5fd016f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418421052631579"/>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'[新建 XLS 工作表.xls]Sheet1'!$A$17:$A$18</c:f>
              <c:strCache>
                <c:ptCount val="2"/>
                <c:pt idx="0">
                  <c:v>基本支出</c:v>
                </c:pt>
                <c:pt idx="1">
                  <c:v>项目支出</c:v>
                </c:pt>
              </c:strCache>
            </c:strRef>
          </c:cat>
          <c:val>
            <c:numRef>
              <c:f>'[新建 XLS 工作表.xls]Sheet1'!$B$17:$B$18</c:f>
              <c:numCache>
                <c:formatCode>General</c:formatCode>
                <c:ptCount val="2"/>
                <c:pt idx="0">
                  <c:v>1083.87</c:v>
                </c:pt>
                <c:pt idx="1">
                  <c:v>714.7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8d54c66-f331-4362-9b69-89f07239ca2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财政拨款收入、支出决算总计变动情况图</a:t>
            </a:r>
          </a:p>
        </c:rich>
      </c:tx>
      <c:layout>
        <c:manualLayout>
          <c:xMode val="edge"/>
          <c:yMode val="edge"/>
          <c:x val="0.162236842105263"/>
          <c:y val="0.0458333333333333"/>
        </c:manualLayout>
      </c:layout>
      <c:overlay val="0"/>
      <c:spPr>
        <a:noFill/>
        <a:ln>
          <a:noFill/>
        </a:ln>
        <a:effectLst/>
      </c:spPr>
    </c:title>
    <c:autoTitleDeleted val="0"/>
    <c:plotArea>
      <c:layout>
        <c:manualLayout>
          <c:layoutTarget val="inner"/>
          <c:xMode val="edge"/>
          <c:yMode val="edge"/>
          <c:x val="0.107842105263158"/>
          <c:y val="0.22037037037037"/>
          <c:w val="0.888210526315789"/>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'[新建 XLS 工作表.xls]Sheet1'!$A$1:$A$2</c:f>
              <c:strCache>
                <c:ptCount val="2"/>
                <c:pt idx="0">
                  <c:v>2023年</c:v>
                </c:pt>
                <c:pt idx="1">
                  <c:v>2024年</c:v>
                </c:pt>
              </c:strCache>
            </c:strRef>
          </c:cat>
          <c:val>
            <c:numRef>
              <c:f>'[新建 XLS 工作表.xls]Sheet1'!$B$1:$B$2</c:f>
              <c:numCache>
                <c:formatCode>General</c:formatCode>
                <c:ptCount val="2"/>
                <c:pt idx="0">
                  <c:v>2417.32</c:v>
                </c:pt>
                <c:pt idx="1">
                  <c:v>1846.67</c:v>
                </c:pt>
              </c:numCache>
            </c:numRef>
          </c:val>
        </c:ser>
        <c:dLbls>
          <c:showLegendKey val="0"/>
          <c:showVal val="0"/>
          <c:showCatName val="0"/>
          <c:showSerName val="0"/>
          <c:showPercent val="0"/>
          <c:showBubbleSize val="0"/>
        </c:dLbls>
        <c:gapWidth val="246"/>
        <c:overlap val="-28"/>
        <c:axId val="547157165"/>
        <c:axId val="29735961"/>
      </c:barChart>
      <c:catAx>
        <c:axId val="5471571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735961"/>
        <c:crosses val="autoZero"/>
        <c:auto val="1"/>
        <c:lblAlgn val="ctr"/>
        <c:lblOffset val="100"/>
        <c:noMultiLvlLbl val="0"/>
      </c:catAx>
      <c:valAx>
        <c:axId val="2973596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157165"/>
        <c:crosses val="autoZero"/>
        <c:crossBetween val="between"/>
      </c:valAx>
      <c:spPr>
        <a:noFill/>
        <a:ln>
          <a:noFill/>
        </a:ln>
        <a:effectLst/>
      </c:spPr>
    </c:plotArea>
    <c:plotVisOnly val="1"/>
    <c:dispBlanksAs val="gap"/>
    <c:showDLblsOverMax val="0"/>
    <c:extLst>
      <c:ext uri="{0b15fc19-7d7d-44ad-8c2d-2c3a37ce22c3}">
        <chartProps xmlns="https://web.wps.cn/et/2018/main" chartId="{34378302-54fd-477a-8174-3567d1fd466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 工作表.xls]Sheet1'!$K$1:$K$2</c:f>
              <c:strCache>
                <c:ptCount val="2"/>
                <c:pt idx="0">
                  <c:v>2023年</c:v>
                </c:pt>
                <c:pt idx="1">
                  <c:v>2024年</c:v>
                </c:pt>
              </c:strCache>
            </c:strRef>
          </c:cat>
          <c:val>
            <c:numRef>
              <c:f>'[新建 XLS 工作表.xls]Sheet1'!$L$1:$L$2</c:f>
              <c:numCache>
                <c:formatCode>General</c:formatCode>
                <c:ptCount val="2"/>
                <c:pt idx="0">
                  <c:v>2274.84</c:v>
                </c:pt>
                <c:pt idx="1">
                  <c:v>1798.57</c:v>
                </c:pt>
              </c:numCache>
            </c:numRef>
          </c:val>
        </c:ser>
        <c:dLbls>
          <c:showLegendKey val="0"/>
          <c:showVal val="0"/>
          <c:showCatName val="0"/>
          <c:showSerName val="0"/>
          <c:showPercent val="0"/>
          <c:showBubbleSize val="0"/>
        </c:dLbls>
        <c:gapWidth val="246"/>
        <c:overlap val="-28"/>
        <c:axId val="960502135"/>
        <c:axId val="406365457"/>
      </c:barChart>
      <c:catAx>
        <c:axId val="9605021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6365457"/>
        <c:crosses val="autoZero"/>
        <c:auto val="1"/>
        <c:lblAlgn val="ctr"/>
        <c:lblOffset val="100"/>
        <c:noMultiLvlLbl val="0"/>
      </c:catAx>
      <c:valAx>
        <c:axId val="40636545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0502135"/>
        <c:crosses val="autoZero"/>
        <c:crossBetween val="between"/>
      </c:valAx>
      <c:spPr>
        <a:noFill/>
        <a:ln>
          <a:noFill/>
        </a:ln>
        <a:effectLst/>
      </c:spPr>
    </c:plotArea>
    <c:plotVisOnly val="1"/>
    <c:dispBlanksAs val="gap"/>
    <c:showDLblsOverMax val="0"/>
    <c:extLst>
      <c:ext uri="{0b15fc19-7d7d-44ad-8c2d-2c3a37ce22c3}">
        <chartProps xmlns="https://web.wps.cn/et/2018/main" chartId="{eefe1dda-a4a1-4362-8098-ac9e0207672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'[新建 XLS 工作表.xls]Sheet1'!$K$17:$K$20</c:f>
              <c:strCache>
                <c:ptCount val="4"/>
                <c:pt idx="0">
                  <c:v>一般公共服务支出</c:v>
                </c:pt>
                <c:pt idx="1">
                  <c:v>社会保障和就业支出</c:v>
                </c:pt>
                <c:pt idx="2">
                  <c:v>卫生健康支出</c:v>
                </c:pt>
                <c:pt idx="3">
                  <c:v>住房保障支出</c:v>
                </c:pt>
              </c:strCache>
            </c:strRef>
          </c:cat>
          <c:val>
            <c:numRef>
              <c:f>'[新建 XLS 工作表.xls]Sheet1'!$L$17:$L$20</c:f>
              <c:numCache>
                <c:formatCode>General</c:formatCode>
                <c:ptCount val="4"/>
                <c:pt idx="0">
                  <c:v>1600.44</c:v>
                </c:pt>
                <c:pt idx="1">
                  <c:v>94.63</c:v>
                </c:pt>
                <c:pt idx="2">
                  <c:v>27.95</c:v>
                </c:pt>
                <c:pt idx="3">
                  <c:v>75.55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339d84-ac60-47bc-8d46-664fe5037fd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rPr altLang="en-US"/>
              <a:t>三公</a:t>
            </a:r>
            <a:r>
              <a:rPr lang="en-US" altLang="zh-CN"/>
              <a:t>”</a:t>
            </a:r>
            <a:r>
              <a:rPr altLang="en-US"/>
              <a:t>经费构成图</a:t>
            </a:r>
            <a:endParaRPr altLang="en-US"/>
          </a:p>
        </c:rich>
      </c:tx>
      <c:layout>
        <c:manualLayout>
          <c:xMode val="edge"/>
          <c:yMode val="edge"/>
          <c:x val="0.359078947368421"/>
          <c:y val="0.018287037037037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'[新建 XLS 工作表.xls]Sheet1'!$A$35:$A$37</c:f>
              <c:strCache>
                <c:ptCount val="3"/>
                <c:pt idx="0">
                  <c:v>因公出国</c:v>
                </c:pt>
                <c:pt idx="1">
                  <c:v>公务用车购置及维护费</c:v>
                </c:pt>
                <c:pt idx="2">
                  <c:v>公务接待费</c:v>
                </c:pt>
              </c:strCache>
            </c:strRef>
          </c:cat>
          <c:val>
            <c:numRef>
              <c:f>'[新建 XLS 工作表.xls]Sheet1'!$B$35:$B$37</c:f>
              <c:numCache>
                <c:formatCode>General</c:formatCode>
                <c:ptCount val="3"/>
                <c:pt idx="0">
                  <c:v>111.95</c:v>
                </c:pt>
                <c:pt idx="1">
                  <c:v>3.37</c:v>
                </c:pt>
                <c:pt idx="2">
                  <c:v>0.58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a5fe8a3-7376-4b8d-b06d-96822dcef6a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74</Pages>
  <Words>6178</Words>
  <Characters>6695</Characters>
  <Lines>7</Lines>
  <Paragraphs>17</Paragraphs>
  <TotalTime>15</TotalTime>
  <ScaleCrop>false</ScaleCrop>
  <LinksUpToDate>false</LinksUpToDate>
  <CharactersWithSpaces>6812</CharactersWithSpaces>
  <Application>WPS Office_12.8.2.1119_F1E327BC-269C-435d-A152-05C5408002CA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2025-09-03T09:29:00Z</dcterms:created>
  <dc:creator>曹颖</dc:creator>
  <cp:lastModifiedBy>Kim</cp:lastModifiedBy>
  <cp:lastPrinted>2025-09-28T09:01:00Z</cp:lastPrinted>
  <dcterms:modified xsi:type="dcterms:W3CDTF">2025-09-30T15:27:36Z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552A486546C9CED16886DB68F2B9669C_43</vt:lpwstr>
  </property>
  <property fmtid="{D5CDD505-2E9C-101B-9397-08002B2CF9AE}" pid="4" name="KSOTemplateDocerSaveRecord">
    <vt:lpwstr>eyJoZGlkIjoiNThiZmU1MWQ5OTY1MjVmZWQ0ZjRjZGYzZTNlMjIxYjciLCJ1c2VySWQiOiIyNDUzMjc3MjAifQ==</vt:lpwstr>
  </property>
</Properties>
</file>